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F3E" w:rsidRDefault="00007F3E" w:rsidP="000B7249">
      <w:pPr>
        <w:jc w:val="both"/>
        <w:rPr>
          <w:lang w:val="en-US"/>
        </w:rPr>
      </w:pPr>
      <w:proofErr w:type="gramStart"/>
      <w:r>
        <w:rPr>
          <w:sz w:val="50"/>
          <w:szCs w:val="50"/>
          <w:lang w:val="en-US"/>
        </w:rPr>
        <w:t>Do Group Dynamics Influence Social Capital Gains Among Microfinance Clients?</w:t>
      </w:r>
      <w:proofErr w:type="gramEnd"/>
      <w:r>
        <w:rPr>
          <w:sz w:val="50"/>
          <w:szCs w:val="50"/>
          <w:lang w:val="en-US"/>
        </w:rPr>
        <w:t xml:space="preserve"> Evidence From a Randomized Experiment in Urban </w:t>
      </w:r>
      <w:proofErr w:type="gramStart"/>
      <w:r>
        <w:rPr>
          <w:sz w:val="50"/>
          <w:szCs w:val="50"/>
          <w:lang w:val="en-US"/>
        </w:rPr>
        <w:t xml:space="preserve">India   </w:t>
      </w:r>
      <w:proofErr w:type="gramEnd"/>
      <w:r>
        <w:rPr>
          <w:lang w:val="en-US"/>
        </w:rPr>
        <w:br/>
      </w:r>
      <w:r>
        <w:rPr>
          <w:sz w:val="32"/>
          <w:szCs w:val="32"/>
          <w:lang w:val="en-US"/>
        </w:rPr>
        <w:t xml:space="preserve"> </w:t>
      </w:r>
    </w:p>
    <w:p w:rsidR="00007F3E" w:rsidRDefault="00007F3E" w:rsidP="000B7249">
      <w:pPr>
        <w:jc w:val="both"/>
        <w:rPr>
          <w:lang w:val="en-US"/>
        </w:rPr>
      </w:pPr>
      <w:r>
        <w:rPr>
          <w:sz w:val="32"/>
          <w:szCs w:val="32"/>
          <w:lang w:val="en-US"/>
        </w:rPr>
        <w:t xml:space="preserve">Benjamin </w:t>
      </w:r>
      <w:proofErr w:type="spellStart"/>
      <w:r>
        <w:rPr>
          <w:sz w:val="32"/>
          <w:szCs w:val="32"/>
          <w:lang w:val="en-US"/>
        </w:rPr>
        <w:t>Feigenberg</w:t>
      </w:r>
      <w:proofErr w:type="spellEnd"/>
      <w:r>
        <w:rPr>
          <w:sz w:val="32"/>
          <w:szCs w:val="32"/>
          <w:lang w:val="en-US"/>
        </w:rPr>
        <w:t xml:space="preserve"> (MIT), Erica Field (Duke), </w:t>
      </w:r>
      <w:proofErr w:type="spellStart"/>
      <w:r>
        <w:rPr>
          <w:sz w:val="32"/>
          <w:szCs w:val="32"/>
          <w:lang w:val="en-US"/>
        </w:rPr>
        <w:t>Rohini</w:t>
      </w:r>
      <w:proofErr w:type="spellEnd"/>
      <w:r>
        <w:rPr>
          <w:sz w:val="32"/>
          <w:szCs w:val="32"/>
          <w:lang w:val="en-US"/>
        </w:rPr>
        <w:t xml:space="preserve"> </w:t>
      </w:r>
      <w:proofErr w:type="spellStart"/>
      <w:r>
        <w:rPr>
          <w:sz w:val="32"/>
          <w:szCs w:val="32"/>
          <w:lang w:val="en-US"/>
        </w:rPr>
        <w:t>Pande</w:t>
      </w:r>
      <w:proofErr w:type="spellEnd"/>
      <w:r>
        <w:rPr>
          <w:sz w:val="32"/>
          <w:szCs w:val="32"/>
          <w:lang w:val="en-US"/>
        </w:rPr>
        <w:t xml:space="preserve"> (Harvard), </w:t>
      </w:r>
    </w:p>
    <w:p w:rsidR="00007F3E" w:rsidRDefault="00007F3E" w:rsidP="000B7249">
      <w:pPr>
        <w:jc w:val="both"/>
        <w:rPr>
          <w:lang w:val="en-US"/>
        </w:rPr>
      </w:pPr>
      <w:r>
        <w:rPr>
          <w:sz w:val="32"/>
          <w:szCs w:val="32"/>
          <w:lang w:val="en-US"/>
        </w:rPr>
        <w:t xml:space="preserve">Natalia </w:t>
      </w:r>
      <w:proofErr w:type="spellStart"/>
      <w:r>
        <w:rPr>
          <w:sz w:val="32"/>
          <w:szCs w:val="32"/>
          <w:lang w:val="en-US"/>
        </w:rPr>
        <w:t>Rigol</w:t>
      </w:r>
      <w:proofErr w:type="spellEnd"/>
      <w:r>
        <w:rPr>
          <w:sz w:val="32"/>
          <w:szCs w:val="32"/>
          <w:lang w:val="en-US"/>
        </w:rPr>
        <w:t xml:space="preserve"> (MIT), </w:t>
      </w:r>
      <w:proofErr w:type="spellStart"/>
      <w:r>
        <w:rPr>
          <w:sz w:val="32"/>
          <w:szCs w:val="32"/>
          <w:lang w:val="en-US"/>
        </w:rPr>
        <w:t>Shayak</w:t>
      </w:r>
      <w:proofErr w:type="spellEnd"/>
      <w:r>
        <w:rPr>
          <w:sz w:val="32"/>
          <w:szCs w:val="32"/>
          <w:lang w:val="en-US"/>
        </w:rPr>
        <w:t xml:space="preserve"> Sarkar (Harvard)</w:t>
      </w:r>
      <w:r>
        <w:rPr>
          <w:lang w:val="en-US"/>
        </w:rPr>
        <w:br/>
      </w:r>
      <w:r>
        <w:rPr>
          <w:sz w:val="32"/>
          <w:szCs w:val="32"/>
          <w:lang w:val="en-US"/>
        </w:rPr>
        <w:t>June 24, 2014</w:t>
      </w:r>
    </w:p>
    <w:p w:rsidR="00007F3E" w:rsidRDefault="00007F3E" w:rsidP="000B7249">
      <w:pPr>
        <w:pStyle w:val="Heading1"/>
        <w:jc w:val="both"/>
        <w:rPr>
          <w:b w:val="0"/>
          <w:bCs w:val="0"/>
          <w:sz w:val="24"/>
          <w:szCs w:val="24"/>
          <w:lang w:val="en-US"/>
        </w:rPr>
      </w:pPr>
      <w:r>
        <w:rPr>
          <w:lang w:val="en-US"/>
        </w:rPr>
        <w:t>Abstract</w:t>
      </w:r>
    </w:p>
    <w:p w:rsidR="00007F3E" w:rsidRDefault="00007F3E" w:rsidP="000B7249">
      <w:pPr>
        <w:jc w:val="both"/>
        <w:rPr>
          <w:lang w:val="en-US"/>
        </w:rPr>
      </w:pPr>
      <w:r>
        <w:rPr>
          <w:lang w:val="en-US"/>
        </w:rPr>
        <w:t xml:space="preserve">As an intrinsic part of the classic microfinance model, group meetings are intended to employ social capital to ensure timely repayment. Recent research suggests that more frequent meeting can, itself, increase social capital among first-time clients. Using randomized variation in group meeting frequency for 174 microfinance groups in India, we demonstrate that social capital gains associated with more frequent meeting continue to accrue across multiple lending cycles. However, these effects are reduced when group members differ in their borrowing history. In addition, clients who start with low levels of empowerment report higher social capital gains when matched with similar clients. We discuss how current microfinance policy debates overlook the creation of social capital, including through repayment meeting frequency, and we encourage regulators to undertake a holistic understanding of microfinance’s impacts.  </w:t>
      </w:r>
    </w:p>
    <w:p w:rsidR="00007F3E" w:rsidRDefault="00007F3E" w:rsidP="000B7249">
      <w:pPr>
        <w:jc w:val="both"/>
        <w:rPr>
          <w:lang w:val="en-US"/>
        </w:rPr>
      </w:pPr>
    </w:p>
    <w:p w:rsidR="00007F3E" w:rsidRDefault="00007F3E" w:rsidP="000B7249">
      <w:pPr>
        <w:pStyle w:val="Heading1"/>
        <w:jc w:val="both"/>
        <w:rPr>
          <w:b w:val="0"/>
          <w:bCs w:val="0"/>
          <w:sz w:val="24"/>
          <w:szCs w:val="24"/>
          <w:lang w:val="en-US"/>
        </w:rPr>
      </w:pPr>
      <w:r>
        <w:rPr>
          <w:lang w:val="en-US"/>
        </w:rPr>
        <w:br w:type="page"/>
        <w:t>1. Introduction</w:t>
      </w:r>
    </w:p>
    <w:p w:rsidR="00007F3E" w:rsidRDefault="00007F3E" w:rsidP="000B7249">
      <w:pPr>
        <w:jc w:val="both"/>
        <w:rPr>
          <w:lang w:val="en-US"/>
        </w:rPr>
      </w:pPr>
      <w:r>
        <w:rPr>
          <w:lang w:val="en-US"/>
        </w:rPr>
        <w:t>There is wide-ranging evidence that social capital contributes to economic development, yet less is understood about how policy interventions can be designed to encourage the formation of such social capital. While group-based development programs, such as microfinance, can foster social interaction, it is unclear in what settings and for whom such instruments are likely to be effective. Although definitions of microfinance vary, defining characteristics include small loan amounts, an emphasis on entrepreneurial activity, demographic targeting of the poor and women, and the formation of borrower groups. The classic microfinance model founded and disseminated by the Grameen Bank of Bangladesh involves “solidarity groups</w:t>
      </w:r>
      <w:r w:rsidR="00883628">
        <w:rPr>
          <w:lang w:val="en-US"/>
        </w:rPr>
        <w:t>”</w:t>
      </w:r>
      <w:r>
        <w:rPr>
          <w:lang w:val="en-US"/>
        </w:rPr>
        <w:t xml:space="preserve"> of five people. </w:t>
      </w:r>
    </w:p>
    <w:p w:rsidR="00903DEF" w:rsidRDefault="00903DEF" w:rsidP="000B7249">
      <w:pPr>
        <w:jc w:val="both"/>
        <w:rPr>
          <w:lang w:val="en-US"/>
        </w:rPr>
      </w:pPr>
    </w:p>
    <w:p w:rsidR="00007F3E" w:rsidRDefault="00007F3E" w:rsidP="000B7249">
      <w:pPr>
        <w:jc w:val="both"/>
        <w:rPr>
          <w:lang w:val="en-US"/>
        </w:rPr>
      </w:pPr>
      <w:r>
        <w:rPr>
          <w:lang w:val="en-US"/>
        </w:rPr>
        <w:t xml:space="preserve">Evidence on whether participation in microfinance groups continues to build social capital long after the group has been formed, particularly for those with low baseline empowerment, is limited. An important reason for the dearth of evidence is the endogenous nature of social ties. In particular, it is very likely that individuals with specific traits (e.g. those who are more pro-social or have more to gain from group activities) are more likely to engage in community activities. Observational studies, therefore, struggle to identify either how individual membership in different community groups or changes in membership within such groups impact social capital. Randomized field experiments offer an important method for addressing this selection concern. However, recent randomized field experiments that vary individual access to microfinance have rarely studied social capital as a potential product of microfinance. </w:t>
      </w:r>
      <w:r w:rsidR="00903DEF">
        <w:rPr>
          <w:lang w:val="en-US"/>
        </w:rPr>
        <w:t xml:space="preserve">Banerjee, </w:t>
      </w:r>
      <w:proofErr w:type="spellStart"/>
      <w:r w:rsidR="00903DEF">
        <w:rPr>
          <w:lang w:val="en-US"/>
        </w:rPr>
        <w:t>Duflo</w:t>
      </w:r>
      <w:proofErr w:type="spellEnd"/>
      <w:r w:rsidR="00903DEF">
        <w:rPr>
          <w:lang w:val="en-US"/>
        </w:rPr>
        <w:t xml:space="preserve">, </w:t>
      </w:r>
      <w:proofErr w:type="spellStart"/>
      <w:r w:rsidR="00903DEF">
        <w:rPr>
          <w:lang w:val="en-US"/>
        </w:rPr>
        <w:t>Glennester</w:t>
      </w:r>
      <w:proofErr w:type="spellEnd"/>
      <w:r w:rsidR="00903DEF">
        <w:rPr>
          <w:lang w:val="en-US"/>
        </w:rPr>
        <w:t xml:space="preserve">, and </w:t>
      </w:r>
      <w:proofErr w:type="spellStart"/>
      <w:r w:rsidR="00903DEF">
        <w:rPr>
          <w:lang w:val="en-US"/>
        </w:rPr>
        <w:t>Kinnan</w:t>
      </w:r>
      <w:proofErr w:type="spellEnd"/>
      <w:r w:rsidR="00903DEF">
        <w:rPr>
          <w:lang w:val="en-US"/>
        </w:rPr>
        <w:t xml:space="preserve"> (2004)</w:t>
      </w:r>
      <w:r>
        <w:rPr>
          <w:lang w:val="en-US"/>
        </w:rPr>
        <w:t xml:space="preserve"> report findings from randomizing entry of a microfinance institution across urban Indian slums and find few positive effects on a battery of finan</w:t>
      </w:r>
      <w:r w:rsidR="00903DEF">
        <w:rPr>
          <w:lang w:val="en-US"/>
        </w:rPr>
        <w:t xml:space="preserve">cial and development outcomes. </w:t>
      </w:r>
      <w:proofErr w:type="spellStart"/>
      <w:r w:rsidR="00903DEF" w:rsidRPr="00903DEF">
        <w:rPr>
          <w:lang w:val="en-US"/>
        </w:rPr>
        <w:t>Angelucci</w:t>
      </w:r>
      <w:proofErr w:type="spellEnd"/>
      <w:r w:rsidR="00903DEF" w:rsidRPr="00903DEF">
        <w:rPr>
          <w:lang w:val="en-US"/>
        </w:rPr>
        <w:t xml:space="preserve">, </w:t>
      </w:r>
      <w:proofErr w:type="spellStart"/>
      <w:r w:rsidR="00903DEF" w:rsidRPr="00903DEF">
        <w:rPr>
          <w:lang w:val="en-US"/>
        </w:rPr>
        <w:t>Karlan</w:t>
      </w:r>
      <w:proofErr w:type="spellEnd"/>
      <w:r w:rsidR="00903DEF" w:rsidRPr="00903DEF">
        <w:rPr>
          <w:lang w:val="en-US"/>
        </w:rPr>
        <w:t xml:space="preserve">, and </w:t>
      </w:r>
      <w:proofErr w:type="spellStart"/>
      <w:r w:rsidR="00903DEF" w:rsidRPr="00903DEF">
        <w:rPr>
          <w:lang w:val="en-US"/>
        </w:rPr>
        <w:t>Zinman</w:t>
      </w:r>
      <w:proofErr w:type="spellEnd"/>
      <w:r w:rsidR="00903DEF" w:rsidRPr="00903DEF">
        <w:rPr>
          <w:lang w:val="en-US"/>
        </w:rPr>
        <w:t xml:space="preserve"> (2013)</w:t>
      </w:r>
      <w:r>
        <w:rPr>
          <w:lang w:val="en-US"/>
        </w:rPr>
        <w:t xml:space="preserve"> consider a similar intervention in Morocco and also find limited positive effects. Neither study measures social capital as an outcome. </w:t>
      </w:r>
    </w:p>
    <w:p w:rsidR="00903DEF" w:rsidRDefault="00903DEF" w:rsidP="000B7249">
      <w:pPr>
        <w:pStyle w:val="Footnote"/>
        <w:autoSpaceDN/>
        <w:jc w:val="both"/>
        <w:rPr>
          <w:lang w:val="en-US"/>
        </w:rPr>
      </w:pPr>
    </w:p>
    <w:p w:rsidR="00007F3E" w:rsidRPr="00903DEF" w:rsidRDefault="00007F3E" w:rsidP="000B7249">
      <w:pPr>
        <w:pStyle w:val="Footnote"/>
        <w:autoSpaceDN/>
        <w:jc w:val="both"/>
      </w:pPr>
      <w:r>
        <w:rPr>
          <w:lang w:val="en-US"/>
        </w:rPr>
        <w:t>One excepti</w:t>
      </w:r>
      <w:r w:rsidR="00903DEF">
        <w:rPr>
          <w:lang w:val="en-US"/>
        </w:rPr>
        <w:t xml:space="preserve">on is </w:t>
      </w:r>
      <w:proofErr w:type="spellStart"/>
      <w:r w:rsidR="00903DEF" w:rsidRPr="00903DEF">
        <w:rPr>
          <w:lang w:val="en-US"/>
        </w:rPr>
        <w:t>Feigenberg</w:t>
      </w:r>
      <w:proofErr w:type="spellEnd"/>
      <w:r w:rsidR="00903DEF" w:rsidRPr="00903DEF">
        <w:rPr>
          <w:lang w:val="en-US"/>
        </w:rPr>
        <w:t xml:space="preserve">, Field, and </w:t>
      </w:r>
      <w:proofErr w:type="spellStart"/>
      <w:r w:rsidR="00903DEF" w:rsidRPr="00903DEF">
        <w:rPr>
          <w:lang w:val="en-US"/>
        </w:rPr>
        <w:t>Pande</w:t>
      </w:r>
      <w:proofErr w:type="spellEnd"/>
      <w:r w:rsidR="00903DEF" w:rsidRPr="00903DEF">
        <w:rPr>
          <w:lang w:val="en-US"/>
        </w:rPr>
        <w:t xml:space="preserve"> (2013)</w:t>
      </w:r>
      <w:r>
        <w:rPr>
          <w:lang w:val="en-US"/>
        </w:rPr>
        <w:t xml:space="preserve">, which demonstrates that it is possible to build economically-meaningful social capital among new clients in a microfinance group. This research also shows that introducing people into community groups has long-term economic benefits. What is left unclear is whether community groups are also potential policy instruments for </w:t>
      </w:r>
      <w:r>
        <w:rPr>
          <w:i/>
          <w:iCs/>
          <w:lang w:val="en-US"/>
        </w:rPr>
        <w:t>sustaining</w:t>
      </w:r>
      <w:r>
        <w:rPr>
          <w:lang w:val="en-US"/>
        </w:rPr>
        <w:t xml:space="preserve"> social ties among individuals who have a history of interaction, such as members of long-standing microfinance groups. In particular, is there any benefit to continuing to promote social interaction among those already acquainted? If not, there is limited scope for harnessing existing community groups to foster social capital formation. Moreover, does heterogeneity among group members, either with respect to institutional history or initial empowerme</w:t>
      </w:r>
      <w:r w:rsidR="00903DEF">
        <w:rPr>
          <w:lang w:val="en-US"/>
        </w:rPr>
        <w:t xml:space="preserve">nt, influence the value of such </w:t>
      </w:r>
      <w:r>
        <w:rPr>
          <w:lang w:val="en-US"/>
        </w:rPr>
        <w:t>programs?</w:t>
      </w:r>
      <w:r w:rsidR="00903DEF">
        <w:rPr>
          <w:rStyle w:val="FootnoteReference"/>
          <w:lang w:val="en-US"/>
        </w:rPr>
        <w:footnoteReference w:id="1"/>
      </w:r>
      <w:r w:rsidR="00903DEF">
        <w:rPr>
          <w:lang w:val="en-US"/>
        </w:rPr>
        <w:t xml:space="preserve"> </w:t>
      </w:r>
      <w:r w:rsidR="00903DEF" w:rsidRPr="00903DEF">
        <w:rPr>
          <w:lang w:val="en-US"/>
        </w:rPr>
        <w:t>Both</w:t>
      </w:r>
      <w:r w:rsidR="00903DEF">
        <w:rPr>
          <w:lang w:val="en-US"/>
        </w:rPr>
        <w:t xml:space="preserve"> </w:t>
      </w:r>
      <w:r w:rsidR="00903DEF" w:rsidRPr="00903DEF">
        <w:rPr>
          <w:lang w:val="en-US"/>
        </w:rPr>
        <w:t>questions are important for determining how much emphasis to place on social interaction</w:t>
      </w:r>
      <w:r w:rsidR="00903DEF">
        <w:rPr>
          <w:lang w:val="en-US"/>
        </w:rPr>
        <w:t xml:space="preserve"> </w:t>
      </w:r>
      <w:r w:rsidR="00903DEF" w:rsidRPr="00903DEF">
        <w:rPr>
          <w:lang w:val="en-US"/>
        </w:rPr>
        <w:t>when designing social programs for the poor.</w:t>
      </w:r>
    </w:p>
    <w:p w:rsidR="00903DEF" w:rsidRPr="00903DEF" w:rsidRDefault="00903DEF" w:rsidP="000B7249">
      <w:pPr>
        <w:jc w:val="both"/>
      </w:pPr>
    </w:p>
    <w:p w:rsidR="00007F3E" w:rsidRDefault="00007F3E" w:rsidP="000B7249">
      <w:pPr>
        <w:jc w:val="both"/>
      </w:pPr>
      <w:r>
        <w:t xml:space="preserve">This paper builds directly on </w:t>
      </w:r>
      <w:r w:rsidR="00903DEF" w:rsidRPr="00903DEF">
        <w:t>Feigenberg, Field, and Pande (2013)</w:t>
      </w:r>
      <w:r w:rsidR="00903DEF">
        <w:rPr>
          <w:lang w:val="en-US"/>
        </w:rPr>
        <w:t xml:space="preserve"> </w:t>
      </w:r>
      <w:r>
        <w:t xml:space="preserve">and examines two novel questions. First, do gains in social capital continue to accrue to longstanding microfinance groups when clients in those groups are made to interact more frequently? Second, does heterogeneity in the borrowing history of group members and/or baseline empowerment affect social capital gains? </w:t>
      </w:r>
    </w:p>
    <w:p w:rsidR="00903DEF" w:rsidRDefault="00903DEF" w:rsidP="000B7249">
      <w:pPr>
        <w:jc w:val="both"/>
      </w:pPr>
    </w:p>
    <w:p w:rsidR="00007F3E" w:rsidRDefault="00007F3E" w:rsidP="000B7249">
      <w:pPr>
        <w:jc w:val="both"/>
      </w:pPr>
      <w:r>
        <w:t>Our analysis uses a follow-up field experiment conducted with the same microf</w:t>
      </w:r>
      <w:r w:rsidR="00903DEF">
        <w:t xml:space="preserve">inance institution (MFI) as in </w:t>
      </w:r>
      <w:r w:rsidR="00903DEF" w:rsidRPr="00903DEF">
        <w:t>Feigenberg, Field, and Pande (2013)</w:t>
      </w:r>
      <w:r>
        <w:t>. In contrast to the previous work, here we work with a broader pool of clients who vary significantly in terms of length of borrowing</w:t>
      </w:r>
      <w:r w:rsidR="00903DEF">
        <w:rPr>
          <w:lang w:val="en-US"/>
        </w:rPr>
        <w:t xml:space="preserve"> </w:t>
      </w:r>
      <w:r>
        <w:t xml:space="preserve">history with the MFI. At the start of the experiment, close to 30 percent of the clients were first time borrowers while 40 percent had taken out multiple previous loans and been with (at least) some of their current group members for close to two years. This enables us to compare the impact on social capital of promoting social interaction among different types of clients. </w:t>
      </w:r>
    </w:p>
    <w:p w:rsidR="00903DEF" w:rsidRDefault="00903DEF" w:rsidP="000B7249">
      <w:pPr>
        <w:jc w:val="both"/>
      </w:pPr>
    </w:p>
    <w:p w:rsidR="00007F3E" w:rsidRDefault="00007F3E" w:rsidP="000B7249">
      <w:pPr>
        <w:jc w:val="both"/>
      </w:pPr>
      <w:r>
        <w:t xml:space="preserve">Our first finding is that gains in social capital that result from interacting on a weekly as opposed to monthly basis are large and positive, </w:t>
      </w:r>
      <w:r>
        <w:rPr>
          <w:i/>
          <w:iCs/>
        </w:rPr>
        <w:t>even for clients that have been interacting for more than a year</w:t>
      </w:r>
      <w:r w:rsidR="00903DEF">
        <w:t xml:space="preserve">. Similar to </w:t>
      </w:r>
      <w:r w:rsidR="00903DEF" w:rsidRPr="00903DEF">
        <w:t>Feigenberg, Field, and Pande (2013)</w:t>
      </w:r>
      <w:r>
        <w:t xml:space="preserve"> we find that weekly repayment assignment is associated with an increase in social contact of 0.59 standard deviations relative to monthly repayment assignment. What is more surprising is that the benefits of more frequent interaction are equally large for groups that have been together for at least one previous cycle. That is, the data suggest only very slightly diminishing marginal returns to programs that promote social interaction–the estimated impact on groups of old members is 0.72 standard deviations while that on groups entirely composed of new borrowers is 1.1 standard deviations. These new results strengthen the policy case for considering existing group-based programs such as microfinance as a vehicle for building social capital. </w:t>
      </w:r>
    </w:p>
    <w:p w:rsidR="00903DEF" w:rsidRDefault="00903DEF" w:rsidP="000B7249">
      <w:pPr>
        <w:jc w:val="both"/>
      </w:pPr>
    </w:p>
    <w:p w:rsidR="00007F3E" w:rsidRDefault="00007F3E" w:rsidP="000B7249">
      <w:pPr>
        <w:jc w:val="both"/>
      </w:pPr>
      <w:r>
        <w:t xml:space="preserve">Second, group composition matters. Relative to members from a group where all share the same borrowing history, members who share the same group but have been with the MFI for differing lengths of time report fewer social capital gains. We see similar heterogeneity in impacts when we consider baseline empowerment. Specifically, among borrowers who must ask for spousal permission to go to their neighbor’s house, weekly clients exhibit a </w:t>
      </w:r>
      <m:oMath>
        <m:r>
          <w:rPr>
            <w:rFonts w:ascii="Cambria Math" w:hAnsi="Cambria Math" w:cs="Cambria Math"/>
          </w:rPr>
          <m:t>0.93</m:t>
        </m:r>
      </m:oMath>
      <w:r>
        <w:t xml:space="preserve"> standard deviation increase in social contact relative to their monthly counterparts (whereas the gain for those who need not ask for permission is </w:t>
      </w:r>
      <m:oMath>
        <m:r>
          <w:rPr>
            <w:rFonts w:ascii="Cambria Math" w:hAnsi="Cambria Math" w:cs="Cambria Math"/>
          </w:rPr>
          <m:t>0.54</m:t>
        </m:r>
      </m:oMath>
      <w:r>
        <w:t xml:space="preserve"> standard deviations). </w:t>
      </w:r>
    </w:p>
    <w:p w:rsidR="00903DEF" w:rsidRDefault="00903DEF" w:rsidP="000B7249">
      <w:pPr>
        <w:jc w:val="both"/>
      </w:pPr>
    </w:p>
    <w:p w:rsidR="00007F3E" w:rsidRDefault="00007F3E" w:rsidP="000B7249">
      <w:pPr>
        <w:jc w:val="both"/>
      </w:pPr>
      <w:r>
        <w:t xml:space="preserve">Taken together, the policy implications of these findings are two-fold. First, they indicate an important role for group-based development policy even in communities where members are relatively well-connected, as is often true in village settings. Second, the findings indicate that group-based development policies are particularly valuable for relatively marginalized or isolated community members, such as women from religiously conservative households. </w:t>
      </w:r>
    </w:p>
    <w:p w:rsidR="00903DEF" w:rsidRDefault="00903DEF" w:rsidP="000B7249">
      <w:pPr>
        <w:jc w:val="both"/>
      </w:pPr>
    </w:p>
    <w:p w:rsidR="00007F3E" w:rsidRDefault="00007F3E" w:rsidP="000B7249">
      <w:pPr>
        <w:jc w:val="both"/>
      </w:pPr>
      <w:r>
        <w:t xml:space="preserve">The remainder of the paper is structured as follows. Section 2 describes the randomized experimental design, various sources of data, and the empirical strategy. Section 3 presents results related to social interactions. Section4 explicates the link between our research findings and policy debates. Section 5 concludes. </w:t>
      </w:r>
    </w:p>
    <w:p w:rsidR="00007F3E" w:rsidRDefault="00007F3E" w:rsidP="000B7249">
      <w:pPr>
        <w:pStyle w:val="Heading1"/>
        <w:jc w:val="both"/>
        <w:rPr>
          <w:b w:val="0"/>
          <w:bCs w:val="0"/>
          <w:sz w:val="24"/>
          <w:szCs w:val="24"/>
        </w:rPr>
      </w:pPr>
      <w:r>
        <w:t>2.  Background and Experimental Design</w:t>
      </w:r>
    </w:p>
    <w:p w:rsidR="00903DEF" w:rsidRPr="00BA63FA" w:rsidRDefault="00007F3E" w:rsidP="000B7249">
      <w:pPr>
        <w:pStyle w:val="Footnote"/>
        <w:autoSpaceDN/>
        <w:jc w:val="both"/>
        <w:rPr>
          <w:lang w:val="en-US"/>
        </w:rPr>
      </w:pPr>
      <w:r>
        <w:t>This experiment is one of three randomized controlled trials that were conducted in Kolkata between 2006 and 2008 in partnership with Village Financial Services Private, Ltd. (VFS). VFS is a microfinance institution that currently offers loans varying in</w:t>
      </w:r>
      <w:r w:rsidR="007C1239">
        <w:rPr>
          <w:lang w:val="en-US"/>
        </w:rPr>
        <w:t xml:space="preserve"> </w:t>
      </w:r>
      <w:r>
        <w:t>size from 4,000 to 15,000 INR (66 to 246 USD)</w:t>
      </w:r>
      <w:r w:rsidR="00903DEF">
        <w:rPr>
          <w:rStyle w:val="FootnoteReference"/>
        </w:rPr>
        <w:footnoteReference w:id="2"/>
      </w:r>
      <w:r w:rsidR="00BA63FA">
        <w:rPr>
          <w:lang w:val="en-US"/>
        </w:rPr>
        <w:t xml:space="preserve"> </w:t>
      </w:r>
      <w:r w:rsidR="00903DEF">
        <w:t>to over 160,000 women in Kolkata. The o</w:t>
      </w:r>
      <w:proofErr w:type="spellStart"/>
      <w:r w:rsidR="00903DEF">
        <w:rPr>
          <w:lang w:val="en-US"/>
        </w:rPr>
        <w:t>ffi</w:t>
      </w:r>
      <w:proofErr w:type="spellEnd"/>
      <w:r w:rsidR="00903DEF">
        <w:t>cial criteria for</w:t>
      </w:r>
      <w:r w:rsidR="00BA63FA">
        <w:rPr>
          <w:lang w:val="en-US"/>
        </w:rPr>
        <w:t xml:space="preserve"> </w:t>
      </w:r>
      <w:r w:rsidR="00903DEF">
        <w:t>selection into VFS are that women be between the ages of 18 and 55, that the household have</w:t>
      </w:r>
      <w:r w:rsidR="00BA63FA">
        <w:rPr>
          <w:lang w:val="en-US"/>
        </w:rPr>
        <w:t xml:space="preserve"> </w:t>
      </w:r>
      <w:r w:rsidR="00903DEF">
        <w:t xml:space="preserve">some </w:t>
      </w:r>
      <w:proofErr w:type="spellStart"/>
      <w:r w:rsidR="00BA63FA">
        <w:rPr>
          <w:lang w:val="en-US"/>
        </w:rPr>
        <w:t>i</w:t>
      </w:r>
      <w:proofErr w:type="spellEnd"/>
      <w:r w:rsidR="00903DEF">
        <w:t>ncome-generating activity in the form of a business, and that clients own the home in</w:t>
      </w:r>
      <w:r w:rsidR="003171A8">
        <w:rPr>
          <w:lang w:val="en-US"/>
        </w:rPr>
        <w:t xml:space="preserve"> </w:t>
      </w:r>
      <w:r w:rsidR="00903DEF">
        <w:t>which they reside</w:t>
      </w:r>
      <w:r w:rsidR="00BA63FA">
        <w:rPr>
          <w:lang w:val="en-US"/>
        </w:rPr>
        <w:t>.</w:t>
      </w:r>
      <w:r w:rsidR="00BA63FA">
        <w:rPr>
          <w:rStyle w:val="FootnoteReference"/>
          <w:lang w:val="en-US"/>
        </w:rPr>
        <w:footnoteReference w:id="3"/>
      </w:r>
      <w:r w:rsidR="00BA63FA">
        <w:rPr>
          <w:lang w:val="en-US"/>
        </w:rPr>
        <w:t xml:space="preserve"> </w:t>
      </w:r>
      <w:r w:rsidR="00BA63FA" w:rsidRPr="00BA63FA">
        <w:rPr>
          <w:lang w:val="en-US"/>
        </w:rPr>
        <w:t>VFS clients mirror the typical pro</w:t>
      </w:r>
      <w:r w:rsidR="00BA63FA">
        <w:rPr>
          <w:lang w:val="en-US"/>
        </w:rPr>
        <w:t>fi</w:t>
      </w:r>
      <w:r w:rsidR="00BA63FA" w:rsidRPr="00BA63FA">
        <w:rPr>
          <w:lang w:val="en-US"/>
        </w:rPr>
        <w:t>le of the urban poor in developing</w:t>
      </w:r>
      <w:r w:rsidR="00BA63FA">
        <w:rPr>
          <w:lang w:val="en-US"/>
        </w:rPr>
        <w:t xml:space="preserve"> </w:t>
      </w:r>
      <w:r w:rsidR="00BA63FA" w:rsidRPr="00BA63FA">
        <w:rPr>
          <w:lang w:val="en-US"/>
        </w:rPr>
        <w:t>countries with households reporting an average per capita</w:t>
      </w:r>
      <w:r w:rsidR="00BA63FA">
        <w:rPr>
          <w:lang w:val="en-US"/>
        </w:rPr>
        <w:t xml:space="preserve"> income of less than two dollars </w:t>
      </w:r>
      <w:r w:rsidR="00BA63FA" w:rsidRPr="00BA63FA">
        <w:rPr>
          <w:lang w:val="en-US"/>
        </w:rPr>
        <w:t xml:space="preserve">per day at baseline. In the </w:t>
      </w:r>
      <w:proofErr w:type="spellStart"/>
      <w:r w:rsidR="00BA63FA" w:rsidRPr="00BA63FA">
        <w:rPr>
          <w:lang w:val="en-US"/>
        </w:rPr>
        <w:t>endline</w:t>
      </w:r>
      <w:proofErr w:type="spellEnd"/>
      <w:r w:rsidR="00BA63FA" w:rsidRPr="00BA63FA">
        <w:rPr>
          <w:lang w:val="en-US"/>
        </w:rPr>
        <w:t xml:space="preserve"> survey, over eighty percent of the clients report borrowing</w:t>
      </w:r>
      <w:r w:rsidR="00BA63FA">
        <w:rPr>
          <w:lang w:val="en-US"/>
        </w:rPr>
        <w:t xml:space="preserve"> </w:t>
      </w:r>
      <w:r w:rsidR="00BA63FA" w:rsidRPr="00BA63FA">
        <w:rPr>
          <w:lang w:val="en-US"/>
        </w:rPr>
        <w:t>from other MFIs.</w:t>
      </w:r>
    </w:p>
    <w:p w:rsidR="00BA63FA" w:rsidRDefault="00BA63FA" w:rsidP="000B7249">
      <w:pPr>
        <w:pStyle w:val="Footnote"/>
        <w:autoSpaceDN/>
        <w:jc w:val="both"/>
      </w:pPr>
    </w:p>
    <w:p w:rsidR="00007F3E" w:rsidRDefault="00007F3E" w:rsidP="000B7249">
      <w:pPr>
        <w:pStyle w:val="Footnote"/>
        <w:autoSpaceDN/>
        <w:jc w:val="both"/>
      </w:pPr>
      <w:r>
        <w:t>Individual loans are disbursed to five-member groups of women. Loan officers assemble members into groups that can be composed of members who know one another or not. For example, if two family members come to VFS to borrow a loan, they will be organized into a five-member group with another three women chosen by the loan officer. Therefore, VFS clients may never have met the other women in their loan groups. While VFS gives individual liability loans, groups are asked to meet together to jointly repay their installments to loan officers. Default is very low–VFS reports a repayment rate of 99 percent in 2008-2009.</w:t>
      </w:r>
      <w:r w:rsidR="00B33429">
        <w:rPr>
          <w:rStyle w:val="FootnoteReference"/>
        </w:rPr>
        <w:footnoteReference w:id="4"/>
      </w:r>
    </w:p>
    <w:p w:rsidR="00225503" w:rsidRDefault="00225503" w:rsidP="000B7249">
      <w:pPr>
        <w:jc w:val="both"/>
      </w:pPr>
    </w:p>
    <w:p w:rsidR="00007F3E" w:rsidRDefault="00225503" w:rsidP="000B7249">
      <w:pPr>
        <w:jc w:val="both"/>
      </w:pPr>
      <w:r>
        <w:t xml:space="preserve">As described in </w:t>
      </w:r>
      <w:r w:rsidRPr="00225503">
        <w:t>Feigenberg, Field, and Pande (2013)</w:t>
      </w:r>
      <w:r w:rsidR="00007F3E">
        <w:t xml:space="preserve">, VFS repayment meetings last, on average, just under 20 minutes and typically take place in the home of one of the group members. Group members come to meetings with their installment amount and passbook, a ledger for the client of how much was paid at each meeting. Loan officers conduct each repayment meeting, during which group members take an oath promising regular repayment, deposit payment with the loan officer, and have their passbooks marked as confirmation of their payment. The loan officer maintains a separate record of how much each client paid at a particular date, which is later recorded in an office computer. The oath encourages group responsibility, but the loan contracts are individual-liability. Group members have time to socialize with one another in an unstructured way en route to meetings, while waiting for the loan officer to arrive, and while waiting for one’s turn to pay. </w:t>
      </w:r>
    </w:p>
    <w:p w:rsidR="00007F3E" w:rsidRDefault="00007F3E" w:rsidP="000B7249">
      <w:pPr>
        <w:pStyle w:val="Heading2"/>
        <w:jc w:val="both"/>
        <w:rPr>
          <w:i w:val="0"/>
          <w:iCs w:val="0"/>
          <w:sz w:val="24"/>
          <w:szCs w:val="24"/>
        </w:rPr>
      </w:pPr>
      <w:r>
        <w:t>1. Experimental Design</w:t>
      </w:r>
    </w:p>
    <w:p w:rsidR="00007F3E" w:rsidRPr="00996907" w:rsidRDefault="00007F3E" w:rsidP="000B7249">
      <w:pPr>
        <w:pStyle w:val="Footnote"/>
        <w:autoSpaceDN/>
        <w:jc w:val="both"/>
        <w:rPr>
          <w:lang w:val="en-US"/>
        </w:rPr>
      </w:pPr>
      <w:r>
        <w:t>Between January and September 2008, we randomized 148 five-member client groups into two repayment schedules (74 in each category). Randomization occurred after group formation and loan size had be</w:t>
      </w:r>
      <w:r w:rsidR="00225503">
        <w:t>en determined but prior to loan d</w:t>
      </w:r>
      <w:r>
        <w:t>isbursal.</w:t>
      </w:r>
      <w:r w:rsidR="00225503">
        <w:rPr>
          <w:rStyle w:val="FootnoteReference"/>
        </w:rPr>
        <w:footnoteReference w:id="5"/>
      </w:r>
      <w:r w:rsidR="00996907" w:rsidRPr="00996907">
        <w:t xml:space="preserve"> </w:t>
      </w:r>
      <w:r w:rsidR="00996907">
        <w:t>No clients dropped out of</w:t>
      </w:r>
      <w:r w:rsidR="00996907">
        <w:rPr>
          <w:lang w:val="en-US"/>
        </w:rPr>
        <w:t xml:space="preserve"> </w:t>
      </w:r>
      <w:r w:rsidR="00996907">
        <w:t>the study between group formation and loan disbursement. Weekly client groups met and</w:t>
      </w:r>
      <w:r w:rsidR="00996907">
        <w:rPr>
          <w:lang w:val="en-US"/>
        </w:rPr>
        <w:t xml:space="preserve"> </w:t>
      </w:r>
      <w:r w:rsidR="00996907">
        <w:t>repaid weekly, beginning one week after loan disbursal. Monthly client groups met and repaid</w:t>
      </w:r>
      <w:r w:rsidR="00996907">
        <w:rPr>
          <w:lang w:val="en-US"/>
        </w:rPr>
        <w:t xml:space="preserve"> </w:t>
      </w:r>
      <w:r w:rsidR="00996907">
        <w:t xml:space="preserve">on a monthly basis, starting </w:t>
      </w:r>
      <w:r w:rsidR="00996907">
        <w:rPr>
          <w:lang w:val="en-US"/>
        </w:rPr>
        <w:t>five</w:t>
      </w:r>
      <w:r w:rsidR="00996907">
        <w:t xml:space="preserve"> weeks after loan disbursal. All clients received individual</w:t>
      </w:r>
      <w:r w:rsidR="00996907">
        <w:rPr>
          <w:lang w:val="en-US"/>
        </w:rPr>
        <w:t xml:space="preserve"> </w:t>
      </w:r>
      <w:r w:rsidR="00996907" w:rsidRPr="00996907">
        <w:rPr>
          <w:lang w:val="en-US"/>
        </w:rPr>
        <w:t>liability loans, which, depending on client experience with VFS ranged from 4,000 to 12,000</w:t>
      </w:r>
      <w:r w:rsidR="00996907">
        <w:rPr>
          <w:lang w:val="en-US"/>
        </w:rPr>
        <w:t xml:space="preserve"> </w:t>
      </w:r>
      <w:r w:rsidR="00996907" w:rsidRPr="00996907">
        <w:rPr>
          <w:lang w:val="en-US"/>
        </w:rPr>
        <w:t>INR (66 to 197 USD). All loans had the same tenure (10 months) and interest rate charged</w:t>
      </w:r>
      <w:r w:rsidR="00996907">
        <w:rPr>
          <w:lang w:val="en-US"/>
        </w:rPr>
        <w:t xml:space="preserve"> </w:t>
      </w:r>
      <w:r w:rsidR="00996907" w:rsidRPr="00996907">
        <w:rPr>
          <w:lang w:val="en-US"/>
        </w:rPr>
        <w:t>(an implied 22 percent APR).</w:t>
      </w:r>
    </w:p>
    <w:p w:rsidR="00225503" w:rsidRPr="00225503" w:rsidRDefault="00225503" w:rsidP="000B7249">
      <w:pPr>
        <w:jc w:val="both"/>
      </w:pPr>
    </w:p>
    <w:p w:rsidR="006F01DD" w:rsidRPr="006F01DD" w:rsidRDefault="00007F3E" w:rsidP="000B7249">
      <w:pPr>
        <w:pStyle w:val="Footnote"/>
        <w:autoSpaceDN/>
        <w:jc w:val="both"/>
        <w:rPr>
          <w:lang w:val="en-US"/>
        </w:rPr>
      </w:pPr>
      <w:r>
        <w:t>Our randomized experimental design shares features of earlier repayment flexibility experiments that we conducted with VFS. The first of these, as described in</w:t>
      </w:r>
      <w:r w:rsidR="00996907" w:rsidRPr="00996907">
        <w:t xml:space="preserve"> </w:t>
      </w:r>
      <w:r w:rsidR="00996907">
        <w:t>Field and</w:t>
      </w:r>
      <w:r w:rsidR="00996907">
        <w:rPr>
          <w:lang w:val="en-US"/>
        </w:rPr>
        <w:t xml:space="preserve"> </w:t>
      </w:r>
      <w:r w:rsidR="00996907">
        <w:t>Pande (2008) and Feigenberg, Field, and Pande (2013)</w:t>
      </w:r>
      <w:r>
        <w:t>, randomized first-time clients into two treatment arms: weekly meeting and repayment or monthly meeting and repayment. The results from this experiment indicate that clients who meet weekly are far more likely to form lasting relationships with other group member compared to clients that were required to meet monthly. Furthermore, we show that social capital gained through this experiment had economic returns in the form of increased levels of risk-sharing between clients in the long run.</w:t>
      </w:r>
      <w:r w:rsidR="00996907">
        <w:rPr>
          <w:rStyle w:val="FootnoteReference"/>
        </w:rPr>
        <w:footnoteReference w:id="6"/>
      </w:r>
      <w:r w:rsidR="006F01DD">
        <w:rPr>
          <w:lang w:val="en-US"/>
        </w:rPr>
        <w:t xml:space="preserve"> </w:t>
      </w:r>
      <w:r w:rsidR="006F01DD" w:rsidRPr="006F01DD">
        <w:rPr>
          <w:lang w:val="en-US"/>
        </w:rPr>
        <w:t>In the current study, we replicate the previous experiment among both old and</w:t>
      </w:r>
      <w:r w:rsidR="006F01DD">
        <w:rPr>
          <w:lang w:val="en-US"/>
        </w:rPr>
        <w:t xml:space="preserve"> </w:t>
      </w:r>
      <w:r w:rsidR="006F01DD" w:rsidRPr="006F01DD">
        <w:rPr>
          <w:lang w:val="en-US"/>
        </w:rPr>
        <w:t>new clients to determine whether it is possible to encourage social capital formation even</w:t>
      </w:r>
      <w:r w:rsidR="006F01DD">
        <w:rPr>
          <w:lang w:val="en-US"/>
        </w:rPr>
        <w:t xml:space="preserve"> </w:t>
      </w:r>
      <w:r w:rsidR="006F01DD" w:rsidRPr="006F01DD">
        <w:rPr>
          <w:lang w:val="en-US"/>
        </w:rPr>
        <w:t>among long</w:t>
      </w:r>
      <w:r w:rsidR="006F01DD">
        <w:rPr>
          <w:lang w:val="en-US"/>
        </w:rPr>
        <w:t>-time bank clients. The key diffe</w:t>
      </w:r>
      <w:r w:rsidR="006F01DD" w:rsidRPr="006F01DD">
        <w:rPr>
          <w:lang w:val="en-US"/>
        </w:rPr>
        <w:t xml:space="preserve">rence between the current study and </w:t>
      </w:r>
      <w:proofErr w:type="spellStart"/>
      <w:r w:rsidR="006F01DD" w:rsidRPr="006F01DD">
        <w:rPr>
          <w:lang w:val="en-US"/>
        </w:rPr>
        <w:t>Feigenberg</w:t>
      </w:r>
      <w:proofErr w:type="spellEnd"/>
      <w:r w:rsidR="006F01DD" w:rsidRPr="006F01DD">
        <w:rPr>
          <w:lang w:val="en-US"/>
        </w:rPr>
        <w:t>,</w:t>
      </w:r>
      <w:r w:rsidR="006F01DD">
        <w:rPr>
          <w:lang w:val="en-US"/>
        </w:rPr>
        <w:t xml:space="preserve"> </w:t>
      </w:r>
      <w:r w:rsidR="006F01DD" w:rsidRPr="006F01DD">
        <w:rPr>
          <w:lang w:val="en-US"/>
        </w:rPr>
        <w:t xml:space="preserve">Field, and </w:t>
      </w:r>
      <w:proofErr w:type="spellStart"/>
      <w:r w:rsidR="006F01DD" w:rsidRPr="006F01DD">
        <w:rPr>
          <w:lang w:val="en-US"/>
        </w:rPr>
        <w:t>Pande</w:t>
      </w:r>
      <w:proofErr w:type="spellEnd"/>
      <w:r w:rsidR="006F01DD" w:rsidRPr="006F01DD">
        <w:rPr>
          <w:lang w:val="en-US"/>
        </w:rPr>
        <w:t xml:space="preserve"> (2013) that is central to our analysis is client heterogeneity in terms of</w:t>
      </w:r>
      <w:r w:rsidR="006F01DD">
        <w:rPr>
          <w:lang w:val="en-US"/>
        </w:rPr>
        <w:t xml:space="preserve"> </w:t>
      </w:r>
      <w:r w:rsidR="006F01DD" w:rsidRPr="006F01DD">
        <w:rPr>
          <w:lang w:val="en-US"/>
        </w:rPr>
        <w:t>VFS borrowing history. The exact distribution of experience in our experimental sample of</w:t>
      </w:r>
      <w:r w:rsidR="006F01DD">
        <w:rPr>
          <w:lang w:val="en-US"/>
        </w:rPr>
        <w:t xml:space="preserve"> </w:t>
      </w:r>
      <w:r w:rsidR="006F01DD" w:rsidRPr="006F01DD">
        <w:rPr>
          <w:lang w:val="en-US"/>
        </w:rPr>
        <w:t xml:space="preserve">739 clients is: 29.0 percent (214) were </w:t>
      </w:r>
      <w:r w:rsidR="006F01DD">
        <w:rPr>
          <w:lang w:val="en-US"/>
        </w:rPr>
        <w:t>first</w:t>
      </w:r>
      <w:r w:rsidR="006F01DD" w:rsidRPr="006F01DD">
        <w:rPr>
          <w:lang w:val="en-US"/>
        </w:rPr>
        <w:t>-time borrowers, 27.7 percent (205) had previously</w:t>
      </w:r>
      <w:r w:rsidR="006F01DD">
        <w:rPr>
          <w:lang w:val="en-US"/>
        </w:rPr>
        <w:t xml:space="preserve"> </w:t>
      </w:r>
      <w:r w:rsidR="006F01DD" w:rsidRPr="006F01DD">
        <w:rPr>
          <w:lang w:val="en-US"/>
        </w:rPr>
        <w:t>taken out one VFS loan, and 43.3 percent (320) had previously taken out two VFS loans. In</w:t>
      </w:r>
      <w:r w:rsidR="006F01DD">
        <w:rPr>
          <w:lang w:val="en-US"/>
        </w:rPr>
        <w:t xml:space="preserve"> </w:t>
      </w:r>
      <w:r w:rsidR="006F01DD" w:rsidRPr="006F01DD">
        <w:rPr>
          <w:lang w:val="en-US"/>
        </w:rPr>
        <w:t>composing the client groups, loan o</w:t>
      </w:r>
      <w:r w:rsidR="006F01DD">
        <w:rPr>
          <w:lang w:val="en-US"/>
        </w:rPr>
        <w:t>ffi</w:t>
      </w:r>
      <w:r w:rsidR="006F01DD" w:rsidRPr="006F01DD">
        <w:rPr>
          <w:lang w:val="en-US"/>
        </w:rPr>
        <w:t>cers prioritized keeping clients who were in the same</w:t>
      </w:r>
      <w:r w:rsidR="006F01DD">
        <w:rPr>
          <w:lang w:val="en-US"/>
        </w:rPr>
        <w:t xml:space="preserve"> </w:t>
      </w:r>
      <w:r w:rsidR="006F01DD" w:rsidRPr="006F01DD">
        <w:rPr>
          <w:lang w:val="en-US"/>
        </w:rPr>
        <w:t>group in a previous loan intervention together and replaced drop-outs from those groups with</w:t>
      </w:r>
      <w:r w:rsidR="006F01DD">
        <w:rPr>
          <w:lang w:val="en-US"/>
        </w:rPr>
        <w:t xml:space="preserve"> </w:t>
      </w:r>
      <w:r w:rsidR="006F01DD" w:rsidRPr="006F01DD">
        <w:rPr>
          <w:lang w:val="en-US"/>
        </w:rPr>
        <w:t>new clients. For example, if three members of a group from a previous loan cycle continued</w:t>
      </w:r>
      <w:r w:rsidR="006F01DD">
        <w:rPr>
          <w:lang w:val="en-US"/>
        </w:rPr>
        <w:t xml:space="preserve"> </w:t>
      </w:r>
      <w:r w:rsidR="006F01DD" w:rsidRPr="006F01DD">
        <w:rPr>
          <w:lang w:val="en-US"/>
        </w:rPr>
        <w:t>onto the next, the group in the new loan cycle would have three old clients and two brand</w:t>
      </w:r>
      <w:r w:rsidR="006F01DD">
        <w:rPr>
          <w:lang w:val="en-US"/>
        </w:rPr>
        <w:t xml:space="preserve"> </w:t>
      </w:r>
      <w:r w:rsidR="006F01DD" w:rsidRPr="006F01DD">
        <w:rPr>
          <w:lang w:val="en-US"/>
        </w:rPr>
        <w:t>new clients.</w:t>
      </w:r>
    </w:p>
    <w:p w:rsidR="00007F3E" w:rsidRPr="006F01DD" w:rsidRDefault="00007F3E" w:rsidP="000B7249">
      <w:pPr>
        <w:pStyle w:val="Footnote"/>
        <w:autoSpaceDN/>
        <w:jc w:val="both"/>
        <w:rPr>
          <w:lang w:val="en-US"/>
        </w:rPr>
      </w:pPr>
    </w:p>
    <w:p w:rsidR="00007F3E" w:rsidRDefault="00007F3E" w:rsidP="000B7249">
      <w:pPr>
        <w:pStyle w:val="Heading2"/>
        <w:jc w:val="both"/>
        <w:rPr>
          <w:i w:val="0"/>
          <w:iCs w:val="0"/>
          <w:sz w:val="24"/>
          <w:szCs w:val="24"/>
        </w:rPr>
      </w:pPr>
      <w:r>
        <w:t xml:space="preserve">2. Data </w:t>
      </w:r>
    </w:p>
    <w:p w:rsidR="00007F3E" w:rsidRDefault="00007F3E" w:rsidP="000B7249">
      <w:pPr>
        <w:pStyle w:val="Footnote"/>
        <w:autoSpaceDN/>
        <w:jc w:val="both"/>
      </w:pPr>
      <w:r>
        <w:t>Our analysis makes use of multiple data sets. We surveyed clients on household activities and demographic information twice: before entering the loan cycle (baseline) and shortly after the loan cycle ended (endline).</w:t>
      </w:r>
      <w:r w:rsidR="006F01DD">
        <w:rPr>
          <w:rStyle w:val="FootnoteReference"/>
        </w:rPr>
        <w:footnoteReference w:id="7"/>
      </w:r>
      <w:r w:rsidR="00162136" w:rsidRPr="00162136">
        <w:t xml:space="preserve"> </w:t>
      </w:r>
      <w:r w:rsidR="00162136">
        <w:t>Of the 739 study clients, we were able to collect a</w:t>
      </w:r>
      <w:r w:rsidR="00162136">
        <w:rPr>
          <w:lang w:val="en-US"/>
        </w:rPr>
        <w:t xml:space="preserve"> </w:t>
      </w:r>
      <w:r w:rsidR="00162136">
        <w:t>baseline survey from 706 and an endline survey from 728 clients.</w:t>
      </w:r>
    </w:p>
    <w:p w:rsidR="00007F3E" w:rsidRDefault="00007F3E" w:rsidP="000B7249">
      <w:pPr>
        <w:pStyle w:val="Heading3"/>
        <w:jc w:val="both"/>
        <w:rPr>
          <w:sz w:val="24"/>
          <w:szCs w:val="24"/>
        </w:rPr>
      </w:pPr>
      <w:r>
        <w:t>1. Client Characteristics</w:t>
      </w:r>
    </w:p>
    <w:p w:rsidR="00007F3E" w:rsidRDefault="00007F3E" w:rsidP="000B7249">
      <w:pPr>
        <w:jc w:val="both"/>
      </w:pPr>
      <w:r>
        <w:t xml:space="preserve">The average client in our sample is 35 years old and has completed primary education. Our respondents are predominantly Hindu and roughly 90 percent are married. 26 percent of the clients report their primary occupation as being a housewife. Other reported occupations include business owner and casual laborer. The average borrower reports a household size of four, and 81 percent report that their family owns the home they live in. </w:t>
      </w:r>
    </w:p>
    <w:p w:rsidR="00162136" w:rsidRDefault="00162136" w:rsidP="000B7249">
      <w:pPr>
        <w:pStyle w:val="Footnote"/>
        <w:autoSpaceDN/>
        <w:jc w:val="both"/>
      </w:pPr>
    </w:p>
    <w:p w:rsidR="00007F3E" w:rsidRPr="0097504F" w:rsidRDefault="00007F3E" w:rsidP="000B7249">
      <w:pPr>
        <w:pStyle w:val="Footnote"/>
        <w:autoSpaceDN/>
        <w:jc w:val="both"/>
        <w:rPr>
          <w:lang w:val="en-US"/>
        </w:rPr>
      </w:pPr>
      <w:r>
        <w:t>We also asked clients about financial autonomy and mobility. Over 51 percent of clients report at least one financial asset or account that is separate from their husband. Turning to mobility, 15 percent need permission to go to their neighbor’s house. As group meetings are conducted in the group leader’s house we see this as the empowerment measure that is very likely influenced by our intervention. Specifically, if the client goes on a weekly basis to at least one neighbor’s house, then over time she is likely to be empowered to make visits without explicit permission.</w:t>
      </w:r>
      <w:r w:rsidR="009266BA">
        <w:rPr>
          <w:rStyle w:val="FootnoteReference"/>
        </w:rPr>
        <w:footnoteReference w:id="8"/>
      </w:r>
      <w:r w:rsidR="0097504F">
        <w:rPr>
          <w:lang w:val="en-US"/>
        </w:rPr>
        <w:t xml:space="preserve"> </w:t>
      </w:r>
      <w:r w:rsidR="0097504F" w:rsidRPr="0097504F">
        <w:rPr>
          <w:lang w:val="en-US"/>
        </w:rPr>
        <w:t>Characteristics that have been identi</w:t>
      </w:r>
      <w:r w:rsidR="0097504F">
        <w:rPr>
          <w:lang w:val="en-US"/>
        </w:rPr>
        <w:t>fi</w:t>
      </w:r>
      <w:r w:rsidR="0097504F" w:rsidRPr="0097504F">
        <w:rPr>
          <w:lang w:val="en-US"/>
        </w:rPr>
        <w:t>ed in the literature as</w:t>
      </w:r>
      <w:r w:rsidR="0097504F">
        <w:rPr>
          <w:lang w:val="en-US"/>
        </w:rPr>
        <w:t xml:space="preserve"> </w:t>
      </w:r>
      <w:r w:rsidR="0097504F" w:rsidRPr="0097504F">
        <w:rPr>
          <w:lang w:val="en-US"/>
        </w:rPr>
        <w:t>important predictors of low empowerment play an important role in our data as well: Older</w:t>
      </w:r>
      <w:r w:rsidR="0097504F">
        <w:rPr>
          <w:lang w:val="en-US"/>
        </w:rPr>
        <w:t xml:space="preserve"> women with waged or fi</w:t>
      </w:r>
      <w:r w:rsidR="0097504F" w:rsidRPr="0097504F">
        <w:rPr>
          <w:lang w:val="en-US"/>
        </w:rPr>
        <w:t>xed salary employment are less likely to have to ask for permission to</w:t>
      </w:r>
      <w:r w:rsidR="0097504F">
        <w:rPr>
          <w:lang w:val="en-US"/>
        </w:rPr>
        <w:t xml:space="preserve"> </w:t>
      </w:r>
      <w:r w:rsidR="0097504F" w:rsidRPr="0097504F">
        <w:rPr>
          <w:lang w:val="en-US"/>
        </w:rPr>
        <w:t>go outside the home and married women are more likely to go outside in general. Literate,</w:t>
      </w:r>
      <w:r w:rsidR="0097504F">
        <w:rPr>
          <w:lang w:val="en-US"/>
        </w:rPr>
        <w:t xml:space="preserve"> </w:t>
      </w:r>
      <w:r w:rsidR="0097504F" w:rsidRPr="0097504F">
        <w:rPr>
          <w:lang w:val="en-US"/>
        </w:rPr>
        <w:t>female business owners from wealthier households report having separate bank accounts more</w:t>
      </w:r>
      <w:r w:rsidR="0097504F">
        <w:rPr>
          <w:lang w:val="en-US"/>
        </w:rPr>
        <w:t xml:space="preserve"> </w:t>
      </w:r>
      <w:r w:rsidR="0097504F" w:rsidRPr="0097504F">
        <w:rPr>
          <w:lang w:val="en-US"/>
        </w:rPr>
        <w:t>often. Muslim women in our sample are less likely to have independent accounts and ask for</w:t>
      </w:r>
      <w:r w:rsidR="0097504F">
        <w:rPr>
          <w:lang w:val="en-US"/>
        </w:rPr>
        <w:t xml:space="preserve"> </w:t>
      </w:r>
      <w:r w:rsidR="0097504F" w:rsidRPr="0097504F">
        <w:rPr>
          <w:lang w:val="en-US"/>
        </w:rPr>
        <w:t>permission more frequently.</w:t>
      </w:r>
    </w:p>
    <w:p w:rsidR="009266BA" w:rsidRDefault="009266BA" w:rsidP="000B7249">
      <w:pPr>
        <w:jc w:val="both"/>
      </w:pPr>
    </w:p>
    <w:p w:rsidR="00007F3E" w:rsidRDefault="00007F3E" w:rsidP="000B7249">
      <w:pPr>
        <w:jc w:val="both"/>
        <w:rPr>
          <w:lang w:val="en-US"/>
        </w:rPr>
      </w:pPr>
      <w:r>
        <w:t>As is common among the urban poor in developing countries, households face frequent shocks with roughly half the sample reporting a birth, death, flood, or illness in the past 30 days. On average, a household loses 0.66 days of work when a shock occurs.</w:t>
      </w:r>
      <w:r w:rsidR="00DE068D">
        <w:rPr>
          <w:rStyle w:val="FootnoteReference"/>
        </w:rPr>
        <w:footnoteReference w:id="9"/>
      </w:r>
      <w:r w:rsidR="000B7249">
        <w:rPr>
          <w:lang w:val="en-US"/>
        </w:rPr>
        <w:t xml:space="preserve"> </w:t>
      </w:r>
      <w:r w:rsidR="000B7249" w:rsidRPr="000B7249">
        <w:rPr>
          <w:lang w:val="en-US"/>
        </w:rPr>
        <w:t>It is also clear</w:t>
      </w:r>
      <w:r w:rsidR="000B7249">
        <w:rPr>
          <w:lang w:val="en-US"/>
        </w:rPr>
        <w:t xml:space="preserve"> </w:t>
      </w:r>
      <w:r w:rsidR="000B7249" w:rsidRPr="000B7249">
        <w:rPr>
          <w:lang w:val="en-US"/>
        </w:rPr>
        <w:t>that informal networks play an important role in reducing risk. Clients reported receiving an</w:t>
      </w:r>
      <w:r w:rsidR="000B7249">
        <w:rPr>
          <w:lang w:val="en-US"/>
        </w:rPr>
        <w:t xml:space="preserve"> </w:t>
      </w:r>
      <w:r w:rsidR="000B7249" w:rsidRPr="000B7249">
        <w:rPr>
          <w:lang w:val="en-US"/>
        </w:rPr>
        <w:t>average of 1,711.1 INR (28 USD) and giving an average of 3,796.4 INR (62 USD) in transfers</w:t>
      </w:r>
      <w:r w:rsidR="000B7249">
        <w:rPr>
          <w:lang w:val="en-US"/>
        </w:rPr>
        <w:t xml:space="preserve"> </w:t>
      </w:r>
      <w:r w:rsidR="000B7249" w:rsidRPr="000B7249">
        <w:rPr>
          <w:lang w:val="en-US"/>
        </w:rPr>
        <w:t>to family and friends over the last 12 months.</w:t>
      </w:r>
    </w:p>
    <w:p w:rsidR="000B7249" w:rsidRPr="000B7249" w:rsidRDefault="000B7249" w:rsidP="000B7249">
      <w:pPr>
        <w:jc w:val="both"/>
        <w:rPr>
          <w:lang w:val="en-US"/>
        </w:rPr>
      </w:pPr>
    </w:p>
    <w:p w:rsidR="00007F3E" w:rsidRDefault="00007F3E" w:rsidP="000B7249">
      <w:pPr>
        <w:jc w:val="both"/>
      </w:pPr>
      <w:r>
        <w:t xml:space="preserve">To explore the strength of the microfinance group network, our baseline survey asked each client about two of her four group members. (This selection was random). For each of these two group members the interviewee was asked whether she knew the group member’s husband’s name, whether she was willing to help the group member in a time of need, and whether she talked about her business with the group member. Responses to these questions provide a measure of baseline knowledge of group members since the baseline survey occurred after groups had been formed but prior to loan disbursement. On average, 75.2 percent of clients were aware of the name of the husband of another group member. While the reported willingness to help another group member is very high (with over 90 percent of clients answering affirmatively), only 16.2 percent of respondents talked to other group members about their businesses. </w:t>
      </w:r>
    </w:p>
    <w:p w:rsidR="000B7249" w:rsidRDefault="000B7249" w:rsidP="000B7249">
      <w:pPr>
        <w:jc w:val="both"/>
      </w:pPr>
    </w:p>
    <w:p w:rsidR="00007F3E" w:rsidRDefault="00007F3E" w:rsidP="000B7249">
      <w:pPr>
        <w:jc w:val="both"/>
      </w:pPr>
      <w:r>
        <w:t>We also observe variation in the loan cycle composition of groups. The average group in our sample includes 1.5 new members. Reflecting the fact that loan officers prioritized keeping previous groups intact, we observe clustering of first-time borrowers.</w:t>
      </w:r>
      <w:r w:rsidR="000B7249">
        <w:rPr>
          <w:lang w:val="en-US"/>
        </w:rPr>
        <w:t xml:space="preserve"> </w:t>
      </w:r>
      <w:r>
        <w:t xml:space="preserve">The average new client has 2.4 group members who are also new clients, while the average returning borrower has only 0.7 such group members. This difference is driven by the fact that 47.0 percent of first-time borrowers have groups composed entirely of new borrowers (there are 19 such groups), while 49.3 percent of returning borrowers have groups without a single first-time borrower (there are 53 such groups). Existing clients/borrowers carry loans that are 25.3 percent larger than those taken out by their new counterparts, on average. </w:t>
      </w:r>
    </w:p>
    <w:p w:rsidR="00007F3E" w:rsidRDefault="00007F3E" w:rsidP="000B7249">
      <w:pPr>
        <w:pStyle w:val="Heading3"/>
        <w:jc w:val="both"/>
        <w:rPr>
          <w:sz w:val="24"/>
          <w:szCs w:val="24"/>
        </w:rPr>
      </w:pPr>
      <w:r>
        <w:t xml:space="preserve">2. Social Interactions </w:t>
      </w:r>
    </w:p>
    <w:p w:rsidR="00007F3E" w:rsidRDefault="00007F3E" w:rsidP="000B7249">
      <w:pPr>
        <w:jc w:val="both"/>
      </w:pPr>
      <w:r>
        <w:t>To measure social interactions, we first exploit data collected during group meetings. The survey was administered every four weeks in both weekly repayment and monthly repayment groups to ensure identical frequency with which borrowers were asked about social behavior (which, in turn, could potentially influence actual behaviors). As interviews occurred in the presence of other group members, we chose not to interview clients about relationships with particular group members (for f</w:t>
      </w:r>
      <w:r w:rsidR="000B7249">
        <w:t>urther discussion on this, see Feigenberg, Field, and Pande,</w:t>
      </w:r>
      <w:r w:rsidR="000B7249">
        <w:rPr>
          <w:lang w:val="en-US"/>
        </w:rPr>
        <w:t xml:space="preserve"> </w:t>
      </w:r>
      <w:r w:rsidR="000B7249">
        <w:t>2013)</w:t>
      </w:r>
      <w:r>
        <w:t>. Instead, clients were asked about the total number of group members with whom they had discussed personal matters, engaged in home visits, etc.</w:t>
      </w:r>
      <w:r w:rsidR="000B7249">
        <w:rPr>
          <w:lang w:val="en-US"/>
        </w:rPr>
        <w:t xml:space="preserve"> </w:t>
      </w:r>
      <w:r>
        <w:t xml:space="preserve">Group meeting survey data was collected from all 739 borrowers. However, to mitigate sample selection concerns we exclude responses recorded after week 23 of the loan cycle (clients were permitted to finish repaying loans in full after this date). Once the sample is restricted to include only observations within 23 weeks of loan disbursal, we are left with 707 clients in the sample and an average of 3.8 responses per client. </w:t>
      </w:r>
    </w:p>
    <w:p w:rsidR="000B7249" w:rsidRDefault="000B7249" w:rsidP="000B7249">
      <w:pPr>
        <w:pStyle w:val="Footnote"/>
        <w:autoSpaceDN/>
        <w:jc w:val="both"/>
      </w:pPr>
    </w:p>
    <w:p w:rsidR="00007F3E" w:rsidRPr="000B7249" w:rsidRDefault="00007F3E" w:rsidP="000B7249">
      <w:pPr>
        <w:pStyle w:val="Footnote"/>
        <w:autoSpaceDN/>
        <w:jc w:val="both"/>
        <w:rPr>
          <w:vertAlign w:val="superscript"/>
          <w:lang w:val="en-US"/>
        </w:rPr>
      </w:pPr>
      <w:r>
        <w:t>To summarize overall changes in social interactions we construct a Group Meeting Social Contact Index. This index estimates average effect size based on responses to the following three survey questions: (1) “How many group members have visited you in your house in the last two weeks?”, (2) “How many people in the group did you talk to about business matters in the last two weeks?” and (3) “How many people in the group did you talk to about personal matters in the last two weeks?”. Each component z-score included in the index is constructed by subtracting the Control group mean from client responses and dividing by the Control group standard deviation.</w:t>
      </w:r>
      <w:r w:rsidR="000B7249">
        <w:rPr>
          <w:rStyle w:val="FootnoteReference"/>
        </w:rPr>
        <w:footnoteReference w:id="10"/>
      </w:r>
      <w:r w:rsidR="000B7249">
        <w:rPr>
          <w:lang w:val="en-US"/>
        </w:rPr>
        <w:t xml:space="preserve"> </w:t>
      </w:r>
      <w:r w:rsidR="000B7249" w:rsidRPr="000B7249">
        <w:rPr>
          <w:lang w:val="en-US"/>
        </w:rPr>
        <w:t>For each included outcome measure,</w:t>
      </w:r>
      <w:r w:rsidR="000B7249">
        <w:rPr>
          <w:lang w:val="en-US"/>
        </w:rPr>
        <w:t xml:space="preserve"> </w:t>
      </w:r>
      <w:r w:rsidR="000B7249" w:rsidRPr="000B7249">
        <w:rPr>
          <w:lang w:val="en-US"/>
        </w:rPr>
        <w:t xml:space="preserve">client-level responses are averaged over all group meetings that occurred between the </w:t>
      </w:r>
      <w:r w:rsidR="000B7249">
        <w:rPr>
          <w:lang w:val="en-US"/>
        </w:rPr>
        <w:t xml:space="preserve">first </w:t>
      </w:r>
      <w:r w:rsidR="000B7249" w:rsidRPr="000B7249">
        <w:rPr>
          <w:lang w:val="en-US"/>
        </w:rPr>
        <w:t>and twenty-third week after loan disbursal. On average, clients reported having visited 0.75</w:t>
      </w:r>
      <w:r w:rsidR="000B7249">
        <w:rPr>
          <w:lang w:val="en-US"/>
        </w:rPr>
        <w:t xml:space="preserve"> </w:t>
      </w:r>
      <w:r w:rsidR="000B7249" w:rsidRPr="000B7249">
        <w:rPr>
          <w:lang w:val="en-US"/>
        </w:rPr>
        <w:t>group members and having been visited by 1.5 group members in the last two weeks. In</w:t>
      </w:r>
      <w:r w:rsidR="000B7249">
        <w:rPr>
          <w:lang w:val="en-US"/>
        </w:rPr>
        <w:t xml:space="preserve"> </w:t>
      </w:r>
      <w:r w:rsidR="000B7249" w:rsidRPr="000B7249">
        <w:rPr>
          <w:lang w:val="en-US"/>
        </w:rPr>
        <w:t>addition, clients reported having spoken with 1.1 group members about business matters</w:t>
      </w:r>
      <w:r w:rsidR="000B7249">
        <w:rPr>
          <w:lang w:val="en-US"/>
        </w:rPr>
        <w:t xml:space="preserve"> </w:t>
      </w:r>
      <w:r w:rsidR="000B7249" w:rsidRPr="000B7249">
        <w:rPr>
          <w:lang w:val="en-US"/>
        </w:rPr>
        <w:t>and with 1.4 group members about personal matters in the past two weeks.</w:t>
      </w:r>
      <w:r w:rsidR="000B7249">
        <w:rPr>
          <w:lang w:val="en-US"/>
        </w:rPr>
        <w:t xml:space="preserve"> </w:t>
      </w:r>
    </w:p>
    <w:p w:rsidR="000B7249" w:rsidRPr="000B7249" w:rsidRDefault="000B7249" w:rsidP="000B7249">
      <w:pPr>
        <w:jc w:val="both"/>
      </w:pPr>
    </w:p>
    <w:p w:rsidR="00007F3E" w:rsidRDefault="00007F3E" w:rsidP="000B7249">
      <w:pPr>
        <w:jc w:val="both"/>
      </w:pPr>
      <w:r>
        <w:t>To examine the strength of pairwise social ties, we complement the group meeting data with endline survey data. The endline survey was completed for 728 borrowers, resulting in a total of 2,908 pairwise observations. Since surveys were conducted in respondents’ homes, surveyors could ask about particular pairwise relationships. Paralleling the group meeting data analysis, we construct an Endline Social Contact Index. This index estimates average effect size based on responses to the following three survey</w:t>
      </w:r>
      <w:r w:rsidR="000B7249">
        <w:rPr>
          <w:lang w:val="en-US"/>
        </w:rPr>
        <w:t xml:space="preserve"> </w:t>
      </w:r>
      <w:r>
        <w:t xml:space="preserve">questions: (1) “On average, how many times did you meet this group member (outside group meetings) in the last 30 days?”, (2) “Do you talk to her about her family?” and (3) “On a scale of 1 to 5, on average, how close are you to this group member?(1 is a stranger and 5 is your husband/closest family member)?”. On average, clients reported two pairwise meetings over the past 30 days. Clients reported speaking to 39.3 percent of group members about their families, and the average reported closeness measure was three. </w:t>
      </w:r>
    </w:p>
    <w:p w:rsidR="00007F3E" w:rsidRDefault="00007F3E" w:rsidP="000B7249">
      <w:pPr>
        <w:pStyle w:val="Heading3"/>
        <w:jc w:val="both"/>
        <w:rPr>
          <w:sz w:val="24"/>
          <w:szCs w:val="24"/>
        </w:rPr>
      </w:pPr>
      <w:r>
        <w:t>3. Randomization Check</w:t>
      </w:r>
    </w:p>
    <w:p w:rsidR="00007F3E" w:rsidRDefault="00007F3E" w:rsidP="000B7249">
      <w:pPr>
        <w:jc w:val="both"/>
      </w:pPr>
      <w:r>
        <w:t>Table 1 reports a randomization balance check using baseline data. Panel A considers borrower and household characteristics and Panel B empowerment measures. Column (1) shows the mean of each characteristic for clients assigned to the monthly group. In</w:t>
      </w:r>
      <w:r w:rsidR="000B7249">
        <w:rPr>
          <w:lang w:val="en-US"/>
        </w:rPr>
        <w:t xml:space="preserve"> </w:t>
      </w:r>
      <w:r>
        <w:t xml:space="preserve">column (2), we report the p-value of whether the mean of each characteristic is different for weekly clients. The two groups are balanced, as the weekly group is not significantly different from the monthly group on any characteristic. </w:t>
      </w:r>
    </w:p>
    <w:p w:rsidR="000B7249" w:rsidRDefault="000B7249" w:rsidP="000B7249">
      <w:pPr>
        <w:jc w:val="both"/>
      </w:pPr>
    </w:p>
    <w:p w:rsidR="00007F3E" w:rsidRDefault="00007F3E" w:rsidP="000B7249">
      <w:pPr>
        <w:jc w:val="both"/>
      </w:pPr>
      <w:r>
        <w:t xml:space="preserve">We are particularly interested in whether women with little history of interaction are likely to gain more in terms of social capital from joining a group. It is, of course, the case that women who join recently look different from those who have already taken out multiple MFI loans. Columns (3) through (5) examine whether baseline characteristics vary depending on client tenure and contract assignment. To do so we estimate: </w:t>
      </w:r>
    </w:p>
    <w:p w:rsidR="000B7249" w:rsidRDefault="000B7249" w:rsidP="000B7249">
      <w:pPr>
        <w:jc w:val="both"/>
      </w:pPr>
    </w:p>
    <w:tbl>
      <w:tblPr>
        <w:tblW w:w="5000" w:type="pct"/>
        <w:tblLook w:val="04A0"/>
      </w:tblPr>
      <w:tblGrid>
        <w:gridCol w:w="1437"/>
        <w:gridCol w:w="6703"/>
        <w:gridCol w:w="1436"/>
      </w:tblGrid>
      <w:tr w:rsidR="00007F3E">
        <w:tc>
          <w:tcPr>
            <w:tcW w:w="750" w:type="pct"/>
            <w:vAlign w:val="center"/>
          </w:tcPr>
          <w:p w:rsidR="00007F3E" w:rsidRDefault="00007F3E" w:rsidP="000B7249">
            <w:pPr>
              <w:jc w:val="both"/>
            </w:pPr>
          </w:p>
        </w:tc>
        <w:tc>
          <w:tcPr>
            <w:tcW w:w="3500" w:type="pct"/>
          </w:tcPr>
          <w:p w:rsidR="00007F3E" w:rsidRDefault="00454675" w:rsidP="000B7249">
            <w:pPr>
              <w:jc w:val="both"/>
            </w:pPr>
            <m:oMathPara>
              <m:oMathParaPr>
                <m:jc m:val="centerGroup"/>
              </m:oMathParaPr>
              <m:oMath>
                <m:sSub>
                  <m:sSubPr>
                    <m:ctrlPr>
                      <w:rPr>
                        <w:rFonts w:ascii="Cambria Math" w:hAnsi="Cambria Math" w:cs="Cambria Math"/>
                        <w:i/>
                        <w:iCs/>
                      </w:rPr>
                    </m:ctrlPr>
                  </m:sSubPr>
                  <m:e>
                    <m:r>
                      <w:rPr>
                        <w:rFonts w:ascii="Cambria Math" w:hAnsi="Cambria Math" w:cs="Cambria Math"/>
                      </w:rPr>
                      <m:t>Y</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1</m:t>
                    </m:r>
                  </m:sub>
                </m:sSub>
                <m:r>
                  <m:rPr>
                    <m:sty m:val="p"/>
                  </m:rPr>
                  <w:rPr>
                    <w:rFonts w:ascii="Cambria Math" w:hAnsi="Cambria Math" w:cs="Cambria Math"/>
                  </w:rPr>
                  <m:t>Ne</m:t>
                </m:r>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2</m:t>
                    </m:r>
                  </m:sub>
                </m:sSub>
                <m:sSub>
                  <m:sSubPr>
                    <m:ctrlPr>
                      <w:rPr>
                        <w:rFonts w:ascii="Cambria Math" w:hAnsi="Cambria Math" w:cs="Cambria Math"/>
                        <w:i/>
                        <w:iCs/>
                      </w:rPr>
                    </m:ctrlPr>
                  </m:sSubPr>
                  <m:e>
                    <m:r>
                      <w:rPr>
                        <w:rFonts w:ascii="Cambria Math" w:hAnsi="Cambria Math" w:cs="Cambria Math"/>
                      </w:rPr>
                      <m:t>W</m:t>
                    </m:r>
                  </m:e>
                  <m:sub>
                    <m:r>
                      <w:rPr>
                        <w:rFonts w:ascii="Cambria Math" w:hAnsi="Cambria Math" w:cs="Cambria Math"/>
                      </w:rPr>
                      <m:t>g</m:t>
                    </m:r>
                  </m:sub>
                </m:sSub>
                <m:r>
                  <w:rPr>
                    <w:rFonts w:ascii="Cambria Math" w:hAnsi="Cambria Math" w:cs="Cambria Math"/>
                  </w:rPr>
                  <m:t>+</m:t>
                </m:r>
                <m:r>
                  <w:rPr>
                    <w:rFonts w:ascii="Cambria Math" w:hAnsi="Cambria Math" w:cs="Cambria Math"/>
                  </w:rPr>
                  <m:t>γ</m:t>
                </m:r>
                <m:sSub>
                  <m:sSubPr>
                    <m:ctrlPr>
                      <w:rPr>
                        <w:rFonts w:ascii="Cambria Math" w:hAnsi="Cambria Math" w:cs="Cambria Math"/>
                        <w:i/>
                        <w:iCs/>
                      </w:rPr>
                    </m:ctrlPr>
                  </m:sSubPr>
                  <m:e>
                    <m:r>
                      <w:rPr>
                        <w:rFonts w:ascii="Cambria Math" w:hAnsi="Cambria Math" w:cs="Cambria Math"/>
                      </w:rPr>
                      <m:t>X</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ϵ</m:t>
                    </m:r>
                  </m:e>
                  <m:sub>
                    <m:r>
                      <w:rPr>
                        <w:rFonts w:ascii="Cambria Math" w:hAnsi="Cambria Math" w:cs="Cambria Math"/>
                      </w:rPr>
                      <m:t>gi</m:t>
                    </m:r>
                  </m:sub>
                </m:sSub>
              </m:oMath>
            </m:oMathPara>
          </w:p>
        </w:tc>
        <w:tc>
          <w:tcPr>
            <w:tcW w:w="750" w:type="pct"/>
            <w:vAlign w:val="center"/>
          </w:tcPr>
          <w:p w:rsidR="00007F3E" w:rsidRDefault="00007F3E" w:rsidP="000B7249">
            <w:pPr>
              <w:widowControl/>
              <w:jc w:val="both"/>
            </w:pPr>
            <w:r>
              <w:t>(1)</w:t>
            </w:r>
          </w:p>
        </w:tc>
      </w:tr>
    </w:tbl>
    <w:p w:rsidR="000B7249" w:rsidRDefault="000B7249" w:rsidP="000B7249">
      <w:pPr>
        <w:jc w:val="both"/>
      </w:pPr>
    </w:p>
    <w:p w:rsidR="00007F3E" w:rsidRDefault="00007F3E" w:rsidP="000B7249">
      <w:pPr>
        <w:jc w:val="both"/>
      </w:pPr>
      <w:r>
        <w:t xml:space="preserve">where </w:t>
      </w:r>
      <m:oMath>
        <m:sSub>
          <m:sSubPr>
            <m:ctrlPr>
              <w:rPr>
                <w:rFonts w:ascii="Cambria Math" w:hAnsi="Cambria Math" w:cs="Cambria Math"/>
                <w:i/>
                <w:iCs/>
              </w:rPr>
            </m:ctrlPr>
          </m:sSubPr>
          <m:e>
            <m:r>
              <w:rPr>
                <w:rFonts w:ascii="Cambria Math" w:hAnsi="Cambria Math" w:cs="Cambria Math"/>
              </w:rPr>
              <m:t>Y</m:t>
            </m:r>
          </m:e>
          <m:sub>
            <m:r>
              <w:rPr>
                <w:rFonts w:ascii="Cambria Math" w:hAnsi="Cambria Math" w:cs="Cambria Math"/>
              </w:rPr>
              <m:t>gi</m:t>
            </m:r>
          </m:sub>
        </m:sSub>
      </m:oMath>
      <w:r>
        <w:t xml:space="preserve"> is the outcome of interest for client </w:t>
      </w:r>
      <m:oMath>
        <m:r>
          <w:rPr>
            <w:rFonts w:ascii="Cambria Math" w:hAnsi="Cambria Math" w:cs="Cambria Math"/>
          </w:rPr>
          <m:t>i</m:t>
        </m:r>
      </m:oMath>
      <w:r>
        <w:t xml:space="preserve"> in loan group </w:t>
      </w:r>
      <m:oMath>
        <m:r>
          <w:rPr>
            <w:rFonts w:ascii="Cambria Math" w:hAnsi="Cambria Math" w:cs="Cambria Math"/>
          </w:rPr>
          <m:t>g</m:t>
        </m:r>
      </m:oMath>
      <w:r>
        <w:t xml:space="preserve"> and </w:t>
      </w:r>
      <m:oMath>
        <m:sSub>
          <m:sSubPr>
            <m:ctrlPr>
              <w:rPr>
                <w:rFonts w:ascii="Cambria Math" w:hAnsi="Cambria Math" w:cs="Cambria Math"/>
                <w:i/>
                <w:iCs/>
              </w:rPr>
            </m:ctrlPr>
          </m:sSubPr>
          <m:e>
            <m:r>
              <w:rPr>
                <w:rFonts w:ascii="Cambria Math" w:hAnsi="Cambria Math" w:cs="Cambria Math"/>
              </w:rPr>
              <m:t>W</m:t>
            </m:r>
          </m:e>
          <m:sub>
            <m:r>
              <w:rPr>
                <w:rFonts w:ascii="Cambria Math" w:hAnsi="Cambria Math" w:cs="Cambria Math"/>
              </w:rPr>
              <m:t>g</m:t>
            </m:r>
          </m:sub>
        </m:sSub>
      </m:oMath>
      <w:r>
        <w:t xml:space="preserve"> is an indicator for group assignment to the high frequency (weekly) repayment treatment arm. </w:t>
      </w:r>
      <m:oMath>
        <m:sSub>
          <m:sSubPr>
            <m:ctrlPr>
              <w:rPr>
                <w:rFonts w:ascii="Cambria Math" w:hAnsi="Cambria Math" w:cs="Cambria Math"/>
                <w:i/>
                <w:iCs/>
              </w:rPr>
            </m:ctrlPr>
          </m:sSubPr>
          <m:e>
            <m:r>
              <w:rPr>
                <w:rFonts w:ascii="Cambria Math" w:hAnsi="Cambria Math" w:cs="Cambria Math"/>
              </w:rPr>
              <m:t>X</m:t>
            </m:r>
          </m:e>
          <m:sub>
            <m:r>
              <w:rPr>
                <w:rFonts w:ascii="Cambria Math" w:hAnsi="Cambria Math" w:cs="Cambria Math"/>
              </w:rPr>
              <m:t>gi</m:t>
            </m:r>
          </m:sub>
        </m:sSub>
      </m:oMath>
      <w:r>
        <w:t xml:space="preserve"> includes controls for stratif</w:t>
      </w:r>
      <w:r w:rsidR="000B7249">
        <w:rPr>
          <w:lang w:val="en-US"/>
        </w:rPr>
        <w:t>ication</w:t>
      </w:r>
      <w:r>
        <w:t xml:space="preserve"> dummies and loan size. </w:t>
      </w:r>
      <m:oMath>
        <m:r>
          <m:rPr>
            <m:sty m:val="p"/>
          </m:rPr>
          <w:rPr>
            <w:rFonts w:ascii="Cambria Math" w:hAnsi="Cambria Math" w:cs="Cambria Math"/>
          </w:rPr>
          <m:t>Ne</m:t>
        </m:r>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gi</m:t>
            </m:r>
          </m:sub>
        </m:sSub>
      </m:oMath>
      <w:r>
        <w:t xml:space="preserve"> is an indicator for whether client </w:t>
      </w:r>
      <m:oMath>
        <m:r>
          <w:rPr>
            <w:rFonts w:ascii="Cambria Math" w:hAnsi="Cambria Math" w:cs="Cambria Math"/>
          </w:rPr>
          <m:t>i</m:t>
        </m:r>
      </m:oMath>
      <w:r>
        <w:t xml:space="preserve"> is a first-time VFS borrower. Column (3) reports the coefficient </w:t>
      </w:r>
      <m:oMath>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1</m:t>
            </m:r>
          </m:sub>
        </m:sSub>
      </m:oMath>
      <w:r>
        <w:t xml:space="preserve"> and column (4) the coefficient </w:t>
      </w:r>
      <m:oMath>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2</m:t>
            </m:r>
          </m:sub>
        </m:sSub>
      </m:oMath>
      <w:r>
        <w:t xml:space="preserve"> in the above regression. Finally, in column (5) we show the mean for monthly returning clients in the control group. </w:t>
      </w:r>
    </w:p>
    <w:p w:rsidR="00056BD5" w:rsidRDefault="00056BD5" w:rsidP="000B7249">
      <w:pPr>
        <w:jc w:val="both"/>
      </w:pPr>
    </w:p>
    <w:p w:rsidR="00007F3E" w:rsidRDefault="00007F3E" w:rsidP="000B7249">
      <w:pPr>
        <w:jc w:val="both"/>
      </w:pPr>
      <w:r>
        <w:t xml:space="preserve">New clients are younger and have smaller loans than returning borrowers. They report nearly an extra year of formal education but also having to ask permission to go 15 minutes outside the home. As noted previously, new clients are also much more likely to be placed in groups with a larger fraction of new borrowers since loan officers want to preserve returning borrowers’ group structure. </w:t>
      </w:r>
    </w:p>
    <w:p w:rsidR="00007F3E" w:rsidRDefault="00007F3E" w:rsidP="000B7249">
      <w:pPr>
        <w:pStyle w:val="Heading2"/>
        <w:jc w:val="both"/>
        <w:rPr>
          <w:i w:val="0"/>
          <w:iCs w:val="0"/>
          <w:sz w:val="24"/>
          <w:szCs w:val="24"/>
        </w:rPr>
      </w:pPr>
      <w:r>
        <w:t>3. Empirical Strategy</w:t>
      </w:r>
    </w:p>
    <w:p w:rsidR="00007F3E" w:rsidRDefault="00007F3E" w:rsidP="000B7249">
      <w:pPr>
        <w:jc w:val="both"/>
      </w:pPr>
      <w:r>
        <w:t xml:space="preserve">Randomization of client groups into weekly or monthly repayment means that we can estimate the causal effect of meeting frequency on social capital outcomes with the following regression: </w:t>
      </w:r>
    </w:p>
    <w:p w:rsidR="00056BD5" w:rsidRDefault="00056BD5" w:rsidP="000B7249">
      <w:pPr>
        <w:jc w:val="both"/>
      </w:pPr>
    </w:p>
    <w:tbl>
      <w:tblPr>
        <w:tblW w:w="5000" w:type="pct"/>
        <w:tblLook w:val="04A0"/>
      </w:tblPr>
      <w:tblGrid>
        <w:gridCol w:w="1437"/>
        <w:gridCol w:w="6703"/>
        <w:gridCol w:w="1436"/>
      </w:tblGrid>
      <w:tr w:rsidR="00007F3E">
        <w:tc>
          <w:tcPr>
            <w:tcW w:w="750" w:type="pct"/>
            <w:vAlign w:val="center"/>
          </w:tcPr>
          <w:p w:rsidR="00007F3E" w:rsidRDefault="00007F3E" w:rsidP="000B7249">
            <w:pPr>
              <w:jc w:val="both"/>
            </w:pPr>
          </w:p>
        </w:tc>
        <w:tc>
          <w:tcPr>
            <w:tcW w:w="3500" w:type="pct"/>
          </w:tcPr>
          <w:p w:rsidR="00007F3E" w:rsidRDefault="00454675" w:rsidP="000B7249">
            <w:pPr>
              <w:jc w:val="both"/>
            </w:pPr>
            <m:oMathPara>
              <m:oMathParaPr>
                <m:jc m:val="centerGroup"/>
              </m:oMathParaPr>
              <m:oMath>
                <m:sSub>
                  <m:sSubPr>
                    <m:ctrlPr>
                      <w:rPr>
                        <w:rFonts w:ascii="Cambria Math" w:hAnsi="Cambria Math" w:cs="Cambria Math"/>
                        <w:i/>
                        <w:iCs/>
                      </w:rPr>
                    </m:ctrlPr>
                  </m:sSubPr>
                  <m:e>
                    <m:r>
                      <w:rPr>
                        <w:rFonts w:ascii="Cambria Math" w:hAnsi="Cambria Math" w:cs="Cambria Math"/>
                      </w:rPr>
                      <m:t>Y</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1</m:t>
                    </m:r>
                  </m:sub>
                </m:sSub>
                <m:sSub>
                  <m:sSubPr>
                    <m:ctrlPr>
                      <w:rPr>
                        <w:rFonts w:ascii="Cambria Math" w:hAnsi="Cambria Math" w:cs="Cambria Math"/>
                        <w:i/>
                        <w:iCs/>
                      </w:rPr>
                    </m:ctrlPr>
                  </m:sSubPr>
                  <m:e>
                    <m:r>
                      <w:rPr>
                        <w:rFonts w:ascii="Cambria Math" w:hAnsi="Cambria Math" w:cs="Cambria Math"/>
                      </w:rPr>
                      <m:t>W</m:t>
                    </m:r>
                  </m:e>
                  <m:sub>
                    <m:r>
                      <w:rPr>
                        <w:rFonts w:ascii="Cambria Math" w:hAnsi="Cambria Math" w:cs="Cambria Math"/>
                      </w:rPr>
                      <m:t>g</m:t>
                    </m:r>
                  </m:sub>
                </m:sSub>
                <m:r>
                  <w:rPr>
                    <w:rFonts w:ascii="Cambria Math" w:hAnsi="Cambria Math" w:cs="Cambria Math"/>
                  </w:rPr>
                  <m:t>+</m:t>
                </m:r>
                <m:r>
                  <w:rPr>
                    <w:rFonts w:ascii="Cambria Math" w:hAnsi="Cambria Math" w:cs="Cambria Math"/>
                  </w:rPr>
                  <m:t>γ</m:t>
                </m:r>
                <m:sSub>
                  <m:sSubPr>
                    <m:ctrlPr>
                      <w:rPr>
                        <w:rFonts w:ascii="Cambria Math" w:hAnsi="Cambria Math" w:cs="Cambria Math"/>
                        <w:i/>
                        <w:iCs/>
                      </w:rPr>
                    </m:ctrlPr>
                  </m:sSubPr>
                  <m:e>
                    <m:r>
                      <w:rPr>
                        <w:rFonts w:ascii="Cambria Math" w:hAnsi="Cambria Math" w:cs="Cambria Math"/>
                      </w:rPr>
                      <m:t>X</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ϵ</m:t>
                    </m:r>
                  </m:e>
                  <m:sub>
                    <m:r>
                      <w:rPr>
                        <w:rFonts w:ascii="Cambria Math" w:hAnsi="Cambria Math" w:cs="Cambria Math"/>
                      </w:rPr>
                      <m:t>gi</m:t>
                    </m:r>
                  </m:sub>
                </m:sSub>
              </m:oMath>
            </m:oMathPara>
          </w:p>
        </w:tc>
        <w:tc>
          <w:tcPr>
            <w:tcW w:w="750" w:type="pct"/>
            <w:vAlign w:val="center"/>
          </w:tcPr>
          <w:p w:rsidR="00007F3E" w:rsidRDefault="00007F3E" w:rsidP="000B7249">
            <w:pPr>
              <w:widowControl/>
              <w:jc w:val="both"/>
            </w:pPr>
            <w:r>
              <w:t>(2)</w:t>
            </w:r>
          </w:p>
        </w:tc>
      </w:tr>
    </w:tbl>
    <w:p w:rsidR="00007F3E" w:rsidRDefault="00007F3E" w:rsidP="000B7249">
      <w:pPr>
        <w:jc w:val="both"/>
      </w:pPr>
    </w:p>
    <w:p w:rsidR="00007F3E" w:rsidRDefault="00007F3E" w:rsidP="000B7249">
      <w:pPr>
        <w:jc w:val="both"/>
      </w:pPr>
      <w:r>
        <w:t xml:space="preserve">In our primary analysis in Table 2, we examine whether differences in new client outcomes across monthly and weekly groups vary with own borrowing history and with the fraction of other newcomers in a group. To do so we estimate: </w:t>
      </w:r>
    </w:p>
    <w:p w:rsidR="00056BD5" w:rsidRDefault="00056BD5" w:rsidP="000B7249">
      <w:pPr>
        <w:jc w:val="both"/>
      </w:pPr>
    </w:p>
    <w:p w:rsidR="00007F3E" w:rsidRDefault="00454675" w:rsidP="000B7249">
      <w:pPr>
        <w:jc w:val="both"/>
      </w:pPr>
      <m:oMathPara>
        <m:oMathParaPr>
          <m:jc m:val="centerGroup"/>
        </m:oMathParaPr>
        <m:oMath>
          <m:sSub>
            <m:sSubPr>
              <m:ctrlPr>
                <w:rPr>
                  <w:rFonts w:ascii="Cambria Math" w:hAnsi="Cambria Math" w:cs="Cambria Math"/>
                  <w:i/>
                  <w:iCs/>
                </w:rPr>
              </m:ctrlPr>
            </m:sSubPr>
            <m:e>
              <m:r>
                <w:rPr>
                  <w:rFonts w:ascii="Cambria Math" w:hAnsi="Cambria Math" w:cs="Cambria Math"/>
                </w:rPr>
                <m:t>Y</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1</m:t>
              </m:r>
            </m:sub>
          </m:sSub>
          <m:sSub>
            <m:sSubPr>
              <m:ctrlPr>
                <w:rPr>
                  <w:rFonts w:ascii="Cambria Math" w:hAnsi="Cambria Math" w:cs="Cambria Math"/>
                  <w:i/>
                  <w:iCs/>
                </w:rPr>
              </m:ctrlPr>
            </m:sSubPr>
            <m:e>
              <m:r>
                <w:rPr>
                  <w:rFonts w:ascii="Cambria Math" w:hAnsi="Cambria Math" w:cs="Cambria Math"/>
                </w:rPr>
                <m:t>W</m:t>
              </m:r>
            </m:e>
            <m:sub>
              <m:r>
                <w:rPr>
                  <w:rFonts w:ascii="Cambria Math" w:hAnsi="Cambria Math" w:cs="Cambria Math"/>
                </w:rPr>
                <m:t>g</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2</m:t>
              </m:r>
            </m:sub>
          </m:sSub>
          <m:r>
            <m:rPr>
              <m:sty m:val="p"/>
            </m:rPr>
            <w:rPr>
              <w:rFonts w:ascii="Cambria Math" w:hAnsi="Cambria Math" w:cs="Cambria Math"/>
            </w:rPr>
            <m:t>Ne</m:t>
          </m:r>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3</m:t>
              </m:r>
            </m:sub>
          </m:sSub>
          <m:r>
            <m:rPr>
              <m:sty m:val="p"/>
            </m:rPr>
            <w:rPr>
              <w:rFonts w:ascii="Cambria Math" w:hAnsi="Cambria Math" w:cs="Cambria Math"/>
            </w:rPr>
            <m:t>NumNe</m:t>
          </m:r>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4</m:t>
              </m:r>
            </m:sub>
          </m:sSub>
          <m:sSub>
            <m:sSubPr>
              <m:ctrlPr>
                <w:rPr>
                  <w:rFonts w:ascii="Cambria Math" w:hAnsi="Cambria Math" w:cs="Cambria Math"/>
                  <w:i/>
                  <w:iCs/>
                </w:rPr>
              </m:ctrlPr>
            </m:sSubPr>
            <m:e>
              <m:r>
                <w:rPr>
                  <w:rFonts w:ascii="Cambria Math" w:hAnsi="Cambria Math" w:cs="Cambria Math"/>
                </w:rPr>
                <m:t>W</m:t>
              </m:r>
            </m:e>
            <m:sub>
              <m:r>
                <w:rPr>
                  <w:rFonts w:ascii="Cambria Math" w:hAnsi="Cambria Math" w:cs="Cambria Math"/>
                </w:rPr>
                <m:t>g</m:t>
              </m:r>
            </m:sub>
          </m:sSub>
          <m:r>
            <w:rPr>
              <w:rFonts w:ascii="Cambria Math" w:hAnsi="Cambria Math" w:cs="Cambria Math"/>
            </w:rPr>
            <m:t>×</m:t>
          </m:r>
          <m:r>
            <m:rPr>
              <m:sty m:val="p"/>
            </m:rPr>
            <w:rPr>
              <w:rFonts w:ascii="Cambria Math" w:hAnsi="Cambria Math" w:cs="Cambria Math"/>
            </w:rPr>
            <m:t>Ne</m:t>
          </m:r>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5</m:t>
              </m:r>
            </m:sub>
          </m:sSub>
          <m:sSub>
            <m:sSubPr>
              <m:ctrlPr>
                <w:rPr>
                  <w:rFonts w:ascii="Cambria Math" w:hAnsi="Cambria Math" w:cs="Cambria Math"/>
                  <w:i/>
                  <w:iCs/>
                </w:rPr>
              </m:ctrlPr>
            </m:sSubPr>
            <m:e>
              <m:r>
                <w:rPr>
                  <w:rFonts w:ascii="Cambria Math" w:hAnsi="Cambria Math" w:cs="Cambria Math"/>
                </w:rPr>
                <m:t>W</m:t>
              </m:r>
            </m:e>
            <m:sub>
              <m:r>
                <w:rPr>
                  <w:rFonts w:ascii="Cambria Math" w:hAnsi="Cambria Math" w:cs="Cambria Math"/>
                </w:rPr>
                <m:t>g</m:t>
              </m:r>
            </m:sub>
          </m:sSub>
          <m:r>
            <w:rPr>
              <w:rFonts w:ascii="Cambria Math" w:hAnsi="Cambria Math" w:cs="Cambria Math"/>
            </w:rPr>
            <m:t>×</m:t>
          </m:r>
          <m:r>
            <m:rPr>
              <m:sty m:val="p"/>
            </m:rPr>
            <w:rPr>
              <w:rFonts w:ascii="Cambria Math" w:hAnsi="Cambria Math" w:cs="Cambria Math"/>
            </w:rPr>
            <m:t>NumNe</m:t>
          </m:r>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gi</m:t>
              </m:r>
            </m:sub>
          </m:sSub>
        </m:oMath>
      </m:oMathPara>
    </w:p>
    <w:tbl>
      <w:tblPr>
        <w:tblW w:w="5000" w:type="pct"/>
        <w:tblLook w:val="04A0"/>
      </w:tblPr>
      <w:tblGrid>
        <w:gridCol w:w="1308"/>
        <w:gridCol w:w="6959"/>
        <w:gridCol w:w="1309"/>
      </w:tblGrid>
      <w:tr w:rsidR="00007F3E">
        <w:tc>
          <w:tcPr>
            <w:tcW w:w="750" w:type="pct"/>
            <w:vAlign w:val="center"/>
          </w:tcPr>
          <w:p w:rsidR="00007F3E" w:rsidRDefault="00007F3E" w:rsidP="000B7249">
            <w:pPr>
              <w:jc w:val="both"/>
            </w:pPr>
          </w:p>
        </w:tc>
        <w:tc>
          <w:tcPr>
            <w:tcW w:w="3500" w:type="pct"/>
          </w:tcPr>
          <w:p w:rsidR="00007F3E" w:rsidRDefault="00007F3E" w:rsidP="000B7249">
            <w:pPr>
              <w:jc w:val="both"/>
            </w:pPr>
            <m:oMathPara>
              <m:oMathParaPr>
                <m:jc m:val="centerGroup"/>
              </m:oMathParaPr>
              <m:oMath>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6</m:t>
                    </m:r>
                  </m:sub>
                </m:sSub>
                <m:r>
                  <m:rPr>
                    <m:sty m:val="p"/>
                  </m:rPr>
                  <w:rPr>
                    <w:rFonts w:ascii="Cambria Math" w:hAnsi="Cambria Math" w:cs="Cambria Math"/>
                  </w:rPr>
                  <m:t>Ne</m:t>
                </m:r>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gi</m:t>
                    </m:r>
                  </m:sub>
                </m:sSub>
                <m:r>
                  <w:rPr>
                    <w:rFonts w:ascii="Cambria Math" w:hAnsi="Cambria Math" w:cs="Cambria Math"/>
                  </w:rPr>
                  <m:t>×</m:t>
                </m:r>
                <m:r>
                  <m:rPr>
                    <m:sty m:val="p"/>
                  </m:rPr>
                  <w:rPr>
                    <w:rFonts w:ascii="Cambria Math" w:hAnsi="Cambria Math" w:cs="Cambria Math"/>
                  </w:rPr>
                  <m:t>NumNe</m:t>
                </m:r>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7</m:t>
                    </m:r>
                  </m:sub>
                </m:sSub>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m:t>
                    </m:r>
                  </m:sub>
                </m:sSub>
                <m:r>
                  <w:rPr>
                    <w:rFonts w:ascii="Cambria Math" w:hAnsi="Cambria Math" w:cs="Cambria Math"/>
                  </w:rPr>
                  <m:t>×</m:t>
                </m:r>
                <m:r>
                  <m:rPr>
                    <m:sty m:val="p"/>
                  </m:rPr>
                  <w:rPr>
                    <w:rFonts w:ascii="Cambria Math" w:hAnsi="Cambria Math" w:cs="Cambria Math"/>
                  </w:rPr>
                  <m:t>Ne</m:t>
                </m:r>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gi</m:t>
                    </m:r>
                  </m:sub>
                </m:sSub>
                <m:r>
                  <w:rPr>
                    <w:rFonts w:ascii="Cambria Math" w:hAnsi="Cambria Math" w:cs="Cambria Math"/>
                  </w:rPr>
                  <m:t>×</m:t>
                </m:r>
                <m:r>
                  <m:rPr>
                    <m:sty m:val="p"/>
                  </m:rPr>
                  <w:rPr>
                    <w:rFonts w:ascii="Cambria Math" w:hAnsi="Cambria Math" w:cs="Cambria Math"/>
                  </w:rPr>
                  <m:t>NumNe</m:t>
                </m:r>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gi</m:t>
                    </m:r>
                  </m:sub>
                </m:sSub>
                <m:r>
                  <w:rPr>
                    <w:rFonts w:ascii="Cambria Math" w:hAnsi="Cambria Math" w:cs="Cambria Math"/>
                  </w:rPr>
                  <m:t>+</m:t>
                </m:r>
                <m:r>
                  <w:rPr>
                    <w:rFonts w:ascii="Cambria Math" w:hAnsi="Cambria Math" w:cs="Cambria Math"/>
                  </w:rPr>
                  <m:t>γ</m:t>
                </m:r>
                <m:sSub>
                  <m:sSubPr>
                    <m:ctrlPr>
                      <w:rPr>
                        <w:rFonts w:ascii="Cambria Math" w:hAnsi="Cambria Math" w:cs="Cambria Math"/>
                        <w:i/>
                        <w:iCs/>
                      </w:rPr>
                    </m:ctrlPr>
                  </m:sSubPr>
                  <m:e>
                    <m:r>
                      <w:rPr>
                        <w:rFonts w:ascii="Cambria Math" w:hAnsi="Cambria Math" w:cs="Cambria Math"/>
                      </w:rPr>
                      <m:t>X</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ϵ</m:t>
                    </m:r>
                  </m:e>
                  <m:sub>
                    <m:r>
                      <w:rPr>
                        <w:rFonts w:ascii="Cambria Math" w:hAnsi="Cambria Math" w:cs="Cambria Math"/>
                      </w:rPr>
                      <m:t>gi</m:t>
                    </m:r>
                  </m:sub>
                </m:sSub>
              </m:oMath>
            </m:oMathPara>
          </w:p>
        </w:tc>
        <w:tc>
          <w:tcPr>
            <w:tcW w:w="750" w:type="pct"/>
            <w:vAlign w:val="center"/>
          </w:tcPr>
          <w:p w:rsidR="00007F3E" w:rsidRDefault="00007F3E" w:rsidP="000B7249">
            <w:pPr>
              <w:widowControl/>
              <w:jc w:val="both"/>
            </w:pPr>
            <w:r>
              <w:t>(3)</w:t>
            </w:r>
          </w:p>
        </w:tc>
      </w:tr>
    </w:tbl>
    <w:p w:rsidR="00056BD5" w:rsidRDefault="00056BD5" w:rsidP="000B7249">
      <w:pPr>
        <w:jc w:val="both"/>
      </w:pPr>
    </w:p>
    <w:p w:rsidR="00007F3E" w:rsidRDefault="00007F3E" w:rsidP="000B7249">
      <w:pPr>
        <w:jc w:val="both"/>
      </w:pPr>
      <w:r>
        <w:t xml:space="preserve">where </w:t>
      </w:r>
      <m:oMath>
        <m:r>
          <m:rPr>
            <m:sty m:val="p"/>
          </m:rPr>
          <w:rPr>
            <w:rFonts w:ascii="Cambria Math" w:hAnsi="Cambria Math" w:cs="Cambria Math"/>
          </w:rPr>
          <m:t>NumNe</m:t>
        </m:r>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gi</m:t>
            </m:r>
          </m:sub>
        </m:sSub>
      </m:oMath>
      <w:r>
        <w:t xml:space="preserve"> is the number of first-time VFS borrowers in loan group </w:t>
      </w:r>
      <m:oMath>
        <m:r>
          <w:rPr>
            <w:rFonts w:ascii="Cambria Math" w:hAnsi="Cambria Math" w:cs="Cambria Math"/>
          </w:rPr>
          <m:t>g</m:t>
        </m:r>
      </m:oMath>
      <w:r>
        <w:t xml:space="preserve"> other than individual </w:t>
      </w:r>
      <m:oMath>
        <m:r>
          <w:rPr>
            <w:rFonts w:ascii="Cambria Math" w:hAnsi="Cambria Math" w:cs="Cambria Math"/>
          </w:rPr>
          <m:t>i</m:t>
        </m:r>
      </m:oMath>
      <w:r>
        <w:t xml:space="preserve">. </w:t>
      </w:r>
    </w:p>
    <w:p w:rsidR="00056BD5" w:rsidRDefault="00056BD5" w:rsidP="000B7249">
      <w:pPr>
        <w:jc w:val="both"/>
      </w:pPr>
    </w:p>
    <w:p w:rsidR="00007F3E" w:rsidRDefault="00007F3E" w:rsidP="000B7249">
      <w:pPr>
        <w:jc w:val="both"/>
      </w:pPr>
      <w:r>
        <w:t xml:space="preserve">To explore the impact of baseline empowerment on social capital formation, we estimate a similar triple interaction specification in Table 3: </w:t>
      </w:r>
    </w:p>
    <w:p w:rsidR="00056BD5" w:rsidRDefault="00056BD5" w:rsidP="000B7249">
      <w:pPr>
        <w:jc w:val="both"/>
      </w:pPr>
    </w:p>
    <w:p w:rsidR="00007F3E" w:rsidRDefault="00454675" w:rsidP="000B7249">
      <w:pPr>
        <w:jc w:val="both"/>
      </w:pPr>
      <m:oMathPara>
        <m:oMathParaPr>
          <m:jc m:val="centerGroup"/>
        </m:oMathParaPr>
        <m:oMath>
          <m:sSub>
            <m:sSubPr>
              <m:ctrlPr>
                <w:rPr>
                  <w:rFonts w:ascii="Cambria Math" w:hAnsi="Cambria Math" w:cs="Cambria Math"/>
                  <w:i/>
                  <w:iCs/>
                </w:rPr>
              </m:ctrlPr>
            </m:sSubPr>
            <m:e>
              <m:r>
                <w:rPr>
                  <w:rFonts w:ascii="Cambria Math" w:hAnsi="Cambria Math" w:cs="Cambria Math"/>
                </w:rPr>
                <m:t>Y</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1</m:t>
              </m:r>
            </m:sub>
          </m:sSub>
          <m:sSub>
            <m:sSubPr>
              <m:ctrlPr>
                <w:rPr>
                  <w:rFonts w:ascii="Cambria Math" w:hAnsi="Cambria Math" w:cs="Cambria Math"/>
                  <w:i/>
                  <w:iCs/>
                </w:rPr>
              </m:ctrlPr>
            </m:sSubPr>
            <m:e>
              <m:r>
                <w:rPr>
                  <w:rFonts w:ascii="Cambria Math" w:hAnsi="Cambria Math" w:cs="Cambria Math"/>
                </w:rPr>
                <m:t>W</m:t>
              </m:r>
            </m:e>
            <m:sub>
              <m:r>
                <w:rPr>
                  <w:rFonts w:ascii="Cambria Math" w:hAnsi="Cambria Math" w:cs="Cambria Math"/>
                </w:rPr>
                <m:t>g</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2</m:t>
              </m:r>
            </m:sub>
          </m:sSub>
          <m:r>
            <m:rPr>
              <m:sty m:val="p"/>
            </m:rPr>
            <w:rPr>
              <w:rFonts w:ascii="Cambria Math" w:hAnsi="Cambria Math" w:cs="Cambria Math"/>
            </w:rPr>
            <m:t>Permi</m:t>
          </m:r>
          <m:sSub>
            <m:sSubPr>
              <m:ctrlPr>
                <w:rPr>
                  <w:rFonts w:ascii="Cambria Math" w:hAnsi="Cambria Math" w:cs="Cambria Math"/>
                  <w:i/>
                  <w:iCs/>
                </w:rPr>
              </m:ctrlPr>
            </m:sSubPr>
            <m:e>
              <m:r>
                <m:rPr>
                  <m:sty m:val="p"/>
                </m:rPr>
                <w:rPr>
                  <w:rFonts w:ascii="Cambria Math" w:hAnsi="Cambria Math" w:cs="Cambria Math"/>
                </w:rPr>
                <m:t>t</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3</m:t>
              </m:r>
            </m:sub>
          </m:sSub>
          <m:r>
            <m:rPr>
              <m:sty m:val="p"/>
            </m:rPr>
            <w:rPr>
              <w:rFonts w:ascii="Cambria Math" w:hAnsi="Cambria Math" w:cs="Cambria Math"/>
            </w:rPr>
            <m:t>NumPermi</m:t>
          </m:r>
          <m:sSub>
            <m:sSubPr>
              <m:ctrlPr>
                <w:rPr>
                  <w:rFonts w:ascii="Cambria Math" w:hAnsi="Cambria Math" w:cs="Cambria Math"/>
                  <w:i/>
                  <w:iCs/>
                </w:rPr>
              </m:ctrlPr>
            </m:sSubPr>
            <m:e>
              <m:r>
                <m:rPr>
                  <m:sty m:val="p"/>
                </m:rPr>
                <w:rPr>
                  <w:rFonts w:ascii="Cambria Math" w:hAnsi="Cambria Math" w:cs="Cambria Math"/>
                </w:rPr>
                <m:t>t</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4</m:t>
              </m:r>
            </m:sub>
          </m:sSub>
          <m:sSub>
            <m:sSubPr>
              <m:ctrlPr>
                <w:rPr>
                  <w:rFonts w:ascii="Cambria Math" w:hAnsi="Cambria Math" w:cs="Cambria Math"/>
                  <w:i/>
                  <w:iCs/>
                </w:rPr>
              </m:ctrlPr>
            </m:sSubPr>
            <m:e>
              <m:r>
                <w:rPr>
                  <w:rFonts w:ascii="Cambria Math" w:hAnsi="Cambria Math" w:cs="Cambria Math"/>
                </w:rPr>
                <m:t>W</m:t>
              </m:r>
            </m:e>
            <m:sub>
              <m:r>
                <w:rPr>
                  <w:rFonts w:ascii="Cambria Math" w:hAnsi="Cambria Math" w:cs="Cambria Math"/>
                </w:rPr>
                <m:t>g</m:t>
              </m:r>
            </m:sub>
          </m:sSub>
          <m:r>
            <w:rPr>
              <w:rFonts w:ascii="Cambria Math" w:hAnsi="Cambria Math" w:cs="Cambria Math"/>
            </w:rPr>
            <m:t>×</m:t>
          </m:r>
          <m:r>
            <m:rPr>
              <m:sty m:val="p"/>
            </m:rPr>
            <w:rPr>
              <w:rFonts w:ascii="Cambria Math" w:hAnsi="Cambria Math" w:cs="Cambria Math"/>
            </w:rPr>
            <m:t>Permi</m:t>
          </m:r>
          <m:sSub>
            <m:sSubPr>
              <m:ctrlPr>
                <w:rPr>
                  <w:rFonts w:ascii="Cambria Math" w:hAnsi="Cambria Math" w:cs="Cambria Math"/>
                  <w:i/>
                  <w:iCs/>
                </w:rPr>
              </m:ctrlPr>
            </m:sSubPr>
            <m:e>
              <m:r>
                <m:rPr>
                  <m:sty m:val="p"/>
                </m:rPr>
                <w:rPr>
                  <w:rFonts w:ascii="Cambria Math" w:hAnsi="Cambria Math" w:cs="Cambria Math"/>
                </w:rPr>
                <m:t>t</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5</m:t>
              </m:r>
            </m:sub>
          </m:sSub>
          <m:sSub>
            <m:sSubPr>
              <m:ctrlPr>
                <w:rPr>
                  <w:rFonts w:ascii="Cambria Math" w:hAnsi="Cambria Math" w:cs="Cambria Math"/>
                  <w:i/>
                  <w:iCs/>
                </w:rPr>
              </m:ctrlPr>
            </m:sSubPr>
            <m:e>
              <m:r>
                <w:rPr>
                  <w:rFonts w:ascii="Cambria Math" w:hAnsi="Cambria Math" w:cs="Cambria Math"/>
                </w:rPr>
                <m:t>W</m:t>
              </m:r>
            </m:e>
            <m:sub>
              <m:r>
                <w:rPr>
                  <w:rFonts w:ascii="Cambria Math" w:hAnsi="Cambria Math" w:cs="Cambria Math"/>
                </w:rPr>
                <m:t>g</m:t>
              </m:r>
            </m:sub>
          </m:sSub>
          <m:r>
            <w:rPr>
              <w:rFonts w:ascii="Cambria Math" w:hAnsi="Cambria Math" w:cs="Cambria Math"/>
            </w:rPr>
            <m:t>×</m:t>
          </m:r>
          <m:r>
            <m:rPr>
              <m:sty m:val="p"/>
            </m:rPr>
            <w:rPr>
              <w:rFonts w:ascii="Cambria Math" w:hAnsi="Cambria Math" w:cs="Cambria Math"/>
            </w:rPr>
            <m:t>NumPermi</m:t>
          </m:r>
          <m:sSub>
            <m:sSubPr>
              <m:ctrlPr>
                <w:rPr>
                  <w:rFonts w:ascii="Cambria Math" w:hAnsi="Cambria Math" w:cs="Cambria Math"/>
                  <w:i/>
                  <w:iCs/>
                </w:rPr>
              </m:ctrlPr>
            </m:sSubPr>
            <m:e>
              <m:r>
                <m:rPr>
                  <m:sty m:val="p"/>
                </m:rPr>
                <w:rPr>
                  <w:rFonts w:ascii="Cambria Math" w:hAnsi="Cambria Math" w:cs="Cambria Math"/>
                </w:rPr>
                <m:t>t</m:t>
              </m:r>
            </m:e>
            <m:sub>
              <m:r>
                <w:rPr>
                  <w:rFonts w:ascii="Cambria Math" w:hAnsi="Cambria Math" w:cs="Cambria Math"/>
                </w:rPr>
                <m:t>gi</m:t>
              </m:r>
            </m:sub>
          </m:sSub>
        </m:oMath>
      </m:oMathPara>
    </w:p>
    <w:tbl>
      <w:tblPr>
        <w:tblW w:w="5000" w:type="pct"/>
        <w:tblLook w:val="04A0"/>
      </w:tblPr>
      <w:tblGrid>
        <w:gridCol w:w="840"/>
        <w:gridCol w:w="7895"/>
        <w:gridCol w:w="841"/>
      </w:tblGrid>
      <w:tr w:rsidR="00007F3E">
        <w:tc>
          <w:tcPr>
            <w:tcW w:w="750" w:type="pct"/>
            <w:vAlign w:val="center"/>
          </w:tcPr>
          <w:p w:rsidR="00007F3E" w:rsidRDefault="00007F3E" w:rsidP="000B7249">
            <w:pPr>
              <w:jc w:val="both"/>
            </w:pPr>
          </w:p>
        </w:tc>
        <w:tc>
          <w:tcPr>
            <w:tcW w:w="3500" w:type="pct"/>
          </w:tcPr>
          <w:p w:rsidR="00007F3E" w:rsidRDefault="00007F3E" w:rsidP="000B7249">
            <w:pPr>
              <w:jc w:val="both"/>
            </w:pPr>
            <m:oMathPara>
              <m:oMathParaPr>
                <m:jc m:val="centerGroup"/>
              </m:oMathParaPr>
              <m:oMath>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6</m:t>
                    </m:r>
                  </m:sub>
                </m:sSub>
                <m:r>
                  <m:rPr>
                    <m:sty m:val="p"/>
                  </m:rPr>
                  <w:rPr>
                    <w:rFonts w:ascii="Cambria Math" w:hAnsi="Cambria Math" w:cs="Cambria Math"/>
                  </w:rPr>
                  <m:t>Permi</m:t>
                </m:r>
                <m:sSub>
                  <m:sSubPr>
                    <m:ctrlPr>
                      <w:rPr>
                        <w:rFonts w:ascii="Cambria Math" w:hAnsi="Cambria Math" w:cs="Cambria Math"/>
                        <w:i/>
                        <w:iCs/>
                      </w:rPr>
                    </m:ctrlPr>
                  </m:sSubPr>
                  <m:e>
                    <m:r>
                      <m:rPr>
                        <m:sty m:val="p"/>
                      </m:rPr>
                      <w:rPr>
                        <w:rFonts w:ascii="Cambria Math" w:hAnsi="Cambria Math" w:cs="Cambria Math"/>
                      </w:rPr>
                      <m:t>t</m:t>
                    </m:r>
                  </m:e>
                  <m:sub>
                    <m:r>
                      <w:rPr>
                        <w:rFonts w:ascii="Cambria Math" w:hAnsi="Cambria Math" w:cs="Cambria Math"/>
                      </w:rPr>
                      <m:t>gi</m:t>
                    </m:r>
                  </m:sub>
                </m:sSub>
                <m:r>
                  <w:rPr>
                    <w:rFonts w:ascii="Cambria Math" w:hAnsi="Cambria Math" w:cs="Cambria Math"/>
                  </w:rPr>
                  <m:t>×</m:t>
                </m:r>
                <m:r>
                  <m:rPr>
                    <m:sty m:val="p"/>
                  </m:rPr>
                  <w:rPr>
                    <w:rFonts w:ascii="Cambria Math" w:hAnsi="Cambria Math" w:cs="Cambria Math"/>
                  </w:rPr>
                  <m:t>NumPermi</m:t>
                </m:r>
                <m:sSub>
                  <m:sSubPr>
                    <m:ctrlPr>
                      <w:rPr>
                        <w:rFonts w:ascii="Cambria Math" w:hAnsi="Cambria Math" w:cs="Cambria Math"/>
                        <w:i/>
                        <w:iCs/>
                      </w:rPr>
                    </m:ctrlPr>
                  </m:sSubPr>
                  <m:e>
                    <m:r>
                      <m:rPr>
                        <m:sty m:val="p"/>
                      </m:rPr>
                      <w:rPr>
                        <w:rFonts w:ascii="Cambria Math" w:hAnsi="Cambria Math" w:cs="Cambria Math"/>
                      </w:rPr>
                      <m:t>t</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7</m:t>
                    </m:r>
                  </m:sub>
                </m:sSub>
                <m:sSub>
                  <m:sSubPr>
                    <m:ctrlPr>
                      <w:rPr>
                        <w:rFonts w:ascii="Cambria Math" w:hAnsi="Cambria Math" w:cs="Cambria Math"/>
                        <w:i/>
                        <w:iCs/>
                      </w:rPr>
                    </m:ctrlPr>
                  </m:sSubPr>
                  <m:e>
                    <m:r>
                      <m:rPr>
                        <m:sty m:val="p"/>
                      </m:rPr>
                      <w:rPr>
                        <w:rFonts w:ascii="Cambria Math" w:hAnsi="Cambria Math" w:cs="Cambria Math"/>
                      </w:rPr>
                      <m:t>W</m:t>
                    </m:r>
                  </m:e>
                  <m:sub>
                    <m:r>
                      <w:rPr>
                        <w:rFonts w:ascii="Cambria Math" w:hAnsi="Cambria Math" w:cs="Cambria Math"/>
                      </w:rPr>
                      <m:t>g</m:t>
                    </m:r>
                  </m:sub>
                </m:sSub>
                <m:r>
                  <w:rPr>
                    <w:rFonts w:ascii="Cambria Math" w:hAnsi="Cambria Math" w:cs="Cambria Math"/>
                  </w:rPr>
                  <m:t>×</m:t>
                </m:r>
                <m:r>
                  <m:rPr>
                    <m:sty m:val="p"/>
                  </m:rPr>
                  <w:rPr>
                    <w:rFonts w:ascii="Cambria Math" w:hAnsi="Cambria Math" w:cs="Cambria Math"/>
                  </w:rPr>
                  <m:t>Permi</m:t>
                </m:r>
                <m:sSub>
                  <m:sSubPr>
                    <m:ctrlPr>
                      <w:rPr>
                        <w:rFonts w:ascii="Cambria Math" w:hAnsi="Cambria Math" w:cs="Cambria Math"/>
                        <w:i/>
                        <w:iCs/>
                      </w:rPr>
                    </m:ctrlPr>
                  </m:sSubPr>
                  <m:e>
                    <m:r>
                      <m:rPr>
                        <m:sty m:val="p"/>
                      </m:rPr>
                      <w:rPr>
                        <w:rFonts w:ascii="Cambria Math" w:hAnsi="Cambria Math" w:cs="Cambria Math"/>
                      </w:rPr>
                      <m:t>t</m:t>
                    </m:r>
                  </m:e>
                  <m:sub>
                    <m:r>
                      <w:rPr>
                        <w:rFonts w:ascii="Cambria Math" w:hAnsi="Cambria Math" w:cs="Cambria Math"/>
                      </w:rPr>
                      <m:t>gi</m:t>
                    </m:r>
                  </m:sub>
                </m:sSub>
                <m:r>
                  <w:rPr>
                    <w:rFonts w:ascii="Cambria Math" w:hAnsi="Cambria Math" w:cs="Cambria Math"/>
                  </w:rPr>
                  <m:t>×</m:t>
                </m:r>
                <m:r>
                  <m:rPr>
                    <m:sty m:val="p"/>
                  </m:rPr>
                  <w:rPr>
                    <w:rFonts w:ascii="Cambria Math" w:hAnsi="Cambria Math" w:cs="Cambria Math"/>
                  </w:rPr>
                  <m:t>NumPermi</m:t>
                </m:r>
                <m:sSub>
                  <m:sSubPr>
                    <m:ctrlPr>
                      <w:rPr>
                        <w:rFonts w:ascii="Cambria Math" w:hAnsi="Cambria Math" w:cs="Cambria Math"/>
                        <w:i/>
                        <w:iCs/>
                      </w:rPr>
                    </m:ctrlPr>
                  </m:sSubPr>
                  <m:e>
                    <m:r>
                      <m:rPr>
                        <m:sty m:val="p"/>
                      </m:rPr>
                      <w:rPr>
                        <w:rFonts w:ascii="Cambria Math" w:hAnsi="Cambria Math" w:cs="Cambria Math"/>
                      </w:rPr>
                      <m:t>t</m:t>
                    </m:r>
                  </m:e>
                  <m:sub>
                    <m:r>
                      <w:rPr>
                        <w:rFonts w:ascii="Cambria Math" w:hAnsi="Cambria Math" w:cs="Cambria Math"/>
                      </w:rPr>
                      <m:t>gi</m:t>
                    </m:r>
                  </m:sub>
                </m:sSub>
                <m:r>
                  <w:rPr>
                    <w:rFonts w:ascii="Cambria Math" w:hAnsi="Cambria Math" w:cs="Cambria Math"/>
                  </w:rPr>
                  <m:t>+</m:t>
                </m:r>
                <m:r>
                  <w:rPr>
                    <w:rFonts w:ascii="Cambria Math" w:hAnsi="Cambria Math" w:cs="Cambria Math"/>
                  </w:rPr>
                  <m:t>γ</m:t>
                </m:r>
                <m:sSub>
                  <m:sSubPr>
                    <m:ctrlPr>
                      <w:rPr>
                        <w:rFonts w:ascii="Cambria Math" w:hAnsi="Cambria Math" w:cs="Cambria Math"/>
                        <w:i/>
                        <w:iCs/>
                      </w:rPr>
                    </m:ctrlPr>
                  </m:sSubPr>
                  <m:e>
                    <m:r>
                      <w:rPr>
                        <w:rFonts w:ascii="Cambria Math" w:hAnsi="Cambria Math" w:cs="Cambria Math"/>
                      </w:rPr>
                      <m:t>X</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ϵ</m:t>
                    </m:r>
                  </m:e>
                  <m:sub>
                    <m:r>
                      <w:rPr>
                        <w:rFonts w:ascii="Cambria Math" w:hAnsi="Cambria Math" w:cs="Cambria Math"/>
                      </w:rPr>
                      <m:t>gi</m:t>
                    </m:r>
                  </m:sub>
                </m:sSub>
              </m:oMath>
            </m:oMathPara>
          </w:p>
        </w:tc>
        <w:tc>
          <w:tcPr>
            <w:tcW w:w="750" w:type="pct"/>
            <w:vAlign w:val="center"/>
          </w:tcPr>
          <w:p w:rsidR="00007F3E" w:rsidRDefault="00007F3E" w:rsidP="000B7249">
            <w:pPr>
              <w:widowControl/>
              <w:jc w:val="both"/>
            </w:pPr>
            <w:r>
              <w:t>(4)</w:t>
            </w:r>
          </w:p>
          <w:p w:rsidR="00056BD5" w:rsidRDefault="00056BD5" w:rsidP="000B7249">
            <w:pPr>
              <w:widowControl/>
              <w:jc w:val="both"/>
            </w:pPr>
          </w:p>
          <w:p w:rsidR="00056BD5" w:rsidRDefault="00056BD5" w:rsidP="000B7249">
            <w:pPr>
              <w:widowControl/>
              <w:jc w:val="both"/>
            </w:pPr>
          </w:p>
        </w:tc>
      </w:tr>
    </w:tbl>
    <w:p w:rsidR="00007F3E" w:rsidRDefault="00007F3E" w:rsidP="000B7249">
      <w:pPr>
        <w:jc w:val="both"/>
      </w:pPr>
      <w:r>
        <w:t xml:space="preserve">where </w:t>
      </w:r>
      <m:oMath>
        <m:r>
          <m:rPr>
            <m:sty m:val="p"/>
          </m:rPr>
          <w:rPr>
            <w:rFonts w:ascii="Cambria Math" w:hAnsi="Cambria Math" w:cs="Cambria Math"/>
          </w:rPr>
          <m:t>Permi</m:t>
        </m:r>
        <m:sSub>
          <m:sSubPr>
            <m:ctrlPr>
              <w:rPr>
                <w:rFonts w:ascii="Cambria Math" w:hAnsi="Cambria Math" w:cs="Cambria Math"/>
                <w:i/>
                <w:iCs/>
              </w:rPr>
            </m:ctrlPr>
          </m:sSubPr>
          <m:e>
            <m:r>
              <m:rPr>
                <m:sty m:val="p"/>
              </m:rPr>
              <w:rPr>
                <w:rFonts w:ascii="Cambria Math" w:hAnsi="Cambria Math" w:cs="Cambria Math"/>
              </w:rPr>
              <m:t>t</m:t>
            </m:r>
          </m:e>
          <m:sub>
            <m:r>
              <w:rPr>
                <w:rFonts w:ascii="Cambria Math" w:hAnsi="Cambria Math" w:cs="Cambria Math"/>
              </w:rPr>
              <m:t>gi</m:t>
            </m:r>
          </m:sub>
        </m:sSub>
      </m:oMath>
      <w:r>
        <w:t xml:space="preserve"> is an indicator variable equal to one if the borrower reports having to ask permission to go to a neighbor’s house when surveyed at baseline and </w:t>
      </w:r>
      <m:oMath>
        <m:r>
          <m:rPr>
            <m:sty m:val="p"/>
          </m:rPr>
          <w:rPr>
            <w:rFonts w:ascii="Cambria Math" w:hAnsi="Cambria Math" w:cs="Cambria Math"/>
          </w:rPr>
          <m:t>NumPermi</m:t>
        </m:r>
        <m:sSub>
          <m:sSubPr>
            <m:ctrlPr>
              <w:rPr>
                <w:rFonts w:ascii="Cambria Math" w:hAnsi="Cambria Math" w:cs="Cambria Math"/>
                <w:i/>
                <w:iCs/>
              </w:rPr>
            </m:ctrlPr>
          </m:sSubPr>
          <m:e>
            <m:r>
              <m:rPr>
                <m:sty m:val="p"/>
              </m:rPr>
              <w:rPr>
                <w:rFonts w:ascii="Cambria Math" w:hAnsi="Cambria Math" w:cs="Cambria Math"/>
              </w:rPr>
              <m:t>t</m:t>
            </m:r>
          </m:e>
          <m:sub>
            <m:r>
              <w:rPr>
                <w:rFonts w:ascii="Cambria Math" w:hAnsi="Cambria Math" w:cs="Cambria Math"/>
              </w:rPr>
              <m:t>gi</m:t>
            </m:r>
          </m:sub>
        </m:sSub>
      </m:oMath>
      <w:r>
        <w:t xml:space="preserve"> is the number of VFS borrowers in loan group </w:t>
      </w:r>
      <m:oMath>
        <m:r>
          <w:rPr>
            <w:rFonts w:ascii="Cambria Math" w:hAnsi="Cambria Math" w:cs="Cambria Math"/>
          </w:rPr>
          <m:t>g</m:t>
        </m:r>
      </m:oMath>
      <w:r>
        <w:t xml:space="preserve"> other thanindividual </w:t>
      </w:r>
      <m:oMath>
        <m:r>
          <w:rPr>
            <w:rFonts w:ascii="Cambria Math" w:hAnsi="Cambria Math" w:cs="Cambria Math"/>
          </w:rPr>
          <m:t>i</m:t>
        </m:r>
      </m:oMath>
      <w:r>
        <w:t xml:space="preserve"> who report having to ask permission to go to a neighbor’s house. Both equations (3) and (4) allow us to identify the extent to which own and group member characteristics interact with repayment assignment to determine changes in measured social contact. </w:t>
      </w:r>
    </w:p>
    <w:p w:rsidR="00056BD5" w:rsidRDefault="00056BD5" w:rsidP="000B7249">
      <w:pPr>
        <w:jc w:val="both"/>
      </w:pPr>
    </w:p>
    <w:p w:rsidR="00007F3E" w:rsidRDefault="00007F3E" w:rsidP="000B7249">
      <w:pPr>
        <w:jc w:val="both"/>
      </w:pPr>
      <w:r>
        <w:t xml:space="preserve">In Table 4, we estimate a pairwise specification that interacts repayment assignment and pairwise borrowing history: </w:t>
      </w:r>
    </w:p>
    <w:p w:rsidR="00056BD5" w:rsidRDefault="00056BD5" w:rsidP="000B7249">
      <w:pPr>
        <w:jc w:val="both"/>
      </w:pPr>
    </w:p>
    <w:p w:rsidR="00007F3E" w:rsidRDefault="00454675" w:rsidP="000B7249">
      <w:pPr>
        <w:jc w:val="both"/>
      </w:pPr>
      <m:oMathPara>
        <m:oMathParaPr>
          <m:jc m:val="centerGroup"/>
        </m:oMathParaPr>
        <m:oMath>
          <m:sSub>
            <m:sSubPr>
              <m:ctrlPr>
                <w:rPr>
                  <w:rFonts w:ascii="Cambria Math" w:hAnsi="Cambria Math" w:cs="Cambria Math"/>
                  <w:i/>
                  <w:iCs/>
                </w:rPr>
              </m:ctrlPr>
            </m:sSubPr>
            <m:e>
              <m:r>
                <w:rPr>
                  <w:rFonts w:ascii="Cambria Math" w:hAnsi="Cambria Math" w:cs="Cambria Math"/>
                </w:rPr>
                <m:t>Y</m:t>
              </m:r>
            </m:e>
            <m:sub>
              <m:r>
                <w:rPr>
                  <w:rFonts w:ascii="Cambria Math" w:hAnsi="Cambria Math" w:cs="Cambria Math"/>
                </w:rPr>
                <m:t>gip</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1</m:t>
              </m:r>
            </m:sub>
          </m:sSub>
          <m:sSub>
            <m:sSubPr>
              <m:ctrlPr>
                <w:rPr>
                  <w:rFonts w:ascii="Cambria Math" w:hAnsi="Cambria Math" w:cs="Cambria Math"/>
                  <w:i/>
                  <w:iCs/>
                </w:rPr>
              </m:ctrlPr>
            </m:sSubPr>
            <m:e>
              <m:r>
                <w:rPr>
                  <w:rFonts w:ascii="Cambria Math" w:hAnsi="Cambria Math" w:cs="Cambria Math"/>
                </w:rPr>
                <m:t>W</m:t>
              </m:r>
            </m:e>
            <m:sub>
              <m:r>
                <w:rPr>
                  <w:rFonts w:ascii="Cambria Math" w:hAnsi="Cambria Math" w:cs="Cambria Math"/>
                </w:rPr>
                <m:t>g</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2</m:t>
              </m:r>
            </m:sub>
          </m:sSub>
          <m:r>
            <m:rPr>
              <m:sty m:val="p"/>
            </m:rPr>
            <w:rPr>
              <w:rFonts w:ascii="Cambria Math" w:hAnsi="Cambria Math" w:cs="Cambria Math"/>
            </w:rPr>
            <m:t>SameHistor</m:t>
          </m:r>
          <m:sSub>
            <m:sSubPr>
              <m:ctrlPr>
                <w:rPr>
                  <w:rFonts w:ascii="Cambria Math" w:hAnsi="Cambria Math" w:cs="Cambria Math"/>
                  <w:i/>
                  <w:iCs/>
                </w:rPr>
              </m:ctrlPr>
            </m:sSubPr>
            <m:e>
              <m:r>
                <m:rPr>
                  <m:sty m:val="p"/>
                </m:rPr>
                <w:rPr>
                  <w:rFonts w:ascii="Cambria Math" w:hAnsi="Cambria Math" w:cs="Cambria Math"/>
                </w:rPr>
                <m:t>y</m:t>
              </m:r>
            </m:e>
            <m:sub>
              <m:r>
                <w:rPr>
                  <w:rFonts w:ascii="Cambria Math" w:hAnsi="Cambria Math" w:cs="Cambria Math"/>
                </w:rPr>
                <m:t>gip</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β</m:t>
              </m:r>
            </m:e>
            <m:sub>
              <m:r>
                <w:rPr>
                  <w:rFonts w:ascii="Cambria Math" w:hAnsi="Cambria Math" w:cs="Cambria Math"/>
                </w:rPr>
                <m:t>3</m:t>
              </m:r>
            </m:sub>
          </m:sSub>
          <m:sSub>
            <m:sSubPr>
              <m:ctrlPr>
                <w:rPr>
                  <w:rFonts w:ascii="Cambria Math" w:hAnsi="Cambria Math" w:cs="Cambria Math"/>
                  <w:i/>
                  <w:iCs/>
                </w:rPr>
              </m:ctrlPr>
            </m:sSubPr>
            <m:e>
              <m:r>
                <w:rPr>
                  <w:rFonts w:ascii="Cambria Math" w:hAnsi="Cambria Math" w:cs="Cambria Math"/>
                </w:rPr>
                <m:t>W</m:t>
              </m:r>
            </m:e>
            <m:sub>
              <m:r>
                <w:rPr>
                  <w:rFonts w:ascii="Cambria Math" w:hAnsi="Cambria Math" w:cs="Cambria Math"/>
                </w:rPr>
                <m:t>g</m:t>
              </m:r>
            </m:sub>
          </m:sSub>
          <m:r>
            <w:rPr>
              <w:rFonts w:ascii="Cambria Math" w:hAnsi="Cambria Math" w:cs="Cambria Math"/>
            </w:rPr>
            <m:t>×</m:t>
          </m:r>
          <m:r>
            <m:rPr>
              <m:sty m:val="p"/>
            </m:rPr>
            <w:rPr>
              <w:rFonts w:ascii="Cambria Math" w:hAnsi="Cambria Math" w:cs="Cambria Math"/>
            </w:rPr>
            <m:t>SameHistor</m:t>
          </m:r>
          <m:sSub>
            <m:sSubPr>
              <m:ctrlPr>
                <w:rPr>
                  <w:rFonts w:ascii="Cambria Math" w:hAnsi="Cambria Math" w:cs="Cambria Math"/>
                  <w:i/>
                  <w:iCs/>
                </w:rPr>
              </m:ctrlPr>
            </m:sSubPr>
            <m:e>
              <m:r>
                <m:rPr>
                  <m:sty m:val="p"/>
                </m:rPr>
                <w:rPr>
                  <w:rFonts w:ascii="Cambria Math" w:hAnsi="Cambria Math" w:cs="Cambria Math"/>
                </w:rPr>
                <m:t>y</m:t>
              </m:r>
            </m:e>
            <m:sub>
              <m:r>
                <w:rPr>
                  <w:rFonts w:ascii="Cambria Math" w:hAnsi="Cambria Math" w:cs="Cambria Math"/>
                </w:rPr>
                <m:t>gip</m:t>
              </m:r>
            </m:sub>
          </m:sSub>
          <m:r>
            <w:rPr>
              <w:rFonts w:ascii="Cambria Math" w:hAnsi="Cambria Math" w:cs="Cambria Math"/>
            </w:rPr>
            <m:t>+</m:t>
          </m:r>
          <m:r>
            <w:rPr>
              <w:rFonts w:ascii="Cambria Math" w:hAnsi="Cambria Math" w:cs="Cambria Math"/>
            </w:rPr>
            <m:t>γ</m:t>
          </m:r>
          <m:sSub>
            <m:sSubPr>
              <m:ctrlPr>
                <w:rPr>
                  <w:rFonts w:ascii="Cambria Math" w:hAnsi="Cambria Math" w:cs="Cambria Math"/>
                  <w:i/>
                  <w:iCs/>
                </w:rPr>
              </m:ctrlPr>
            </m:sSubPr>
            <m:e>
              <m:r>
                <w:rPr>
                  <w:rFonts w:ascii="Cambria Math" w:hAnsi="Cambria Math" w:cs="Cambria Math"/>
                </w:rPr>
                <m:t>X</m:t>
              </m:r>
            </m:e>
            <m:sub>
              <m:r>
                <w:rPr>
                  <w:rFonts w:ascii="Cambria Math" w:hAnsi="Cambria Math" w:cs="Cambria Math"/>
                </w:rPr>
                <m:t>gi</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ϵ</m:t>
              </m:r>
            </m:e>
            <m:sub>
              <m:r>
                <w:rPr>
                  <w:rFonts w:ascii="Cambria Math" w:hAnsi="Cambria Math" w:cs="Cambria Math"/>
                </w:rPr>
                <m:t>gip</m:t>
              </m:r>
            </m:sub>
          </m:sSub>
        </m:oMath>
      </m:oMathPara>
    </w:p>
    <w:tbl>
      <w:tblPr>
        <w:tblW w:w="5000" w:type="pct"/>
        <w:tblLook w:val="04A0"/>
      </w:tblPr>
      <w:tblGrid>
        <w:gridCol w:w="1437"/>
        <w:gridCol w:w="6703"/>
        <w:gridCol w:w="1436"/>
      </w:tblGrid>
      <w:tr w:rsidR="00007F3E">
        <w:tc>
          <w:tcPr>
            <w:tcW w:w="750" w:type="pct"/>
            <w:vAlign w:val="center"/>
          </w:tcPr>
          <w:p w:rsidR="00007F3E" w:rsidRDefault="00007F3E" w:rsidP="000B7249">
            <w:pPr>
              <w:jc w:val="both"/>
            </w:pPr>
          </w:p>
        </w:tc>
        <w:tc>
          <w:tcPr>
            <w:tcW w:w="3500" w:type="pct"/>
          </w:tcPr>
          <w:p w:rsidR="00007F3E" w:rsidRDefault="00007F3E" w:rsidP="000B7249">
            <w:pPr>
              <w:jc w:val="both"/>
            </w:pPr>
          </w:p>
        </w:tc>
        <w:tc>
          <w:tcPr>
            <w:tcW w:w="750" w:type="pct"/>
            <w:vAlign w:val="center"/>
          </w:tcPr>
          <w:p w:rsidR="00007F3E" w:rsidRDefault="00007F3E" w:rsidP="000B7249">
            <w:pPr>
              <w:widowControl/>
              <w:jc w:val="both"/>
            </w:pPr>
            <w:r>
              <w:t>(5)</w:t>
            </w:r>
          </w:p>
        </w:tc>
      </w:tr>
    </w:tbl>
    <w:p w:rsidR="00056BD5" w:rsidRDefault="00056BD5" w:rsidP="000B7249">
      <w:pPr>
        <w:jc w:val="both"/>
      </w:pPr>
    </w:p>
    <w:p w:rsidR="00007F3E" w:rsidRDefault="00007F3E" w:rsidP="000B7249">
      <w:pPr>
        <w:jc w:val="both"/>
      </w:pPr>
      <w:r>
        <w:t xml:space="preserve">Here, </w:t>
      </w:r>
      <m:oMath>
        <m:r>
          <m:rPr>
            <m:sty m:val="p"/>
          </m:rPr>
          <w:rPr>
            <w:rFonts w:ascii="Cambria Math" w:hAnsi="Cambria Math" w:cs="Cambria Math"/>
          </w:rPr>
          <m:t>SameHistor</m:t>
        </m:r>
        <m:sSub>
          <m:sSubPr>
            <m:ctrlPr>
              <w:rPr>
                <w:rFonts w:ascii="Cambria Math" w:hAnsi="Cambria Math" w:cs="Cambria Math"/>
                <w:i/>
                <w:iCs/>
              </w:rPr>
            </m:ctrlPr>
          </m:sSubPr>
          <m:e>
            <m:r>
              <m:rPr>
                <m:sty m:val="p"/>
              </m:rPr>
              <w:rPr>
                <w:rFonts w:ascii="Cambria Math" w:hAnsi="Cambria Math" w:cs="Cambria Math"/>
              </w:rPr>
              <m:t>y</m:t>
            </m:r>
          </m:e>
          <m:sub>
            <m:r>
              <w:rPr>
                <w:rFonts w:ascii="Cambria Math" w:hAnsi="Cambria Math" w:cs="Cambria Math"/>
              </w:rPr>
              <m:t>gip</m:t>
            </m:r>
          </m:sub>
        </m:sSub>
      </m:oMath>
      <w:r>
        <w:t xml:space="preserve"> is an indicator equal to one for pair members that are both returning or are both first-time borrowers. This specification is used to test whether pairwise evidence of impact heterogeneity is consistent with findings from the analogous client-level specification outlined in equation (3). </w:t>
      </w:r>
    </w:p>
    <w:p w:rsidR="00056BD5" w:rsidRDefault="00056BD5" w:rsidP="000B7249">
      <w:pPr>
        <w:jc w:val="both"/>
      </w:pPr>
    </w:p>
    <w:p w:rsidR="00007F3E" w:rsidRDefault="00007F3E" w:rsidP="000B7249">
      <w:pPr>
        <w:jc w:val="both"/>
      </w:pPr>
      <w:r>
        <w:t>In all specifications, standard errors are clustered at the level of randomization–the loan group. All specifications in Tables 2 through 4 include controls for stratification cell, loan size, client age, whether the client is married, the client’s total</w:t>
      </w:r>
      <w:r w:rsidR="00056BD5">
        <w:rPr>
          <w:lang w:val="en-US"/>
        </w:rPr>
        <w:t xml:space="preserve"> </w:t>
      </w:r>
      <w:r>
        <w:t xml:space="preserve">years of education, whether the client is a housewife, whether the household head is Muslim, and household size. </w:t>
      </w:r>
    </w:p>
    <w:p w:rsidR="00007F3E" w:rsidRDefault="00007F3E" w:rsidP="000B7249">
      <w:pPr>
        <w:pStyle w:val="Heading1"/>
        <w:jc w:val="both"/>
        <w:rPr>
          <w:b w:val="0"/>
          <w:bCs w:val="0"/>
          <w:sz w:val="24"/>
          <w:szCs w:val="24"/>
        </w:rPr>
      </w:pPr>
      <w:r>
        <w:t>3. Results</w:t>
      </w:r>
    </w:p>
    <w:p w:rsidR="00007F3E" w:rsidRDefault="00007F3E" w:rsidP="000B7249">
      <w:pPr>
        <w:pStyle w:val="Heading2"/>
        <w:jc w:val="both"/>
        <w:rPr>
          <w:i w:val="0"/>
          <w:iCs w:val="0"/>
          <w:sz w:val="24"/>
          <w:szCs w:val="24"/>
        </w:rPr>
      </w:pPr>
      <w:r>
        <w:t>1. Does Meeting Frequency and Group Composition Affect Social Capital?</w:t>
      </w:r>
    </w:p>
    <w:p w:rsidR="00007F3E" w:rsidRDefault="00007F3E" w:rsidP="000B7249">
      <w:pPr>
        <w:jc w:val="both"/>
      </w:pPr>
      <w:r>
        <w:t>Table 2 presents the main results on social capital formation. In columns (1) to (2), the dependent variable is the Group Meeting Social Contact Index (for variable construction see Section 2). Column (1) estimates equation (2); the coefficient on Weekly is large in magnitude (0.592) and statistically significant at the one percent confidence level. Column (2) estimates equation (3) and the results suggest that the impact of weekly assignment on social contact is</w:t>
      </w:r>
      <w:r w:rsidR="00056BD5">
        <w:rPr>
          <w:lang w:val="en-US"/>
        </w:rPr>
        <w:t xml:space="preserve"> </w:t>
      </w:r>
      <w:r>
        <w:t xml:space="preserve">large and highly significant regardless of group borrowing history. In particular, the estimates from column (2) reveal that social contact gains are almost identical between new clients with group members who are all new and returning borrowers in groups with all returning borrowers: Those in the first category experience a 1.098 standard deviation increase in reported social contact, while borrowers in the latter group experience a 0.722 standard deviation increase in reported social contact, indicating slightly diminishing returns to mandated interaction. This result is striking since it implies that promoting social interaction does more than just help strangers get to know one another more quickly. </w:t>
      </w:r>
    </w:p>
    <w:p w:rsidR="00056BD5" w:rsidRDefault="00056BD5" w:rsidP="000B7249">
      <w:pPr>
        <w:jc w:val="both"/>
      </w:pPr>
    </w:p>
    <w:p w:rsidR="00007F3E" w:rsidRDefault="00007F3E" w:rsidP="000B7249">
      <w:pPr>
        <w:jc w:val="both"/>
        <w:rPr>
          <w:lang w:val="en-US"/>
        </w:rPr>
      </w:pPr>
      <w:r>
        <w:t xml:space="preserve">The remainder of Table 2 shows parallel regressions in which the outcome variables are the three measures used to construct the Group Meeting Social Contact Index. The odd columns show that weekly clients have between a 0.480 and 0.680 standard deviation gain in each of the three social capital measures and all estimates are significant at the one percent level. Columns (6) and (8) reveal that the weekly contract differentially increases social contact for new groups by inducing new client groups to discuss personal matters and business more frequently. </w:t>
      </w:r>
    </w:p>
    <w:p w:rsidR="00056BD5" w:rsidRPr="00056BD5" w:rsidRDefault="00056BD5" w:rsidP="000B7249">
      <w:pPr>
        <w:jc w:val="both"/>
        <w:rPr>
          <w:lang w:val="en-US"/>
        </w:rPr>
      </w:pPr>
    </w:p>
    <w:p w:rsidR="00007F3E" w:rsidRDefault="00007F3E" w:rsidP="000B7249">
      <w:pPr>
        <w:jc w:val="both"/>
      </w:pPr>
      <w:r>
        <w:t xml:space="preserve">In sum, there are significant increases in social interaction associated with weekly repayment assignment, consistent with what has been shown in previous work, and more surprisingly, borrowers assigned to weekly repayment experience increased social contact regardless of whether they are coming together for the first time as a new borrowing group or returning to old groups for a second loan cycle. In particular, the increases in reported social contact are comparable in magnitude for first-time borrowers with group members who are also new to VFS and for returning borrowers in groups with other returning borrowers. Interestingly, the implied estimates are substantially smaller for groups that contain a mix of old and new borrowers. However, that may be driven by selection into mixed groups. </w:t>
      </w:r>
    </w:p>
    <w:p w:rsidR="00056BD5" w:rsidRDefault="00056BD5" w:rsidP="000B7249">
      <w:pPr>
        <w:jc w:val="both"/>
      </w:pPr>
    </w:p>
    <w:p w:rsidR="00007F3E" w:rsidRDefault="00007F3E" w:rsidP="000B7249">
      <w:pPr>
        <w:jc w:val="both"/>
      </w:pPr>
      <w:r>
        <w:t>Table 3 provides intuitive and compelling evidence regarding the effect of baseline empowerment on subsequent social capital gains from more frequent group meetings. Among borrowers who must ask their spouse for permission to go to a neighbor’s house, an</w:t>
      </w:r>
      <w:r w:rsidR="00056BD5">
        <w:rPr>
          <w:lang w:val="en-US"/>
        </w:rPr>
        <w:t xml:space="preserve"> </w:t>
      </w:r>
      <w:r>
        <w:t xml:space="preserve">indicator of low levels of individual empowerment, weekly clients have a 0.931 standard deviation gain in the Group Meeting Social Contact Index relative to their monthly counterparts. This is significantly higher than the 0.544 standard deviation effect for weekly clients who need not ask permission (which is itself significant at the one percent level). Column (2) estimates equation 4 to identify how other group members’ baseline empowerment impacts social capital gains. The column (2) estimates reveal that increases in social contact are particularly pronounced for groups in which all members have low baseline empowerment. This finding mirrors the evidence on impact heterogeneity from Table 2–in both cases, gains are largest for groups which have less-developed social networks at baseline. </w:t>
      </w:r>
    </w:p>
    <w:p w:rsidR="00056BD5" w:rsidRDefault="00056BD5" w:rsidP="000B7249">
      <w:pPr>
        <w:jc w:val="both"/>
      </w:pPr>
    </w:p>
    <w:p w:rsidR="00007F3E" w:rsidRDefault="00007F3E" w:rsidP="000B7249">
      <w:pPr>
        <w:jc w:val="both"/>
      </w:pPr>
      <w:r>
        <w:t xml:space="preserve">Finally, Table 4 estimates the pair-level specification outlined in equation (5). The first column consists of all clients, while the second column only includes pairs in which both members are new borrowers. The dependent variable is the Endline Social Contact Index, which is used to measure social contact for particular group member pairs. Column (1) estimates are consistent with Table 2 in that borrowers assigned to weekly repayment schedules experience larger average gains in social capital when they have the same borrowing history. Moreover, column (2) reveals that pairwise gains are largest for pairs of new borrowers as we would anticipate based on the Table 2 findings. </w:t>
      </w:r>
    </w:p>
    <w:p w:rsidR="00007F3E" w:rsidRDefault="00007F3E" w:rsidP="000B7249">
      <w:pPr>
        <w:pStyle w:val="Heading1"/>
        <w:jc w:val="both"/>
        <w:rPr>
          <w:b w:val="0"/>
          <w:bCs w:val="0"/>
          <w:sz w:val="24"/>
          <w:szCs w:val="24"/>
        </w:rPr>
      </w:pPr>
      <w:r>
        <w:t>4. Policy Levers</w:t>
      </w:r>
    </w:p>
    <w:p w:rsidR="00007F3E" w:rsidRDefault="00007F3E" w:rsidP="000B7249">
      <w:pPr>
        <w:jc w:val="both"/>
      </w:pPr>
      <w:r>
        <w:t xml:space="preserve">We show social capital gains of maintaining high (weekly) frequency meetings, even beyond the first loan cycle. Unlike </w:t>
      </w:r>
      <w:r w:rsidR="00056BD5" w:rsidRPr="00056BD5">
        <w:t>Feigenberg, Field, and Pande (2013)</w:t>
      </w:r>
      <w:r w:rsidR="00056BD5">
        <w:rPr>
          <w:lang w:val="en-US"/>
        </w:rPr>
        <w:t xml:space="preserve">, </w:t>
      </w:r>
      <w:r>
        <w:t xml:space="preserve">our sample of clients exhibit significant variation in both borrowing history and baseline empowerment. This allows us to present an intuitive heterogeneity within this effect: New borrowers meeting weekly in groups with all new borrowers experience the largest increases in social capital, but these increases are only slightly larger than the implied gains in social capital for returning groups who are required to meet weekly. Most strikingly, our results indicate large positive gains in social capital among groups that have already been together for at least a year, which suggests a role for public policy to foster social capital among a broad set of individuals and settings. In addition, women with low baseline empowerment benefit more when paired with group members with similar empowerment. Our findings thus speak directly to two policy issues, particularly in India: first, social capital’s absence in emerging microfinance regulatory debates and second, the policies regarding repayment/meeting frequency and group composition. </w:t>
      </w:r>
    </w:p>
    <w:p w:rsidR="00007F3E" w:rsidRDefault="00007F3E" w:rsidP="000B7249">
      <w:pPr>
        <w:pStyle w:val="Heading2"/>
        <w:jc w:val="both"/>
        <w:rPr>
          <w:i w:val="0"/>
          <w:iCs w:val="0"/>
          <w:sz w:val="24"/>
          <w:szCs w:val="24"/>
        </w:rPr>
      </w:pPr>
      <w:r>
        <w:t>1. The Absence of Social Capital in Microfinance Regulatory Debates</w:t>
      </w:r>
    </w:p>
    <w:p w:rsidR="00056BD5" w:rsidRPr="00056BD5" w:rsidRDefault="00007F3E" w:rsidP="008A261F">
      <w:pPr>
        <w:pStyle w:val="Footnote"/>
        <w:autoSpaceDN/>
        <w:jc w:val="both"/>
        <w:rPr>
          <w:lang w:val="en-US"/>
        </w:rPr>
      </w:pPr>
      <w:r>
        <w:t>Microfinance policy changes in India have been shaped around a number of outcome goals, yet social capital has been ignored. In response to allegations of microfinance’s central role in dire debtor outcomes, the Reserve Bank of India commissioned a sub-committee to consider regulatory options for MFIs. The resulting Malegam report, named for the subcommittee chair, focused on traditional regulatory tools and recommended, for example, interest rate ceilings below the prevailing market rates and maximum loan sizes. While it recommended group-based as opposed to individual lending, it did not address the issue of group size or group formation policies. The reactions to the Malegam Report were accordingly divergent–the largest MFIs welcomed the prospective regulations (at least publicly), others equated the report and its recommendations with an effective moratorium on lending, and state regulators from Andhra Pradesh complained that the national recommendations did not go far enough in protecting microcredit borrowers</w:t>
      </w:r>
      <w:r w:rsidR="00056BD5">
        <w:rPr>
          <w:lang w:val="en-US"/>
        </w:rPr>
        <w:t>.</w:t>
      </w:r>
      <w:r w:rsidR="00056BD5">
        <w:rPr>
          <w:rStyle w:val="FootnoteReference"/>
          <w:lang w:val="en-US"/>
        </w:rPr>
        <w:footnoteReference w:id="11"/>
      </w:r>
      <w:r w:rsidR="008A261F">
        <w:rPr>
          <w:lang w:val="en-US"/>
        </w:rPr>
        <w:t xml:space="preserve"> </w:t>
      </w:r>
      <w:r w:rsidR="008A261F" w:rsidRPr="008A261F">
        <w:rPr>
          <w:lang w:val="en-US"/>
        </w:rPr>
        <w:t>In acknowledging the regulatory disagreements, the Malegam Rep</w:t>
      </w:r>
      <w:r w:rsidR="008A261F">
        <w:rPr>
          <w:lang w:val="en-US"/>
        </w:rPr>
        <w:t>ort nonetheless highlights the “</w:t>
      </w:r>
      <w:r w:rsidR="008A261F" w:rsidRPr="008A261F">
        <w:rPr>
          <w:lang w:val="en-US"/>
        </w:rPr>
        <w:t>universally agre</w:t>
      </w:r>
      <w:r w:rsidR="008A261F">
        <w:rPr>
          <w:lang w:val="en-US"/>
        </w:rPr>
        <w:t>ed-upon”</w:t>
      </w:r>
      <w:r w:rsidR="008A261F" w:rsidRPr="008A261F">
        <w:rPr>
          <w:lang w:val="en-US"/>
        </w:rPr>
        <w:t xml:space="preserve"> goals of</w:t>
      </w:r>
      <w:r w:rsidR="008A261F">
        <w:rPr>
          <w:lang w:val="en-US"/>
        </w:rPr>
        <w:t xml:space="preserve"> </w:t>
      </w:r>
      <w:r w:rsidR="008A261F" w:rsidRPr="008A261F">
        <w:rPr>
          <w:lang w:val="en-US"/>
        </w:rPr>
        <w:t xml:space="preserve">MFI </w:t>
      </w:r>
      <w:r w:rsidR="008A261F">
        <w:rPr>
          <w:lang w:val="en-US"/>
        </w:rPr>
        <w:t>fin</w:t>
      </w:r>
      <w:r w:rsidR="008A261F" w:rsidRPr="008A261F">
        <w:rPr>
          <w:lang w:val="en-US"/>
        </w:rPr>
        <w:t>ancial sustainability and consumer a</w:t>
      </w:r>
      <w:r w:rsidR="008A261F">
        <w:rPr>
          <w:lang w:val="en-US"/>
        </w:rPr>
        <w:t>ff</w:t>
      </w:r>
      <w:r w:rsidR="008A261F" w:rsidRPr="008A261F">
        <w:rPr>
          <w:lang w:val="en-US"/>
        </w:rPr>
        <w:t>ordability. Echoing this purported consensus,</w:t>
      </w:r>
      <w:r w:rsidR="008A261F">
        <w:rPr>
          <w:lang w:val="en-US"/>
        </w:rPr>
        <w:t xml:space="preserve"> </w:t>
      </w:r>
      <w:r w:rsidR="008A261F" w:rsidRPr="008A261F">
        <w:rPr>
          <w:lang w:val="en-US"/>
        </w:rPr>
        <w:t>the introduction to the pending national Indian bill articul</w:t>
      </w:r>
      <w:r w:rsidR="008A261F">
        <w:rPr>
          <w:lang w:val="en-US"/>
        </w:rPr>
        <w:t>ates the legislative intent as “</w:t>
      </w:r>
      <w:r w:rsidR="008A261F" w:rsidRPr="008A261F">
        <w:rPr>
          <w:lang w:val="en-US"/>
        </w:rPr>
        <w:t xml:space="preserve">promoting </w:t>
      </w:r>
      <w:r w:rsidR="008A261F">
        <w:rPr>
          <w:lang w:val="en-US"/>
        </w:rPr>
        <w:t>fi</w:t>
      </w:r>
      <w:r w:rsidR="008A261F" w:rsidRPr="008A261F">
        <w:rPr>
          <w:lang w:val="en-US"/>
        </w:rPr>
        <w:t>nancial inclusion," with no mention of social inclusion. Social capital has thus been</w:t>
      </w:r>
      <w:r w:rsidR="008A261F">
        <w:rPr>
          <w:lang w:val="en-US"/>
        </w:rPr>
        <w:t xml:space="preserve"> </w:t>
      </w:r>
      <w:r w:rsidR="008A261F" w:rsidRPr="008A261F">
        <w:rPr>
          <w:lang w:val="en-US"/>
        </w:rPr>
        <w:t>notably overlooked as an important and plausible goal in these regulatory debates</w:t>
      </w:r>
      <w:r w:rsidR="008A261F">
        <w:rPr>
          <w:lang w:val="en-US"/>
        </w:rPr>
        <w:t xml:space="preserve">. </w:t>
      </w:r>
      <w:r w:rsidR="008A261F">
        <w:rPr>
          <w:rStyle w:val="FootnoteReference"/>
          <w:lang w:val="en-US"/>
        </w:rPr>
        <w:footnoteReference w:id="12"/>
      </w:r>
    </w:p>
    <w:p w:rsidR="00056BD5" w:rsidRDefault="00056BD5" w:rsidP="000B7249">
      <w:pPr>
        <w:pStyle w:val="Footnote"/>
        <w:autoSpaceDN/>
        <w:jc w:val="both"/>
      </w:pPr>
    </w:p>
    <w:p w:rsidR="00007F3E" w:rsidRDefault="00007F3E" w:rsidP="000B7249">
      <w:pPr>
        <w:pStyle w:val="Footnote"/>
        <w:autoSpaceDN/>
        <w:jc w:val="both"/>
        <w:rPr>
          <w:lang w:val="en-US"/>
        </w:rPr>
      </w:pPr>
      <w:r>
        <w:t>Moreover, microfinance has recently suffered allegations of perp</w:t>
      </w:r>
      <w:r w:rsidR="00EC26EF">
        <w:t xml:space="preserve">etuating an “economy of shame" </w:t>
      </w:r>
      <w:r w:rsidR="00EC26EF" w:rsidRPr="00EC26EF">
        <w:t>(Karim, 2011)</w:t>
      </w:r>
      <w:r>
        <w:t>. This term, rooted in an anthropological case study of loan recovery techniques in Bangladesh, captures potentially adversarial and alienating facets of loan recovery techniques and microfinance-based social interactions. (We note that outside microfinance, “naming and shaming" is gaining prominence as a recovery tool against corporate guarantors, as financial companies utilize the legally permissible lever to punish “willful default" on corporate debt</w:t>
      </w:r>
      <w:r w:rsidR="00EC26EF">
        <w:rPr>
          <w:lang w:val="en-US"/>
        </w:rPr>
        <w:t>.)</w:t>
      </w:r>
      <w:r w:rsidR="000F6833">
        <w:rPr>
          <w:rStyle w:val="FootnoteReference"/>
          <w:lang w:val="en-US"/>
        </w:rPr>
        <w:footnoteReference w:id="13"/>
      </w:r>
    </w:p>
    <w:p w:rsidR="00EC26EF" w:rsidRPr="00EC26EF" w:rsidRDefault="00EC26EF" w:rsidP="00EC26EF">
      <w:pPr>
        <w:rPr>
          <w:lang w:val="en-US"/>
        </w:rPr>
      </w:pPr>
    </w:p>
    <w:p w:rsidR="00007F3E" w:rsidRPr="00540FB3" w:rsidRDefault="00007F3E" w:rsidP="00540FB3">
      <w:pPr>
        <w:pStyle w:val="Footnote"/>
        <w:autoSpaceDN/>
        <w:jc w:val="both"/>
        <w:rPr>
          <w:lang w:val="en-US"/>
        </w:rPr>
      </w:pPr>
      <w:r>
        <w:t>Our research challenges this characterization. By systematically documenting social interactions, we show how microfinance can build community and social capital, rather than simply rely on such capital, or, even worse, destroy it. Beyond our quantitative evidence, in our own qualit</w:t>
      </w:r>
      <w:r w:rsidR="000F6833">
        <w:t>ative interviews with borrowers,</w:t>
      </w:r>
      <w:r w:rsidR="000F6833">
        <w:rPr>
          <w:rStyle w:val="FootnoteReference"/>
        </w:rPr>
        <w:footnoteReference w:id="14"/>
      </w:r>
      <w:r w:rsidR="000F6833">
        <w:t xml:space="preserve"> we found that women reported regularly</w:t>
      </w:r>
      <w:r w:rsidR="000F6833">
        <w:rPr>
          <w:lang w:val="en-US"/>
        </w:rPr>
        <w:t xml:space="preserve"> </w:t>
      </w:r>
      <w:r w:rsidR="000F6833">
        <w:t>speaking about a number of issues with their fellow group members, including festival-related</w:t>
      </w:r>
      <w:r w:rsidR="000F6833">
        <w:rPr>
          <w:lang w:val="en-US"/>
        </w:rPr>
        <w:t xml:space="preserve"> </w:t>
      </w:r>
      <w:r w:rsidR="000F6833">
        <w:t xml:space="preserve">travel plans and expenditures, and more rarely, household </w:t>
      </w:r>
      <w:r w:rsidR="000F6833">
        <w:rPr>
          <w:lang w:val="en-US"/>
        </w:rPr>
        <w:t>financial</w:t>
      </w:r>
      <w:r w:rsidR="000F6833">
        <w:t xml:space="preserve"> and spousal disputes.</w:t>
      </w:r>
      <w:r w:rsidR="00540FB3">
        <w:rPr>
          <w:lang w:val="en-US"/>
        </w:rPr>
        <w:t xml:space="preserve"> </w:t>
      </w:r>
      <w:r w:rsidR="00540FB3" w:rsidRPr="00540FB3">
        <w:rPr>
          <w:lang w:val="en-US"/>
        </w:rPr>
        <w:t>Our empirical analysis challenges a simple shaming characterization of intragroup dynamics,</w:t>
      </w:r>
      <w:r w:rsidR="00540FB3">
        <w:rPr>
          <w:lang w:val="en-US"/>
        </w:rPr>
        <w:t xml:space="preserve"> </w:t>
      </w:r>
      <w:r w:rsidR="00540FB3" w:rsidRPr="00540FB3">
        <w:rPr>
          <w:lang w:val="en-US"/>
        </w:rPr>
        <w:t>and at the very least shows that micro</w:t>
      </w:r>
      <w:r w:rsidR="00540FB3">
        <w:rPr>
          <w:lang w:val="en-US"/>
        </w:rPr>
        <w:t>fi</w:t>
      </w:r>
      <w:r w:rsidR="00540FB3" w:rsidRPr="00540FB3">
        <w:rPr>
          <w:lang w:val="en-US"/>
        </w:rPr>
        <w:t>nance's relationship to social capital needs further</w:t>
      </w:r>
      <w:r w:rsidR="00540FB3">
        <w:rPr>
          <w:lang w:val="en-US"/>
        </w:rPr>
        <w:t xml:space="preserve"> </w:t>
      </w:r>
      <w:r w:rsidR="00540FB3" w:rsidRPr="00540FB3">
        <w:rPr>
          <w:lang w:val="en-US"/>
        </w:rPr>
        <w:t>attention in policy debates.</w:t>
      </w:r>
    </w:p>
    <w:p w:rsidR="00007F3E" w:rsidRDefault="00007F3E" w:rsidP="000B7249">
      <w:pPr>
        <w:pStyle w:val="Heading2"/>
        <w:jc w:val="both"/>
        <w:rPr>
          <w:i w:val="0"/>
          <w:iCs w:val="0"/>
          <w:sz w:val="24"/>
          <w:szCs w:val="24"/>
        </w:rPr>
      </w:pPr>
      <w:r>
        <w:t>2. Repayment Meeting Frequency and Group Composition Policies</w:t>
      </w:r>
    </w:p>
    <w:p w:rsidR="00007F3E" w:rsidRDefault="00007F3E" w:rsidP="000B7249">
      <w:pPr>
        <w:jc w:val="both"/>
      </w:pPr>
      <w:r>
        <w:t>Our findings illustrate a specific mechanism by which to promote so</w:t>
      </w:r>
      <w:r w:rsidR="00540FB3">
        <w:t xml:space="preserve">cial capital. In earlier work, </w:t>
      </w:r>
      <w:r w:rsidR="00540FB3" w:rsidRPr="00540FB3">
        <w:t>Feigenberg, Field, and Pande, 2013</w:t>
      </w:r>
      <w:r>
        <w:t>, we have noted that meeting frequency, rather than repayment frequency, drives the social capital gains we record, but the two are often intertwined in institutional policies. In parallel to the broader microfinance debates, policy debate specific to repayment frequency also overlooked the issue of social capital formation. In supporting less frequent repayment, the Malegam Report noted the</w:t>
      </w:r>
      <w:r w:rsidR="007838BA">
        <w:rPr>
          <w:lang w:val="en-US"/>
        </w:rPr>
        <w:t xml:space="preserve"> </w:t>
      </w:r>
      <w:r>
        <w:t xml:space="preserve">possible financial stresses imposed on borrowers by less flexible terms, such as illiquid investment avoidance, and the administrative costs to MFIs of servicing more payments. In temporarily supporting regulations that preserved flexible repayment schedules, the Report emphasized the need to design repayment schedules suited to borrower circumstances but made no reference to how meeting frequency in repayment schedules could produce social capital between borrowers. </w:t>
      </w:r>
    </w:p>
    <w:p w:rsidR="00540FB3" w:rsidRDefault="00540FB3" w:rsidP="000B7249">
      <w:pPr>
        <w:pStyle w:val="Footnote"/>
        <w:autoSpaceDN/>
        <w:jc w:val="both"/>
      </w:pPr>
    </w:p>
    <w:p w:rsidR="00007F3E" w:rsidRDefault="00007F3E" w:rsidP="007838BA">
      <w:pPr>
        <w:pStyle w:val="Footnote"/>
        <w:autoSpaceDN/>
        <w:jc w:val="both"/>
      </w:pPr>
      <w:r>
        <w:t>The debates, however, did acknowledge two plausible connections between social capital and repayment/meeting frequency, though both spoke to social capital’s effect on microfinance, not microfinance’s potential effect on social capital. First, a 2010 report on the state of microfinance in India suggested that the repayment meetings were too short to produce the meaningful relationships between borrowers and loan officers needed to deter default.</w:t>
      </w:r>
      <w:r w:rsidR="00540FB3">
        <w:rPr>
          <w:rStyle w:val="FootnoteReference"/>
        </w:rPr>
        <w:footnoteReference w:id="15"/>
      </w:r>
      <w:r w:rsidR="007838BA" w:rsidRPr="007838BA">
        <w:t xml:space="preserve"> </w:t>
      </w:r>
      <w:r w:rsidR="007838BA">
        <w:t>Second, convinced of social capital's role in the viability of micro</w:t>
      </w:r>
      <w:proofErr w:type="spellStart"/>
      <w:r w:rsidR="007838BA">
        <w:rPr>
          <w:lang w:val="en-US"/>
        </w:rPr>
        <w:t>fi</w:t>
      </w:r>
      <w:proofErr w:type="spellEnd"/>
      <w:r w:rsidR="007838BA">
        <w:t>nance, the Malegam Report actually recommended that MFIs lend to individual borrowers only as members of</w:t>
      </w:r>
      <w:r w:rsidR="007838BA">
        <w:rPr>
          <w:lang w:val="en-US"/>
        </w:rPr>
        <w:t xml:space="preserve"> </w:t>
      </w:r>
      <w:r w:rsidR="007838BA">
        <w:t>joint-liability groups and not as independent clients.</w:t>
      </w:r>
    </w:p>
    <w:p w:rsidR="007838BA" w:rsidRPr="007838BA" w:rsidRDefault="007838BA" w:rsidP="007838BA"/>
    <w:p w:rsidR="007838BA" w:rsidRPr="007838BA" w:rsidRDefault="00007F3E" w:rsidP="007838BA">
      <w:pPr>
        <w:pStyle w:val="Footnote"/>
        <w:autoSpaceDN/>
        <w:jc w:val="both"/>
        <w:rPr>
          <w:lang w:val="en-US"/>
        </w:rPr>
      </w:pPr>
      <w:r>
        <w:t>The current state of Indian microfinance with respect to repayment frequency and broader regulatory requirements remains conflicted. The Andhra Pradesh state ordinance places a minimum length of time of one month between repayments. (The Malegam Report</w:t>
      </w:r>
      <w:r w:rsidR="007838BA">
        <w:rPr>
          <w:lang w:val="en-US"/>
        </w:rPr>
        <w:t xml:space="preserve"> </w:t>
      </w:r>
      <w:r>
        <w:t>had recommended a gradual move to a monthly requirement but suggested an interim policy allowing MFIs to offer weekly or fortnightly repayment plans.) However, a proposed national bill remains agnostic on specific figures but reserves the right for the</w:t>
      </w:r>
      <w:r w:rsidR="007838BA">
        <w:rPr>
          <w:lang w:val="en-US"/>
        </w:rPr>
        <w:t xml:space="preserve"> </w:t>
      </w:r>
      <w:r>
        <w:t>central bank (Reserve Bank of India) to regulate the “periodicity of repayment."</w:t>
      </w:r>
      <w:r w:rsidR="007838BA">
        <w:rPr>
          <w:rStyle w:val="FootnoteReference"/>
        </w:rPr>
        <w:footnoteReference w:id="16"/>
      </w:r>
      <w:r w:rsidR="007838BA">
        <w:rPr>
          <w:lang w:val="en-US"/>
        </w:rPr>
        <w:t xml:space="preserve"> </w:t>
      </w:r>
      <w:r w:rsidR="007838BA" w:rsidRPr="007838BA">
        <w:rPr>
          <w:lang w:val="en-US"/>
        </w:rPr>
        <w:t>Neither the ordinance nor the</w:t>
      </w:r>
      <w:r w:rsidR="007838BA">
        <w:rPr>
          <w:lang w:val="en-US"/>
        </w:rPr>
        <w:t xml:space="preserve"> </w:t>
      </w:r>
      <w:r w:rsidR="007838BA" w:rsidRPr="007838BA">
        <w:rPr>
          <w:lang w:val="en-US"/>
        </w:rPr>
        <w:t>bill addresses the issue of meeting frequency directly. Andhra Pradesh's rural development</w:t>
      </w:r>
      <w:r w:rsidR="007838BA">
        <w:rPr>
          <w:lang w:val="en-US"/>
        </w:rPr>
        <w:t xml:space="preserve"> </w:t>
      </w:r>
      <w:r w:rsidR="007838BA" w:rsidRPr="007838BA">
        <w:rPr>
          <w:lang w:val="en-US"/>
        </w:rPr>
        <w:t>minister earlier noted that he had no plans to change the state ordinance, passed prior to</w:t>
      </w:r>
      <w:r w:rsidR="007838BA">
        <w:rPr>
          <w:lang w:val="en-US"/>
        </w:rPr>
        <w:t xml:space="preserve"> </w:t>
      </w:r>
      <w:r w:rsidR="007838BA" w:rsidRPr="007838BA">
        <w:rPr>
          <w:lang w:val="en-US"/>
        </w:rPr>
        <w:t>the writing of the proposed national bill. The disagreement complicates the policy landscape</w:t>
      </w:r>
      <w:r w:rsidR="007838BA">
        <w:rPr>
          <w:lang w:val="en-US"/>
        </w:rPr>
        <w:t xml:space="preserve"> </w:t>
      </w:r>
      <w:r w:rsidR="007838BA" w:rsidRPr="007838BA">
        <w:rPr>
          <w:lang w:val="en-US"/>
        </w:rPr>
        <w:t>by posing a federalism and Constitutional challenge to the division of micro</w:t>
      </w:r>
      <w:r w:rsidR="007838BA">
        <w:rPr>
          <w:lang w:val="en-US"/>
        </w:rPr>
        <w:t>finance</w:t>
      </w:r>
      <w:r w:rsidR="007838BA" w:rsidRPr="007838BA">
        <w:rPr>
          <w:lang w:val="en-US"/>
        </w:rPr>
        <w:t xml:space="preserve"> policy</w:t>
      </w:r>
      <w:r w:rsidR="007838BA">
        <w:rPr>
          <w:lang w:val="en-US"/>
        </w:rPr>
        <w:t xml:space="preserve"> </w:t>
      </w:r>
      <w:r w:rsidR="007838BA" w:rsidRPr="007838BA">
        <w:rPr>
          <w:lang w:val="en-US"/>
        </w:rPr>
        <w:t>control between the state and national government (Becker, 2013).</w:t>
      </w:r>
    </w:p>
    <w:p w:rsidR="007838BA" w:rsidRPr="007838BA" w:rsidRDefault="007838BA" w:rsidP="007838BA"/>
    <w:p w:rsidR="00007F3E" w:rsidRDefault="00007F3E" w:rsidP="000B7249">
      <w:pPr>
        <w:jc w:val="both"/>
      </w:pPr>
      <w:r>
        <w:t xml:space="preserve">This policy and legal dispute between Indian national and subnational authorities exemplifies the heterogeneity of legal structures in which microfinance policy operates. Microfinance is regulated through transnational frameworks, existing banking statutes, or separate microfinance-specific laws–so even when optimal policies are identified, enacting them requires jurisdiction-specific paths that are as yet unclear. Policy-wise, we believe that a textual reading of either the state ordinance or the national bill should not preclude the use of meeting frequency to create social capital. To the extent that institutional polices intertwine meeting and repayment frequencies, our findings of long-term social capital gains from heightened meeting frequency should be internalized in ongoing policy debates on repayment/meeting frequency. </w:t>
      </w:r>
    </w:p>
    <w:p w:rsidR="007838BA" w:rsidRDefault="007838BA" w:rsidP="000B7249">
      <w:pPr>
        <w:jc w:val="both"/>
      </w:pPr>
    </w:p>
    <w:p w:rsidR="00007F3E" w:rsidRDefault="00007F3E" w:rsidP="000B7249">
      <w:pPr>
        <w:jc w:val="both"/>
      </w:pPr>
      <w:r>
        <w:t>Finally, our results also inform group composition policies. Individual MFIs may believe that exposing new borrowers to old borrowers might promote discipline or some form of knowledge-sharing for new borrowers. Given our empirical results, MFIs should</w:t>
      </w:r>
      <w:r w:rsidR="007838BA">
        <w:rPr>
          <w:lang w:val="en-US"/>
        </w:rPr>
        <w:t xml:space="preserve"> </w:t>
      </w:r>
      <w:r>
        <w:t>take into account the social capital benefits of keeping clients with similar tenures together in lending groups, since social capital gains from weekly meetings are largest among new borrowers in groups with all new borrowers. MFIs should consider these group dynamics and social capital gains when deciding how to replace dropouts and rebalance groups</w:t>
      </w:r>
      <w:r w:rsidR="00E724C6">
        <w:t xml:space="preserve"> in subsequent lending cycles. </w:t>
      </w:r>
      <w:r w:rsidR="00E724C6" w:rsidRPr="00E724C6">
        <w:t>Lehner (2009)</w:t>
      </w:r>
      <w:r>
        <w:t xml:space="preserve"> theorizes that “the growth of group lending programs may slow down when new borrowers with looser social ties enter, and consequently, the group lending technology loses some of its power.” However, our results suggest that group formation policies can help effectively integrate borrowers with such low baseline social capital. </w:t>
      </w:r>
    </w:p>
    <w:p w:rsidR="00E724C6" w:rsidRDefault="00E724C6" w:rsidP="000B7249">
      <w:pPr>
        <w:pStyle w:val="Footnote"/>
        <w:autoSpaceDN/>
        <w:jc w:val="both"/>
      </w:pPr>
    </w:p>
    <w:p w:rsidR="00007F3E" w:rsidRPr="00E724C6" w:rsidRDefault="00007F3E" w:rsidP="00E724C6">
      <w:pPr>
        <w:pStyle w:val="Footnote"/>
        <w:autoSpaceDN/>
        <w:jc w:val="both"/>
        <w:rPr>
          <w:vertAlign w:val="superscript"/>
          <w:lang w:val="en-US"/>
        </w:rPr>
      </w:pPr>
      <w:r>
        <w:t>On the specific issue of borrowing histories, that topic has been recently discussed in terms of credit bureau formation. In December 2013, plans for the Credit Information Bureau of India to begin credit ratings for MFI customers materialized.</w:t>
      </w:r>
      <w:r w:rsidR="000F0702">
        <w:rPr>
          <w:rStyle w:val="FootnoteReference"/>
        </w:rPr>
        <w:footnoteReference w:id="17"/>
      </w:r>
      <w:r w:rsidR="00E724C6">
        <w:rPr>
          <w:lang w:val="en-US"/>
        </w:rPr>
        <w:t xml:space="preserve"> </w:t>
      </w:r>
      <w:r w:rsidR="00E724C6" w:rsidRPr="00E724C6">
        <w:rPr>
          <w:lang w:val="en-US"/>
        </w:rPr>
        <w:t>While more perfect</w:t>
      </w:r>
      <w:r w:rsidR="00E724C6">
        <w:rPr>
          <w:lang w:val="en-US"/>
        </w:rPr>
        <w:t xml:space="preserve"> </w:t>
      </w:r>
      <w:r w:rsidR="00E724C6" w:rsidRPr="00E724C6">
        <w:rPr>
          <w:lang w:val="en-US"/>
        </w:rPr>
        <w:t>information about past borrowing, including among multiple lenders, has raised discussions</w:t>
      </w:r>
      <w:r w:rsidR="00E724C6">
        <w:rPr>
          <w:lang w:val="en-US"/>
        </w:rPr>
        <w:t xml:space="preserve"> </w:t>
      </w:r>
      <w:r w:rsidR="00E724C6" w:rsidRPr="00E724C6">
        <w:rPr>
          <w:lang w:val="en-US"/>
        </w:rPr>
        <w:t>about how MFIs could screen borrowers, the issue of how groups might be formed based</w:t>
      </w:r>
      <w:r w:rsidR="00E724C6">
        <w:rPr>
          <w:lang w:val="en-US"/>
        </w:rPr>
        <w:t xml:space="preserve"> </w:t>
      </w:r>
      <w:r w:rsidR="00E724C6" w:rsidRPr="00E724C6">
        <w:rPr>
          <w:lang w:val="en-US"/>
        </w:rPr>
        <w:t>on the borrowing histories of potential members has, to our knowledge, not been directly</w:t>
      </w:r>
      <w:r w:rsidR="00E724C6">
        <w:rPr>
          <w:lang w:val="en-US"/>
        </w:rPr>
        <w:t xml:space="preserve"> broached. Our fi</w:t>
      </w:r>
      <w:r w:rsidR="00E724C6" w:rsidRPr="00E724C6">
        <w:rPr>
          <w:lang w:val="en-US"/>
        </w:rPr>
        <w:t>ndings on heterogeneity of group tenure suggest that such personal attributes</w:t>
      </w:r>
      <w:r w:rsidR="00E724C6">
        <w:rPr>
          <w:lang w:val="en-US"/>
        </w:rPr>
        <w:t xml:space="preserve"> </w:t>
      </w:r>
      <w:r w:rsidR="00E724C6" w:rsidRPr="00E724C6">
        <w:rPr>
          <w:lang w:val="en-US"/>
        </w:rPr>
        <w:t>traditionally used only for individual screening may also provide surprisingly useful bases for</w:t>
      </w:r>
      <w:r w:rsidR="00E724C6">
        <w:rPr>
          <w:lang w:val="en-US"/>
        </w:rPr>
        <w:t xml:space="preserve"> </w:t>
      </w:r>
      <w:r w:rsidR="00E724C6" w:rsidRPr="00E724C6">
        <w:rPr>
          <w:lang w:val="en-US"/>
        </w:rPr>
        <w:t>group formation.</w:t>
      </w:r>
    </w:p>
    <w:p w:rsidR="00E724C6" w:rsidRPr="00E724C6" w:rsidRDefault="00E724C6" w:rsidP="00E724C6"/>
    <w:p w:rsidR="00007F3E" w:rsidRPr="00F12F90" w:rsidRDefault="00007F3E" w:rsidP="00F12F90">
      <w:pPr>
        <w:pStyle w:val="Footnote"/>
        <w:autoSpaceDN/>
        <w:jc w:val="both"/>
        <w:rPr>
          <w:lang w:val="en-US"/>
        </w:rPr>
      </w:pPr>
      <w:r>
        <w:t>More generally, despite the Malegam Report’s positive disposition towards group, as opposed to individual, lending, it failed to engage with broader recommendations on how MFIs should think about group composition. The 2010 report on the state of microfinance did note the possibility of MFI staff being aware of group composition at entry. Yet this mention, made only in a footnote, did not offer ways in which MFIs might think about group composition later in time, in light of attrition.</w:t>
      </w:r>
      <w:r w:rsidR="00F12F90">
        <w:rPr>
          <w:rStyle w:val="FootnoteReference"/>
        </w:rPr>
        <w:footnoteReference w:id="18"/>
      </w:r>
      <w:r w:rsidR="00F12F90">
        <w:rPr>
          <w:lang w:val="en-US"/>
        </w:rPr>
        <w:t xml:space="preserve"> </w:t>
      </w:r>
      <w:r w:rsidR="00F12F90" w:rsidRPr="00F12F90">
        <w:rPr>
          <w:lang w:val="en-US"/>
        </w:rPr>
        <w:t>These oversights illustrate the need</w:t>
      </w:r>
      <w:r w:rsidR="00F12F90">
        <w:rPr>
          <w:lang w:val="en-US"/>
        </w:rPr>
        <w:t xml:space="preserve"> </w:t>
      </w:r>
      <w:r w:rsidR="00F12F90" w:rsidRPr="00F12F90">
        <w:rPr>
          <w:lang w:val="en-US"/>
        </w:rPr>
        <w:t>to explicate how attrition-based group composition policies can be leveraged in nuanced</w:t>
      </w:r>
      <w:r w:rsidR="00F12F90">
        <w:rPr>
          <w:lang w:val="en-US"/>
        </w:rPr>
        <w:t xml:space="preserve"> </w:t>
      </w:r>
      <w:r w:rsidR="00F12F90" w:rsidRPr="00F12F90">
        <w:rPr>
          <w:lang w:val="en-US"/>
        </w:rPr>
        <w:t>ways.</w:t>
      </w:r>
    </w:p>
    <w:p w:rsidR="00007F3E" w:rsidRDefault="00007F3E" w:rsidP="000B7249">
      <w:pPr>
        <w:pStyle w:val="Heading1"/>
        <w:jc w:val="both"/>
        <w:rPr>
          <w:b w:val="0"/>
          <w:bCs w:val="0"/>
          <w:sz w:val="24"/>
          <w:szCs w:val="24"/>
        </w:rPr>
      </w:pPr>
      <w:r>
        <w:t>5. Conclusion</w:t>
      </w:r>
    </w:p>
    <w:p w:rsidR="00007F3E" w:rsidRDefault="00007F3E" w:rsidP="000B7249">
      <w:pPr>
        <w:jc w:val="both"/>
      </w:pPr>
      <w:r>
        <w:t>Group meetings are an intrinsic part of the classic microfinance model that have the potential to increase social capital. Using a field experiment in India, we document how social capital is produced among members of microfinance groups, even long after</w:t>
      </w:r>
      <w:r w:rsidR="000F0702">
        <w:rPr>
          <w:lang w:val="en-US"/>
        </w:rPr>
        <w:t xml:space="preserve"> </w:t>
      </w:r>
      <w:r>
        <w:t>they have joined the group. We also demonstrate heterogeneity in that production: Clients who are new to microfinance programs are more likely to benefit from more frequent meetings if paired with other new members. Group composition is not randomized in our experiment (or in other MFI lending schemes), which represents a caveat on the interpretation of our results. Nevertheless, we show how for a more mature and diverse microfinance clie</w:t>
      </w:r>
      <w:r w:rsidR="004162A7">
        <w:t xml:space="preserve">nt population than reported in </w:t>
      </w:r>
      <w:r w:rsidR="004162A7" w:rsidRPr="004162A7">
        <w:t>Feigenberg, Field, and Pande (2013)</w:t>
      </w:r>
      <w:r>
        <w:t xml:space="preserve">, development programs that aim to cultivate social capital among women can have a strong effect on group cohesion for an extended period of time and not just at the onset of the program. </w:t>
      </w:r>
    </w:p>
    <w:p w:rsidR="00007F3E" w:rsidRDefault="00007F3E" w:rsidP="000B7249">
      <w:pPr>
        <w:jc w:val="both"/>
      </w:pPr>
      <w:r>
        <w:t xml:space="preserve">The increasing regulation of microfinance has raised the question of which regulatory instruments to use and towards what ends. In the Indian legislative debates, the use of these regulatory instruments, including repayment/meeting frequency, has been framed largely with respect to short-term financial outcomes. Our empirical research documents the positive, long-term social impacts of high (weekly) meeting frequency, including the particularly large effects on new borrowers in groups with all new borrowers. As microfinance regulatory frameworks expand globally, policymakers should take a more holistic approach to regulation and consider microfinance’s non-pecuniary benefits, particularly social capital. </w:t>
      </w:r>
    </w:p>
    <w:p w:rsidR="00007F3E" w:rsidRDefault="00007F3E" w:rsidP="000B7249">
      <w:pPr>
        <w:jc w:val="both"/>
      </w:pPr>
    </w:p>
    <w:sectPr w:rsidR="00007F3E" w:rsidSect="00454675">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09E" w:rsidRDefault="0072609E" w:rsidP="00903DEF">
      <w:r>
        <w:separator/>
      </w:r>
    </w:p>
  </w:endnote>
  <w:endnote w:type="continuationSeparator" w:id="0">
    <w:p w:rsidR="0072609E" w:rsidRDefault="0072609E" w:rsidP="00903DEF">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Cambria Math">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09E" w:rsidRDefault="0072609E" w:rsidP="00903DEF">
      <w:r>
        <w:separator/>
      </w:r>
    </w:p>
  </w:footnote>
  <w:footnote w:type="continuationSeparator" w:id="0">
    <w:p w:rsidR="0072609E" w:rsidRDefault="0072609E" w:rsidP="00903DEF">
      <w:r>
        <w:continuationSeparator/>
      </w:r>
    </w:p>
  </w:footnote>
  <w:footnote w:id="1">
    <w:p w:rsidR="0072609E" w:rsidRPr="00903DEF" w:rsidRDefault="0072609E" w:rsidP="00903DEF">
      <w:pPr>
        <w:pStyle w:val="FootnoteText"/>
        <w:rPr>
          <w:lang w:val="en-US"/>
        </w:rPr>
      </w:pPr>
      <w:r>
        <w:rPr>
          <w:rStyle w:val="FootnoteReference"/>
        </w:rPr>
        <w:footnoteRef/>
      </w:r>
      <w:r>
        <w:t>Baland, Somanathan, and Vandewalle (2008) studies the nature of social heterogeneity in attrition</w:t>
      </w:r>
      <w:r>
        <w:rPr>
          <w:lang w:val="en-US"/>
        </w:rPr>
        <w:t xml:space="preserve"> </w:t>
      </w:r>
      <w:r>
        <w:t>from micro</w:t>
      </w:r>
      <w:proofErr w:type="spellStart"/>
      <w:r>
        <w:rPr>
          <w:lang w:val="en-US"/>
        </w:rPr>
        <w:t>fi</w:t>
      </w:r>
      <w:proofErr w:type="spellEnd"/>
      <w:r>
        <w:t>nance in particularly poor and tribal parts of India-fractionalization, even within broad caste</w:t>
      </w:r>
      <w:r>
        <w:rPr>
          <w:lang w:val="en-US"/>
        </w:rPr>
        <w:t xml:space="preserve"> </w:t>
      </w:r>
      <w:r>
        <w:t>categories, does not predict group survival but it does predict individual exits, particularly by members of</w:t>
      </w:r>
      <w:r>
        <w:rPr>
          <w:lang w:val="en-US"/>
        </w:rPr>
        <w:t xml:space="preserve"> </w:t>
      </w:r>
      <w:r>
        <w:t>traditionally disadvantaged communities.</w:t>
      </w:r>
    </w:p>
  </w:footnote>
  <w:footnote w:id="2">
    <w:p w:rsidR="0072609E" w:rsidRPr="00903DEF" w:rsidRDefault="0072609E" w:rsidP="00903DEF">
      <w:pPr>
        <w:pStyle w:val="FootnoteText"/>
        <w:rPr>
          <w:lang w:val="en-US"/>
        </w:rPr>
      </w:pPr>
      <w:r>
        <w:rPr>
          <w:rStyle w:val="FootnoteReference"/>
        </w:rPr>
        <w:footnoteRef/>
      </w:r>
      <w:r>
        <w:t xml:space="preserve"> </w:t>
      </w:r>
      <w:r>
        <w:t>We use a March 2013 conversion rate of 61 INR to 1 dollar, but the conversion rate in 2010</w:t>
      </w:r>
      <w:r>
        <w:rPr>
          <w:lang w:val="en-US"/>
        </w:rPr>
        <w:t xml:space="preserve"> flu</w:t>
      </w:r>
      <w:r>
        <w:t>ctuated</w:t>
      </w:r>
      <w:r>
        <w:rPr>
          <w:lang w:val="en-US"/>
        </w:rPr>
        <w:t xml:space="preserve"> </w:t>
      </w:r>
      <w:r>
        <w:t>between 40 INR and 50 INR to 1 dollar</w:t>
      </w:r>
    </w:p>
  </w:footnote>
  <w:footnote w:id="3">
    <w:p w:rsidR="0072609E" w:rsidRPr="00883628" w:rsidRDefault="0072609E" w:rsidP="00BA63FA">
      <w:pPr>
        <w:pStyle w:val="FootnoteText"/>
        <w:rPr>
          <w:lang w:val="en-US"/>
        </w:rPr>
      </w:pPr>
      <w:r>
        <w:rPr>
          <w:rStyle w:val="FootnoteReference"/>
        </w:rPr>
        <w:footnoteRef/>
      </w:r>
      <w:r>
        <w:t xml:space="preserve"> </w:t>
      </w:r>
      <w:r>
        <w:t xml:space="preserve">While we </w:t>
      </w:r>
      <w:r>
        <w:rPr>
          <w:lang w:val="en-US"/>
        </w:rPr>
        <w:t xml:space="preserve"> find</w:t>
      </w:r>
      <w:r>
        <w:t xml:space="preserve"> these criteria to hold among the majority of our clients, we found exceptions while</w:t>
      </w:r>
      <w:r>
        <w:rPr>
          <w:lang w:val="en-US"/>
        </w:rPr>
        <w:t xml:space="preserve"> </w:t>
      </w:r>
      <w:r>
        <w:t>exploring the summary statistics</w:t>
      </w:r>
      <w:r>
        <w:rPr>
          <w:lang w:val="en-US"/>
        </w:rPr>
        <w:t>.</w:t>
      </w:r>
    </w:p>
  </w:footnote>
  <w:footnote w:id="4">
    <w:p w:rsidR="0072609E" w:rsidRPr="00B33429" w:rsidRDefault="0072609E" w:rsidP="00B33429">
      <w:pPr>
        <w:pStyle w:val="FootnoteText"/>
        <w:rPr>
          <w:lang w:val="en-US"/>
        </w:rPr>
      </w:pPr>
      <w:r>
        <w:rPr>
          <w:rStyle w:val="FootnoteReference"/>
        </w:rPr>
        <w:footnoteRef/>
      </w:r>
      <w:r>
        <w:t xml:space="preserve"> </w:t>
      </w:r>
      <w:r>
        <w:t>Micro</w:t>
      </w:r>
      <w:r>
        <w:rPr>
          <w:lang w:val="en-US"/>
        </w:rPr>
        <w:t xml:space="preserve">finance </w:t>
      </w:r>
      <w:r>
        <w:t>Institution Grading Report (2009), http://www.mixmarket.org/sites/default/</w:t>
      </w:r>
      <w:r>
        <w:rPr>
          <w:lang w:val="en-US"/>
        </w:rPr>
        <w:t>fi</w:t>
      </w:r>
      <w:r>
        <w:t>les/Rating-2008-9.pdf.</w:t>
      </w:r>
    </w:p>
  </w:footnote>
  <w:footnote w:id="5">
    <w:p w:rsidR="0072609E" w:rsidRPr="00225503" w:rsidRDefault="0072609E" w:rsidP="00225503">
      <w:pPr>
        <w:pStyle w:val="FootnoteText"/>
        <w:rPr>
          <w:lang w:val="en-US"/>
        </w:rPr>
      </w:pPr>
      <w:r>
        <w:rPr>
          <w:rStyle w:val="FootnoteReference"/>
        </w:rPr>
        <w:footnoteRef/>
      </w:r>
      <w:r>
        <w:t xml:space="preserve"> </w:t>
      </w:r>
      <w:r>
        <w:t>Randomization was strati</w:t>
      </w:r>
      <w:r>
        <w:rPr>
          <w:lang w:val="en-US"/>
        </w:rPr>
        <w:t>fied</w:t>
      </w:r>
      <w:r>
        <w:t xml:space="preserve"> (into eight batches) depending on date of group formation. The </w:t>
      </w:r>
      <w:r>
        <w:rPr>
          <w:lang w:val="en-US"/>
        </w:rPr>
        <w:t>first</w:t>
      </w:r>
      <w:r>
        <w:t xml:space="preserve"> and</w:t>
      </w:r>
      <w:r>
        <w:rPr>
          <w:lang w:val="en-US"/>
        </w:rPr>
        <w:t xml:space="preserve"> </w:t>
      </w:r>
      <w:r>
        <w:t>last batches consisted of 12 and 16 groups, respectively, while the middle six were made up of 20 groups</w:t>
      </w:r>
      <w:r>
        <w:rPr>
          <w:lang w:val="en-US"/>
        </w:rPr>
        <w:t xml:space="preserve"> </w:t>
      </w:r>
      <w:r>
        <w:t>each.</w:t>
      </w:r>
    </w:p>
  </w:footnote>
  <w:footnote w:id="6">
    <w:p w:rsidR="0072609E" w:rsidRPr="00996907" w:rsidRDefault="0072609E" w:rsidP="00996907">
      <w:pPr>
        <w:pStyle w:val="FootnoteText"/>
        <w:rPr>
          <w:lang w:val="en-US"/>
        </w:rPr>
      </w:pPr>
      <w:r>
        <w:rPr>
          <w:rStyle w:val="FootnoteReference"/>
        </w:rPr>
        <w:footnoteRef/>
      </w:r>
      <w:r>
        <w:t xml:space="preserve"> </w:t>
      </w:r>
      <w:r>
        <w:t xml:space="preserve">The second, described in Field, </w:t>
      </w:r>
      <w:r>
        <w:t>Pande, Papp, and Rigol (2013), required that client groups (mostly</w:t>
      </w:r>
      <w:r>
        <w:rPr>
          <w:lang w:val="en-US"/>
        </w:rPr>
        <w:t xml:space="preserve"> </w:t>
      </w:r>
      <w:r>
        <w:t>second loan cycle clients) repay at the same frequency (fortnightly) but varied whether repayment started</w:t>
      </w:r>
      <w:r>
        <w:rPr>
          <w:lang w:val="en-US"/>
        </w:rPr>
        <w:t xml:space="preserve"> </w:t>
      </w:r>
      <w:r>
        <w:t>two weeks or two months after loan disbursal. Our current experiment includes elements of both experiments- speci</w:t>
      </w:r>
      <w:r>
        <w:rPr>
          <w:lang w:val="en-US"/>
        </w:rPr>
        <w:t>fically</w:t>
      </w:r>
      <w:r>
        <w:t xml:space="preserve">, the </w:t>
      </w:r>
      <w:bookmarkStart w:id="0" w:name="_GoBack"/>
      <w:bookmarkEnd w:id="0"/>
      <w:r>
        <w:t>treatment group both repaid less frequently and also began repayment later. In Field, Pande,</w:t>
      </w:r>
      <w:r>
        <w:rPr>
          <w:lang w:val="en-US"/>
        </w:rPr>
        <w:t xml:space="preserve"> </w:t>
      </w:r>
      <w:r>
        <w:t>Papp, and Park (2012), we examine data from the same experiment as analyzed here with a focus on the</w:t>
      </w:r>
      <w:r>
        <w:rPr>
          <w:lang w:val="en-US"/>
        </w:rPr>
        <w:t xml:space="preserve"> </w:t>
      </w:r>
      <w:r>
        <w:t xml:space="preserve">links between repayment </w:t>
      </w:r>
      <w:r>
        <w:rPr>
          <w:lang w:val="en-US"/>
        </w:rPr>
        <w:t>flexibility</w:t>
      </w:r>
      <w:r>
        <w:t xml:space="preserve"> and </w:t>
      </w:r>
      <w:r>
        <w:rPr>
          <w:lang w:val="en-US"/>
        </w:rPr>
        <w:t>financial</w:t>
      </w:r>
      <w:r>
        <w:t xml:space="preserve"> stress outcomes. Our analysis shows that clients required to</w:t>
      </w:r>
      <w:r>
        <w:rPr>
          <w:lang w:val="en-US"/>
        </w:rPr>
        <w:t xml:space="preserve"> </w:t>
      </w:r>
      <w:r>
        <w:t xml:space="preserve">repay monthly were less likely to report feeling </w:t>
      </w:r>
      <w:r>
        <w:rPr>
          <w:lang w:val="en-US"/>
        </w:rPr>
        <w:t>“</w:t>
      </w:r>
      <w:r>
        <w:t>worried, tense, or anxious</w:t>
      </w:r>
      <w:r>
        <w:rPr>
          <w:lang w:val="en-US"/>
        </w:rPr>
        <w:t>”</w:t>
      </w:r>
      <w:r>
        <w:t xml:space="preserve"> and more likely to feel </w:t>
      </w:r>
      <w:r>
        <w:rPr>
          <w:lang w:val="en-US"/>
        </w:rPr>
        <w:t xml:space="preserve">confident </w:t>
      </w:r>
      <w:r>
        <w:t>about repayment.</w:t>
      </w:r>
    </w:p>
  </w:footnote>
  <w:footnote w:id="7">
    <w:p w:rsidR="0072609E" w:rsidRPr="006F01DD" w:rsidRDefault="0072609E" w:rsidP="006F01DD">
      <w:pPr>
        <w:pStyle w:val="FootnoteText"/>
        <w:rPr>
          <w:lang w:val="en-US"/>
        </w:rPr>
      </w:pPr>
      <w:r>
        <w:rPr>
          <w:rStyle w:val="FootnoteReference"/>
        </w:rPr>
        <w:footnoteRef/>
      </w:r>
      <w:r>
        <w:t xml:space="preserve"> </w:t>
      </w:r>
      <w:r>
        <w:t>The baseline survey was conducted an average of 14 days before the loan was disbursed. While we were</w:t>
      </w:r>
      <w:r>
        <w:rPr>
          <w:lang w:val="en-US"/>
        </w:rPr>
        <w:t xml:space="preserve"> </w:t>
      </w:r>
      <w:r>
        <w:t>able to survey 89 percent of clients before the loan was disbursed, 11 percent of our clients were surveyed an</w:t>
      </w:r>
      <w:r>
        <w:rPr>
          <w:lang w:val="en-US"/>
        </w:rPr>
        <w:t xml:space="preserve"> </w:t>
      </w:r>
      <w:r>
        <w:t xml:space="preserve">average of eight days after loan disbursement. There is no statistical </w:t>
      </w:r>
      <w:r>
        <w:rPr>
          <w:lang w:val="en-US"/>
        </w:rPr>
        <w:t>difference</w:t>
      </w:r>
      <w:r>
        <w:t xml:space="preserve"> between monthly and weekly</w:t>
      </w:r>
      <w:r>
        <w:rPr>
          <w:lang w:val="en-US"/>
        </w:rPr>
        <w:t xml:space="preserve"> </w:t>
      </w:r>
      <w:r>
        <w:t>contract clients in the average number of days after disbursal that these clients were surveyed.</w:t>
      </w:r>
    </w:p>
  </w:footnote>
  <w:footnote w:id="8">
    <w:p w:rsidR="0072609E" w:rsidRPr="009266BA" w:rsidRDefault="0072609E" w:rsidP="009266BA">
      <w:pPr>
        <w:pStyle w:val="FootnoteText"/>
        <w:rPr>
          <w:lang w:val="en-US"/>
        </w:rPr>
      </w:pPr>
      <w:r>
        <w:rPr>
          <w:rStyle w:val="FootnoteReference"/>
        </w:rPr>
        <w:footnoteRef/>
      </w:r>
      <w:r>
        <w:t xml:space="preserve"> </w:t>
      </w:r>
      <w:r>
        <w:t>The fraction of clients that need permission to go to a farther away destination, such as a relative's</w:t>
      </w:r>
      <w:r>
        <w:rPr>
          <w:lang w:val="en-US"/>
        </w:rPr>
        <w:t xml:space="preserve"> </w:t>
      </w:r>
      <w:r>
        <w:t xml:space="preserve">house or another location that is reported to be more than </w:t>
      </w:r>
      <w:r>
        <w:rPr>
          <w:lang w:val="en-US"/>
        </w:rPr>
        <w:t>fifteen</w:t>
      </w:r>
      <w:r>
        <w:t xml:space="preserve"> minutes away, increases to roughly 50</w:t>
      </w:r>
      <w:r>
        <w:rPr>
          <w:lang w:val="en-US"/>
        </w:rPr>
        <w:t xml:space="preserve"> </w:t>
      </w:r>
      <w:r>
        <w:t>percent.</w:t>
      </w:r>
    </w:p>
  </w:footnote>
  <w:footnote w:id="9">
    <w:p w:rsidR="0072609E" w:rsidRPr="00DE068D" w:rsidRDefault="0072609E">
      <w:pPr>
        <w:pStyle w:val="FootnoteText"/>
        <w:rPr>
          <w:lang w:val="en-US"/>
        </w:rPr>
      </w:pPr>
      <w:r>
        <w:rPr>
          <w:rStyle w:val="FootnoteReference"/>
        </w:rPr>
        <w:footnoteRef/>
      </w:r>
      <w:r>
        <w:t xml:space="preserve"> </w:t>
      </w:r>
      <w:r w:rsidRPr="00DE068D">
        <w:t>This can be particularly damaging given that these households report average health, education, household, and drinking water expenditures of 1,444.36 INR or 24 USD per month</w:t>
      </w:r>
      <w:r>
        <w:rPr>
          <w:lang w:val="en-US"/>
        </w:rPr>
        <w:t>.</w:t>
      </w:r>
    </w:p>
  </w:footnote>
  <w:footnote w:id="10">
    <w:p w:rsidR="0072609E" w:rsidRPr="000B7249" w:rsidRDefault="0072609E">
      <w:pPr>
        <w:pStyle w:val="FootnoteText"/>
        <w:rPr>
          <w:lang w:val="en-US"/>
        </w:rPr>
      </w:pPr>
      <w:r>
        <w:rPr>
          <w:rStyle w:val="FootnoteReference"/>
        </w:rPr>
        <w:footnoteRef/>
      </w:r>
      <w:r>
        <w:t xml:space="preserve"> </w:t>
      </w:r>
      <w:r w:rsidRPr="000B7249">
        <w:t xml:space="preserve">For further discussion of this index, see </w:t>
      </w:r>
      <w:r w:rsidRPr="000B7249">
        <w:t>Feigenberg, Field, and Pande (2013).</w:t>
      </w:r>
    </w:p>
  </w:footnote>
  <w:footnote w:id="11">
    <w:p w:rsidR="0072609E" w:rsidRPr="00056BD5" w:rsidRDefault="0072609E" w:rsidP="00056BD5">
      <w:pPr>
        <w:pStyle w:val="FootnoteText"/>
        <w:rPr>
          <w:lang w:val="en-US"/>
        </w:rPr>
      </w:pPr>
      <w:r>
        <w:rPr>
          <w:rStyle w:val="FootnoteReference"/>
        </w:rPr>
        <w:footnoteRef/>
      </w:r>
      <w:r>
        <w:t xml:space="preserve"> </w:t>
      </w:r>
      <w:r>
        <w:t>See SKS Micronance Welcomes the Malegam Committee Report (2011),</w:t>
      </w:r>
      <w:r>
        <w:rPr>
          <w:lang w:val="en-US"/>
        </w:rPr>
        <w:t xml:space="preserve"> </w:t>
      </w:r>
      <w:r>
        <w:t xml:space="preserve">http://www.sksindia.com/downloads/malegam-committee-report-20-01-11.pdf; David Roodman, Retort to the </w:t>
      </w:r>
      <w:r>
        <w:rPr>
          <w:lang w:val="en-US"/>
        </w:rPr>
        <w:t xml:space="preserve"> </w:t>
      </w:r>
      <w:r>
        <w:t>Malegam Report (2011), http://www.cgdev.org/blog/retort-malegam-report; Krishna Prasad,</w:t>
      </w:r>
      <w:r>
        <w:rPr>
          <w:lang w:val="en-US"/>
        </w:rPr>
        <w:t xml:space="preserve"> </w:t>
      </w:r>
      <w:r>
        <w:t>Malegam Report Caters to Big MFIs, The Times of India, Jan. 21, 2011 (“The state government on</w:t>
      </w:r>
      <w:r>
        <w:rPr>
          <w:lang w:val="en-US"/>
        </w:rPr>
        <w:t xml:space="preserve"> </w:t>
      </w:r>
      <w:r>
        <w:t>Thursday assailed the Malegam Committee report submitted to the RBI on Wednesday and said `it</w:t>
      </w:r>
      <w:r>
        <w:rPr>
          <w:lang w:val="en-US"/>
        </w:rPr>
        <w:t xml:space="preserve"> </w:t>
      </w:r>
      <w:r>
        <w:t>addressed the concerns of only the big MFIs and fell short of expectations to put in place an e</w:t>
      </w:r>
      <w:r>
        <w:rPr>
          <w:lang w:val="en-US"/>
        </w:rPr>
        <w:t xml:space="preserve">ffective </w:t>
      </w:r>
      <w:r>
        <w:t>protection mechanism for the borrowers."').</w:t>
      </w:r>
    </w:p>
  </w:footnote>
  <w:footnote w:id="12">
    <w:p w:rsidR="0072609E" w:rsidRPr="008A261F" w:rsidRDefault="0072609E" w:rsidP="008A261F">
      <w:pPr>
        <w:pStyle w:val="FootnoteText"/>
        <w:rPr>
          <w:lang w:val="en-US"/>
        </w:rPr>
      </w:pPr>
      <w:r>
        <w:rPr>
          <w:rStyle w:val="FootnoteReference"/>
        </w:rPr>
        <w:footnoteRef/>
      </w:r>
      <w:r>
        <w:t xml:space="preserve"> </w:t>
      </w:r>
      <w:r>
        <w:t xml:space="preserve">Commenting on the recent history of repayment frequency in the law of </w:t>
      </w:r>
      <w:r>
        <w:t>micro</w:t>
      </w:r>
      <w:proofErr w:type="spellStart"/>
      <w:r>
        <w:rPr>
          <w:lang w:val="en-US"/>
        </w:rPr>
        <w:t>fi</w:t>
      </w:r>
      <w:proofErr w:type="spellEnd"/>
      <w:r>
        <w:t>nance, Sarkar (2014)</w:t>
      </w:r>
      <w:r>
        <w:rPr>
          <w:lang w:val="en-US"/>
        </w:rPr>
        <w:t xml:space="preserve"> </w:t>
      </w:r>
      <w:r>
        <w:t>notes not only how consumer protection concerns motivated the use of repayment frequency as a regulatory</w:t>
      </w:r>
      <w:r>
        <w:rPr>
          <w:lang w:val="en-US"/>
        </w:rPr>
        <w:t xml:space="preserve"> </w:t>
      </w:r>
      <w:r>
        <w:t xml:space="preserve">instrument but also how alternate legal provisions regarding borrower harassment might more </w:t>
      </w:r>
      <w:r>
        <w:rPr>
          <w:lang w:val="en-US"/>
        </w:rPr>
        <w:t xml:space="preserve">effectively </w:t>
      </w:r>
      <w:r>
        <w:t>address these concerns.</w:t>
      </w:r>
    </w:p>
  </w:footnote>
  <w:footnote w:id="13">
    <w:p w:rsidR="0072609E" w:rsidRPr="00540FB3" w:rsidRDefault="0072609E">
      <w:pPr>
        <w:pStyle w:val="FootnoteText"/>
        <w:rPr>
          <w:lang w:val="en-US"/>
        </w:rPr>
      </w:pPr>
      <w:r>
        <w:rPr>
          <w:rStyle w:val="FootnoteReference"/>
        </w:rPr>
        <w:footnoteRef/>
      </w:r>
      <w:r>
        <w:t xml:space="preserve"> </w:t>
      </w:r>
      <w:r w:rsidRPr="00540FB3">
        <w:t>Govt to Consider `Naming and Shaming' Corporate Defaulters, The Times of India, Sept. 15, 2013</w:t>
      </w:r>
      <w:r>
        <w:rPr>
          <w:lang w:val="en-US"/>
        </w:rPr>
        <w:t>.</w:t>
      </w:r>
    </w:p>
  </w:footnote>
  <w:footnote w:id="14">
    <w:p w:rsidR="0072609E" w:rsidRPr="000F6833" w:rsidRDefault="0072609E" w:rsidP="00540FB3">
      <w:pPr>
        <w:pStyle w:val="FootnoteText"/>
        <w:rPr>
          <w:lang w:val="en-US"/>
        </w:rPr>
      </w:pPr>
      <w:r>
        <w:rPr>
          <w:rStyle w:val="FootnoteReference"/>
        </w:rPr>
        <w:footnoteRef/>
      </w:r>
      <w:r>
        <w:t xml:space="preserve"> </w:t>
      </w:r>
      <w:r>
        <w:t xml:space="preserve">We conducted two focus groups, with, respectively, </w:t>
      </w:r>
      <w:r>
        <w:rPr>
          <w:lang w:val="en-US"/>
        </w:rPr>
        <w:t>five</w:t>
      </w:r>
      <w:r>
        <w:t xml:space="preserve"> and three VFS borrowers each, as well as 10</w:t>
      </w:r>
      <w:r>
        <w:rPr>
          <w:lang w:val="en-US"/>
        </w:rPr>
        <w:t xml:space="preserve"> </w:t>
      </w:r>
      <w:r>
        <w:t>additional individual interviews with di</w:t>
      </w:r>
      <w:r>
        <w:rPr>
          <w:lang w:val="en-US"/>
        </w:rPr>
        <w:t>fferent</w:t>
      </w:r>
      <w:r>
        <w:t xml:space="preserve"> VFS borrowers.</w:t>
      </w:r>
    </w:p>
  </w:footnote>
  <w:footnote w:id="15">
    <w:p w:rsidR="0072609E" w:rsidRPr="00540FB3" w:rsidRDefault="0072609E">
      <w:pPr>
        <w:pStyle w:val="FootnoteText"/>
        <w:rPr>
          <w:lang w:val="en-US"/>
        </w:rPr>
      </w:pPr>
      <w:r>
        <w:rPr>
          <w:rStyle w:val="FootnoteReference"/>
        </w:rPr>
        <w:footnoteRef/>
      </w:r>
      <w:r>
        <w:t xml:space="preserve"> </w:t>
      </w:r>
      <w:r w:rsidRPr="007838BA">
        <w:t xml:space="preserve">N. Srinivasan, </w:t>
      </w:r>
      <w:r w:rsidRPr="007838BA">
        <w:t>Micro</w:t>
      </w:r>
      <w:proofErr w:type="spellStart"/>
      <w:r>
        <w:rPr>
          <w:lang w:val="en-US"/>
        </w:rPr>
        <w:t>fi</w:t>
      </w:r>
      <w:proofErr w:type="spellEnd"/>
      <w:r w:rsidRPr="007838BA">
        <w:t>nance India: State of the Sector Report 36 (2010).</w:t>
      </w:r>
    </w:p>
  </w:footnote>
  <w:footnote w:id="16">
    <w:p w:rsidR="0072609E" w:rsidRPr="007838BA" w:rsidRDefault="0072609E" w:rsidP="007838BA">
      <w:pPr>
        <w:pStyle w:val="FootnoteText"/>
        <w:rPr>
          <w:lang w:val="en-US"/>
        </w:rPr>
      </w:pPr>
      <w:r>
        <w:rPr>
          <w:rStyle w:val="FootnoteReference"/>
        </w:rPr>
        <w:footnoteRef/>
      </w:r>
      <w:r>
        <w:t xml:space="preserve"> </w:t>
      </w:r>
      <w:r>
        <w:t>In February of 2014, the Parliamentary Standing Committee on Finance rejected the MFI bill, making</w:t>
      </w:r>
      <w:r>
        <w:rPr>
          <w:lang w:val="en-US"/>
        </w:rPr>
        <w:t xml:space="preserve"> </w:t>
      </w:r>
      <w:r>
        <w:t>it likely that the pending bill will lapse. After general elections, the new government will have to decide</w:t>
      </w:r>
      <w:r>
        <w:rPr>
          <w:lang w:val="en-US"/>
        </w:rPr>
        <w:t xml:space="preserve"> </w:t>
      </w:r>
      <w:r>
        <w:t>whether to reintroduce the bill, possibly with very di</w:t>
      </w:r>
      <w:r>
        <w:rPr>
          <w:lang w:val="en-US"/>
        </w:rPr>
        <w:t>ff</w:t>
      </w:r>
      <w:r>
        <w:t>erent provisions. Parliamentary Panel Rejects MicroFinance Bill, The Economic Times, Feb. 11, 2014, http://articles.economictimes.indiatimes.com/2014-02-11/news/47235813_1</w:t>
      </w:r>
      <w:r>
        <w:rPr>
          <w:lang w:val="en-US"/>
        </w:rPr>
        <w:t>_</w:t>
      </w:r>
      <w:r>
        <w:t xml:space="preserve"> micro</w:t>
      </w:r>
      <w:proofErr w:type="spellStart"/>
      <w:r>
        <w:rPr>
          <w:lang w:val="en-US"/>
        </w:rPr>
        <w:t>fi</w:t>
      </w:r>
      <w:proofErr w:type="spellEnd"/>
      <w:r>
        <w:t>nance-bill-draft-report-m</w:t>
      </w:r>
      <w:proofErr w:type="spellStart"/>
      <w:r>
        <w:rPr>
          <w:lang w:val="en-US"/>
        </w:rPr>
        <w:t>fi</w:t>
      </w:r>
      <w:proofErr w:type="spellEnd"/>
      <w:r>
        <w:t>s.</w:t>
      </w:r>
    </w:p>
  </w:footnote>
  <w:footnote w:id="17">
    <w:p w:rsidR="0072609E" w:rsidRPr="000F0702" w:rsidRDefault="0072609E">
      <w:pPr>
        <w:pStyle w:val="FootnoteText"/>
        <w:rPr>
          <w:lang w:val="en-US"/>
        </w:rPr>
      </w:pPr>
      <w:r>
        <w:rPr>
          <w:rStyle w:val="FootnoteReference"/>
        </w:rPr>
        <w:footnoteRef/>
      </w:r>
      <w:r>
        <w:t xml:space="preserve"> </w:t>
      </w:r>
      <w:r w:rsidRPr="000F0702">
        <w:t>Krishna Prasad, CIBIL to Set up Micro</w:t>
      </w:r>
      <w:proofErr w:type="spellStart"/>
      <w:r>
        <w:rPr>
          <w:lang w:val="en-US"/>
        </w:rPr>
        <w:t>fi</w:t>
      </w:r>
      <w:proofErr w:type="spellEnd"/>
      <w:r w:rsidRPr="000F0702">
        <w:t>nance Credit Information Bureau, The Hindu, Dec. 3, 2013.</w:t>
      </w:r>
    </w:p>
  </w:footnote>
  <w:footnote w:id="18">
    <w:p w:rsidR="0072609E" w:rsidRPr="00F12F90" w:rsidRDefault="0072609E">
      <w:pPr>
        <w:pStyle w:val="FootnoteText"/>
        <w:rPr>
          <w:lang w:val="en-US"/>
        </w:rPr>
      </w:pPr>
      <w:r>
        <w:rPr>
          <w:rStyle w:val="FootnoteReference"/>
        </w:rPr>
        <w:footnoteRef/>
      </w:r>
      <w:r>
        <w:t xml:space="preserve"> </w:t>
      </w:r>
      <w:r w:rsidRPr="00C66F0A">
        <w:t>N. Srinivasan, Micro</w:t>
      </w:r>
      <w:proofErr w:type="spellStart"/>
      <w:r>
        <w:rPr>
          <w:lang w:val="en-US"/>
        </w:rPr>
        <w:t>fi</w:t>
      </w:r>
      <w:proofErr w:type="spellEnd"/>
      <w:r w:rsidRPr="00C66F0A">
        <w:t>nance India: State of the Sector Report 52, fn. 21 (2010).</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81995"/>
    <w:multiLevelType w:val="multilevel"/>
    <w:tmpl w:val="87D0A8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upperLetter"/>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lowerRoman"/>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decimal"/>
      <w:lvlText w:val="%9."/>
      <w:lvlJc w:val="right"/>
      <w:pPr>
        <w:tabs>
          <w:tab w:val="num" w:pos="6480"/>
        </w:tabs>
        <w:ind w:left="6480" w:hanging="180"/>
      </w:pPr>
    </w:lvl>
  </w:abstractNum>
  <w:abstractNum w:abstractNumId="1">
    <w:nsid w:val="0D564A3C"/>
    <w:multiLevelType w:val="multilevel"/>
    <w:tmpl w:val="F26C9EB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lvl>
    <w:lvl w:ilvl="2">
      <w:start w:val="1"/>
      <w:numFmt w:val="bullet"/>
      <w:lvlText w:val="*"/>
      <w:lvlJc w:val="left"/>
      <w:pPr>
        <w:tabs>
          <w:tab w:val="num" w:pos="2160"/>
        </w:tabs>
        <w:ind w:left="2160" w:hanging="360"/>
      </w:pPr>
    </w:lvl>
    <w:lvl w:ilvl="3">
      <w:start w:val="1"/>
      <w:numFmt w:val="bullet"/>
      <w:lvlText w:val=""/>
      <w:lvlJc w:val="left"/>
      <w:pPr>
        <w:tabs>
          <w:tab w:val="num" w:pos="2880"/>
        </w:tabs>
        <w:ind w:left="2880" w:hanging="360"/>
      </w:pPr>
      <w:rPr>
        <w:rFonts w:ascii="Symbol" w:hAnsi="Symbol" w:cs="Symbol"/>
      </w:rPr>
    </w:lvl>
    <w:lvl w:ilvl="4">
      <w:start w:val="1"/>
      <w:numFmt w:val="bullet"/>
      <w:lvlText w:val=""/>
      <w:lvlJc w:val="left"/>
      <w:pPr>
        <w:tabs>
          <w:tab w:val="num" w:pos="3600"/>
        </w:tabs>
        <w:ind w:left="3600" w:hanging="360"/>
      </w:pPr>
      <w:rPr>
        <w:rFonts w:ascii="Symbol" w:hAnsi="Symbol" w:cs="Symbol"/>
      </w:rPr>
    </w:lvl>
    <w:lvl w:ilvl="5">
      <w:start w:val="1"/>
      <w:numFmt w:val="bullet"/>
      <w:lvlText w:val="-"/>
      <w:lvlJc w:val="left"/>
      <w:pPr>
        <w:tabs>
          <w:tab w:val="num" w:pos="4320"/>
        </w:tabs>
        <w:ind w:left="4320" w:hanging="360"/>
      </w:pPr>
    </w:lvl>
    <w:lvl w:ilvl="6">
      <w:start w:val="1"/>
      <w:numFmt w:val="bullet"/>
      <w:lvlText w:val="*"/>
      <w:lvlJc w:val="left"/>
      <w:pPr>
        <w:tabs>
          <w:tab w:val="num" w:pos="5040"/>
        </w:tabs>
        <w:ind w:left="5040" w:hanging="360"/>
      </w:pPr>
    </w:lvl>
    <w:lvl w:ilvl="7">
      <w:start w:val="1"/>
      <w:numFmt w:val="bullet"/>
      <w:lvlText w:val=""/>
      <w:lvlJc w:val="left"/>
      <w:pPr>
        <w:tabs>
          <w:tab w:val="num" w:pos="5760"/>
        </w:tabs>
        <w:ind w:left="5760" w:hanging="360"/>
      </w:pPr>
      <w:rPr>
        <w:rFonts w:ascii="Symbol" w:hAnsi="Symbol" w:cs="Symbol"/>
      </w:rPr>
    </w:lvl>
    <w:lvl w:ilvl="8">
      <w:start w:val="1"/>
      <w:numFmt w:val="bullet"/>
      <w:lvlText w:val=""/>
      <w:lvlJc w:val="left"/>
      <w:pPr>
        <w:tabs>
          <w:tab w:val="num" w:pos="6480"/>
        </w:tabs>
        <w:ind w:left="6480" w:hanging="360"/>
      </w:pPr>
      <w:rPr>
        <w:rFonts w:ascii="Symbol" w:hAnsi="Symbol" w:cs="Symbol"/>
      </w:rPr>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7F3E"/>
    <w:rsid w:val="00007F3E"/>
    <w:rsid w:val="00056BD5"/>
    <w:rsid w:val="000B7249"/>
    <w:rsid w:val="000F0702"/>
    <w:rsid w:val="000F6833"/>
    <w:rsid w:val="00162136"/>
    <w:rsid w:val="00225503"/>
    <w:rsid w:val="00315484"/>
    <w:rsid w:val="003171A8"/>
    <w:rsid w:val="00361CB5"/>
    <w:rsid w:val="00381824"/>
    <w:rsid w:val="004162A7"/>
    <w:rsid w:val="00454675"/>
    <w:rsid w:val="00540FB3"/>
    <w:rsid w:val="00597B05"/>
    <w:rsid w:val="006534AF"/>
    <w:rsid w:val="006F01DD"/>
    <w:rsid w:val="0072609E"/>
    <w:rsid w:val="007838BA"/>
    <w:rsid w:val="007C1239"/>
    <w:rsid w:val="00835BDF"/>
    <w:rsid w:val="00883628"/>
    <w:rsid w:val="008A261F"/>
    <w:rsid w:val="008B50E7"/>
    <w:rsid w:val="00903DEF"/>
    <w:rsid w:val="009266BA"/>
    <w:rsid w:val="0097504F"/>
    <w:rsid w:val="00996907"/>
    <w:rsid w:val="00B33429"/>
    <w:rsid w:val="00BA63FA"/>
    <w:rsid w:val="00BE690D"/>
    <w:rsid w:val="00C66F0A"/>
    <w:rsid w:val="00DE068D"/>
    <w:rsid w:val="00E02082"/>
    <w:rsid w:val="00E724C6"/>
    <w:rsid w:val="00EC26EF"/>
    <w:rsid w:val="00F12F90"/>
  </w:rsids>
  <m:mathPr>
    <m:mathFont m:val="@ＭＳ ゴシック"/>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675"/>
    <w:pPr>
      <w:widowControl w:val="0"/>
      <w:autoSpaceDE w:val="0"/>
      <w:autoSpaceDN w:val="0"/>
      <w:adjustRightInd w:val="0"/>
      <w:spacing w:after="0" w:line="240" w:lineRule="auto"/>
    </w:pPr>
    <w:rPr>
      <w:rFonts w:ascii="Times New Roman" w:hAnsi="Times New Roman" w:cs="Times New Roman"/>
      <w:sz w:val="24"/>
      <w:szCs w:val="24"/>
      <w:lang/>
    </w:rPr>
  </w:style>
  <w:style w:type="paragraph" w:styleId="Heading1">
    <w:name w:val="heading 1"/>
    <w:aliases w:val="Section"/>
    <w:basedOn w:val="Normal"/>
    <w:next w:val="Normal"/>
    <w:link w:val="Heading1Char"/>
    <w:uiPriority w:val="99"/>
    <w:qFormat/>
    <w:rsid w:val="00454675"/>
    <w:pPr>
      <w:keepNext/>
      <w:spacing w:before="240" w:after="160"/>
      <w:outlineLvl w:val="0"/>
    </w:pPr>
    <w:rPr>
      <w:b/>
      <w:bCs/>
      <w:sz w:val="34"/>
      <w:szCs w:val="34"/>
    </w:rPr>
  </w:style>
  <w:style w:type="paragraph" w:styleId="Heading2">
    <w:name w:val="heading 2"/>
    <w:aliases w:val="Subsection"/>
    <w:basedOn w:val="Normal"/>
    <w:next w:val="Normal"/>
    <w:link w:val="Heading2Char"/>
    <w:uiPriority w:val="99"/>
    <w:qFormat/>
    <w:rsid w:val="00454675"/>
    <w:pPr>
      <w:keepNext/>
      <w:spacing w:before="240" w:after="160"/>
      <w:outlineLvl w:val="1"/>
    </w:pPr>
    <w:rPr>
      <w:i/>
      <w:iCs/>
      <w:sz w:val="32"/>
      <w:szCs w:val="32"/>
    </w:rPr>
  </w:style>
  <w:style w:type="paragraph" w:styleId="Heading3">
    <w:name w:val="heading 3"/>
    <w:aliases w:val="Subsubsection"/>
    <w:basedOn w:val="Normal"/>
    <w:next w:val="Normal"/>
    <w:link w:val="Heading3Char"/>
    <w:uiPriority w:val="99"/>
    <w:qFormat/>
    <w:rsid w:val="00454675"/>
    <w:pPr>
      <w:keepNext/>
      <w:spacing w:before="240" w:after="160"/>
      <w:outlineLvl w:val="2"/>
    </w:pPr>
    <w:rPr>
      <w:sz w:val="28"/>
      <w:szCs w:val="28"/>
    </w:rPr>
  </w:style>
  <w:style w:type="paragraph" w:styleId="Heading4">
    <w:name w:val="heading 4"/>
    <w:aliases w:val="Paragraph"/>
    <w:basedOn w:val="Normal"/>
    <w:next w:val="Normal"/>
    <w:link w:val="Heading4Char"/>
    <w:uiPriority w:val="99"/>
    <w:qFormat/>
    <w:rsid w:val="00454675"/>
    <w:pPr>
      <w:keepNext/>
      <w:spacing w:before="240" w:after="160"/>
      <w:outlineLvl w:val="3"/>
    </w:pPr>
    <w:rPr>
      <w:b/>
      <w:bCs/>
    </w:rPr>
  </w:style>
  <w:style w:type="paragraph" w:styleId="Heading5">
    <w:name w:val="heading 5"/>
    <w:aliases w:val="Subparagraph"/>
    <w:basedOn w:val="Normal"/>
    <w:next w:val="Normal"/>
    <w:link w:val="Heading5Char"/>
    <w:uiPriority w:val="99"/>
    <w:qFormat/>
    <w:rsid w:val="00454675"/>
    <w:pPr>
      <w:keepNext/>
      <w:spacing w:before="240" w:after="160"/>
      <w:outlineLvl w:val="4"/>
    </w:pPr>
    <w:rPr>
      <w:b/>
      <w:b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Section Char"/>
    <w:basedOn w:val="DefaultParagraphFont"/>
    <w:link w:val="Heading1"/>
    <w:uiPriority w:val="9"/>
    <w:rsid w:val="00007F3E"/>
    <w:rPr>
      <w:rFonts w:asciiTheme="majorHAnsi" w:eastAsiaTheme="majorEastAsia" w:hAnsiTheme="majorHAnsi" w:cstheme="majorBidi"/>
      <w:b/>
      <w:bCs/>
      <w:kern w:val="32"/>
      <w:sz w:val="32"/>
      <w:szCs w:val="32"/>
      <w:lang/>
    </w:rPr>
  </w:style>
  <w:style w:type="character" w:customStyle="1" w:styleId="Heading2Char">
    <w:name w:val="Heading 2 Char"/>
    <w:aliases w:val="Subsection Char"/>
    <w:basedOn w:val="DefaultParagraphFont"/>
    <w:link w:val="Heading2"/>
    <w:uiPriority w:val="9"/>
    <w:semiHidden/>
    <w:rsid w:val="00007F3E"/>
    <w:rPr>
      <w:rFonts w:asciiTheme="majorHAnsi" w:eastAsiaTheme="majorEastAsia" w:hAnsiTheme="majorHAnsi" w:cstheme="majorBidi"/>
      <w:b/>
      <w:bCs/>
      <w:i/>
      <w:iCs/>
      <w:sz w:val="28"/>
      <w:szCs w:val="28"/>
      <w:lang/>
    </w:rPr>
  </w:style>
  <w:style w:type="character" w:customStyle="1" w:styleId="Heading3Char">
    <w:name w:val="Heading 3 Char"/>
    <w:aliases w:val="Subsubsection Char"/>
    <w:basedOn w:val="DefaultParagraphFont"/>
    <w:link w:val="Heading3"/>
    <w:uiPriority w:val="9"/>
    <w:semiHidden/>
    <w:rsid w:val="00007F3E"/>
    <w:rPr>
      <w:rFonts w:asciiTheme="majorHAnsi" w:eastAsiaTheme="majorEastAsia" w:hAnsiTheme="majorHAnsi" w:cstheme="majorBidi"/>
      <w:b/>
      <w:bCs/>
      <w:sz w:val="26"/>
      <w:szCs w:val="26"/>
      <w:lang/>
    </w:rPr>
  </w:style>
  <w:style w:type="character" w:customStyle="1" w:styleId="Heading4Char">
    <w:name w:val="Heading 4 Char"/>
    <w:aliases w:val="Paragraph Char"/>
    <w:basedOn w:val="DefaultParagraphFont"/>
    <w:link w:val="Heading4"/>
    <w:uiPriority w:val="9"/>
    <w:semiHidden/>
    <w:rsid w:val="00007F3E"/>
    <w:rPr>
      <w:b/>
      <w:bCs/>
      <w:sz w:val="28"/>
      <w:szCs w:val="28"/>
      <w:lang/>
    </w:rPr>
  </w:style>
  <w:style w:type="character" w:customStyle="1" w:styleId="Heading5Char">
    <w:name w:val="Heading 5 Char"/>
    <w:aliases w:val="Subparagraph Char"/>
    <w:basedOn w:val="DefaultParagraphFont"/>
    <w:link w:val="Heading5"/>
    <w:uiPriority w:val="9"/>
    <w:semiHidden/>
    <w:rsid w:val="00007F3E"/>
    <w:rPr>
      <w:b/>
      <w:bCs/>
      <w:i/>
      <w:iCs/>
      <w:sz w:val="26"/>
      <w:szCs w:val="26"/>
      <w:lang/>
    </w:rPr>
  </w:style>
  <w:style w:type="paragraph" w:customStyle="1" w:styleId="Quotation">
    <w:name w:val="Quotation"/>
    <w:basedOn w:val="Normal"/>
    <w:next w:val="Normal"/>
    <w:uiPriority w:val="99"/>
    <w:rsid w:val="00454675"/>
    <w:pPr>
      <w:keepNext/>
      <w:spacing w:before="240" w:after="160"/>
    </w:pPr>
  </w:style>
  <w:style w:type="paragraph" w:customStyle="1" w:styleId="Verse">
    <w:name w:val="Verse"/>
    <w:basedOn w:val="Normal"/>
    <w:next w:val="Normal"/>
    <w:uiPriority w:val="99"/>
    <w:rsid w:val="00454675"/>
    <w:pPr>
      <w:keepNext/>
      <w:spacing w:before="240" w:after="160"/>
    </w:pPr>
  </w:style>
  <w:style w:type="paragraph" w:styleId="Caption">
    <w:name w:val="caption"/>
    <w:basedOn w:val="Normal"/>
    <w:next w:val="Normal"/>
    <w:uiPriority w:val="99"/>
    <w:qFormat/>
    <w:rsid w:val="00454675"/>
    <w:pPr>
      <w:spacing w:before="120" w:after="120"/>
      <w:jc w:val="center"/>
    </w:pPr>
    <w:rPr>
      <w:b/>
      <w:bCs/>
      <w:sz w:val="20"/>
      <w:szCs w:val="20"/>
    </w:rPr>
  </w:style>
  <w:style w:type="paragraph" w:customStyle="1" w:styleId="Footnote">
    <w:name w:val="Footnote"/>
    <w:basedOn w:val="Normal"/>
    <w:next w:val="Normal"/>
    <w:uiPriority w:val="99"/>
    <w:rsid w:val="00454675"/>
  </w:style>
  <w:style w:type="paragraph" w:customStyle="1" w:styleId="MTDisplayEquation">
    <w:name w:val="MTDisplayEquation"/>
    <w:basedOn w:val="Normal"/>
    <w:next w:val="Normal"/>
    <w:uiPriority w:val="99"/>
    <w:rsid w:val="00454675"/>
  </w:style>
  <w:style w:type="paragraph" w:styleId="FootnoteText">
    <w:name w:val="footnote text"/>
    <w:basedOn w:val="Normal"/>
    <w:link w:val="FootnoteTextChar"/>
    <w:uiPriority w:val="99"/>
    <w:semiHidden/>
    <w:unhideWhenUsed/>
    <w:rsid w:val="00903DEF"/>
    <w:rPr>
      <w:sz w:val="20"/>
      <w:szCs w:val="20"/>
    </w:rPr>
  </w:style>
  <w:style w:type="character" w:customStyle="1" w:styleId="FootnoteTextChar">
    <w:name w:val="Footnote Text Char"/>
    <w:basedOn w:val="DefaultParagraphFont"/>
    <w:link w:val="FootnoteText"/>
    <w:uiPriority w:val="99"/>
    <w:semiHidden/>
    <w:rsid w:val="00903DEF"/>
    <w:rPr>
      <w:rFonts w:ascii="Times New Roman" w:hAnsi="Times New Roman" w:cs="Times New Roman"/>
      <w:sz w:val="20"/>
      <w:szCs w:val="20"/>
      <w:lang/>
    </w:rPr>
  </w:style>
  <w:style w:type="character" w:styleId="FootnoteReference">
    <w:name w:val="footnote reference"/>
    <w:basedOn w:val="DefaultParagraphFont"/>
    <w:uiPriority w:val="99"/>
    <w:semiHidden/>
    <w:unhideWhenUsed/>
    <w:rsid w:val="00903DEF"/>
    <w:rPr>
      <w:vertAlign w:val="superscript"/>
    </w:rPr>
  </w:style>
  <w:style w:type="character" w:styleId="PlaceholderText">
    <w:name w:val="Placeholder Text"/>
    <w:basedOn w:val="DefaultParagraphFont"/>
    <w:uiPriority w:val="99"/>
    <w:semiHidden/>
    <w:rsid w:val="00B33429"/>
    <w:rPr>
      <w:color w:val="808080"/>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38D60-A5BF-9247-A10E-B15C534E7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14</Pages>
  <Words>5924</Words>
  <Characters>33772</Characters>
  <Application>Microsoft Macintosh Word</Application>
  <DocSecurity>0</DocSecurity>
  <Lines>281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Benjamin Feigenberg</cp:lastModifiedBy>
  <cp:revision>28</cp:revision>
  <dcterms:created xsi:type="dcterms:W3CDTF">2014-06-24T18:43:00Z</dcterms:created>
  <dcterms:modified xsi:type="dcterms:W3CDTF">2014-06-25T01:17:00Z</dcterms:modified>
</cp:coreProperties>
</file>