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73F5C" w14:textId="32FC0DE7" w:rsidR="000207A5" w:rsidRPr="00AF0457" w:rsidRDefault="004E7D07" w:rsidP="006212A3">
      <w:pPr>
        <w:spacing w:before="60" w:after="60" w:line="276" w:lineRule="auto"/>
        <w:ind w:left="-4" w:right="58"/>
        <w:rPr>
          <w:rFonts w:cstheme="minorHAnsi"/>
          <w:b/>
          <w:bCs/>
        </w:rPr>
      </w:pPr>
      <w:r w:rsidRPr="00AF0457">
        <w:rPr>
          <w:rFonts w:cstheme="minorHAnsi"/>
          <w:b/>
          <w:bCs/>
        </w:rPr>
        <w:t>T</w:t>
      </w:r>
      <w:r w:rsidR="00CF3F8F" w:rsidRPr="00AF0457">
        <w:rPr>
          <w:rFonts w:cstheme="minorHAnsi"/>
          <w:b/>
          <w:bCs/>
        </w:rPr>
        <w:t>hyroid</w:t>
      </w:r>
      <w:r w:rsidRPr="00AF0457">
        <w:rPr>
          <w:rFonts w:cstheme="minorHAnsi"/>
          <w:b/>
          <w:bCs/>
        </w:rPr>
        <w:t>-related</w:t>
      </w:r>
      <w:r w:rsidR="000207A5" w:rsidRPr="00AF0457">
        <w:rPr>
          <w:rFonts w:cstheme="minorHAnsi"/>
          <w:b/>
          <w:bCs/>
        </w:rPr>
        <w:t xml:space="preserve"> hormones </w:t>
      </w:r>
      <w:r w:rsidR="004D6830" w:rsidRPr="00AF0457">
        <w:rPr>
          <w:rFonts w:cstheme="minorHAnsi"/>
          <w:b/>
          <w:bCs/>
        </w:rPr>
        <w:t>and</w:t>
      </w:r>
      <w:r w:rsidR="000207A5" w:rsidRPr="00AF0457">
        <w:rPr>
          <w:rFonts w:cstheme="minorHAnsi"/>
          <w:b/>
          <w:bCs/>
        </w:rPr>
        <w:t xml:space="preserve"> hypertension incidence </w:t>
      </w:r>
      <w:r w:rsidR="00216D49" w:rsidRPr="00AF0457">
        <w:rPr>
          <w:rFonts w:cstheme="minorHAnsi"/>
          <w:b/>
          <w:bCs/>
        </w:rPr>
        <w:t>in</w:t>
      </w:r>
      <w:r w:rsidR="00663851" w:rsidRPr="00AF0457">
        <w:rPr>
          <w:rFonts w:cstheme="minorHAnsi"/>
          <w:b/>
          <w:bCs/>
        </w:rPr>
        <w:t xml:space="preserve"> middle aged and older Hispanic/Latino adults</w:t>
      </w:r>
      <w:r w:rsidR="000207A5" w:rsidRPr="00AF0457">
        <w:rPr>
          <w:rFonts w:cstheme="minorHAnsi"/>
          <w:b/>
          <w:bCs/>
        </w:rPr>
        <w:t>: The</w:t>
      </w:r>
      <w:r w:rsidR="001D38B2" w:rsidRPr="00AF0457">
        <w:rPr>
          <w:rFonts w:cstheme="minorHAnsi"/>
          <w:b/>
          <w:bCs/>
        </w:rPr>
        <w:t xml:space="preserve"> </w:t>
      </w:r>
      <w:r w:rsidR="00E57CB8">
        <w:rPr>
          <w:rFonts w:cstheme="minorHAnsi"/>
          <w:b/>
          <w:bCs/>
        </w:rPr>
        <w:t>HCHS/SOL Study</w:t>
      </w:r>
    </w:p>
    <w:p w14:paraId="31B71F60" w14:textId="0A6B6EEE" w:rsidR="001B6482" w:rsidRPr="00AF0457" w:rsidRDefault="001B6482" w:rsidP="006212A3">
      <w:pPr>
        <w:spacing w:before="240" w:after="60" w:line="276" w:lineRule="auto"/>
        <w:rPr>
          <w:rFonts w:cstheme="minorHAnsi"/>
          <w:bCs/>
          <w:vertAlign w:val="superscript"/>
        </w:rPr>
      </w:pPr>
      <w:r w:rsidRPr="00AF0457">
        <w:rPr>
          <w:rFonts w:cstheme="minorHAnsi"/>
          <w:bCs/>
        </w:rPr>
        <w:t>Chibuzor Abasilim</w:t>
      </w:r>
      <w:r w:rsidRPr="00AF0457">
        <w:rPr>
          <w:rFonts w:cstheme="minorHAnsi"/>
          <w:bCs/>
          <w:vertAlign w:val="superscript"/>
        </w:rPr>
        <w:t>1,2</w:t>
      </w:r>
      <w:r w:rsidRPr="00AF0457">
        <w:rPr>
          <w:rFonts w:cstheme="minorHAnsi"/>
          <w:bCs/>
        </w:rPr>
        <w:t>, Victoria Persky</w:t>
      </w:r>
      <w:r w:rsidRPr="00AF0457">
        <w:rPr>
          <w:rFonts w:cstheme="minorHAnsi"/>
          <w:bCs/>
          <w:vertAlign w:val="superscript"/>
        </w:rPr>
        <w:t>1</w:t>
      </w:r>
      <w:r w:rsidRPr="00AF0457">
        <w:rPr>
          <w:rFonts w:cstheme="minorHAnsi"/>
          <w:bCs/>
        </w:rPr>
        <w:t>, Robert M. Sargis</w:t>
      </w:r>
      <w:r w:rsidRPr="00AF0457">
        <w:rPr>
          <w:rFonts w:cstheme="minorHAnsi"/>
          <w:bCs/>
          <w:vertAlign w:val="superscript"/>
        </w:rPr>
        <w:t>3</w:t>
      </w:r>
      <w:r w:rsidRPr="00AF0457">
        <w:rPr>
          <w:rFonts w:cstheme="minorHAnsi"/>
          <w:bCs/>
        </w:rPr>
        <w:t>, Maria Argos</w:t>
      </w:r>
      <w:r w:rsidRPr="00AF0457">
        <w:rPr>
          <w:rFonts w:cstheme="minorHAnsi"/>
          <w:bCs/>
          <w:vertAlign w:val="superscript"/>
        </w:rPr>
        <w:t>1</w:t>
      </w:r>
      <w:r w:rsidRPr="00AF0457">
        <w:rPr>
          <w:rFonts w:cstheme="minorHAnsi"/>
          <w:bCs/>
        </w:rPr>
        <w:t>, Martha Daviglus</w:t>
      </w:r>
      <w:r w:rsidRPr="00AF0457">
        <w:rPr>
          <w:rFonts w:cstheme="minorHAnsi"/>
          <w:bCs/>
          <w:vertAlign w:val="superscript"/>
        </w:rPr>
        <w:t>4</w:t>
      </w:r>
      <w:r w:rsidRPr="00AF0457">
        <w:rPr>
          <w:rFonts w:cstheme="minorHAnsi"/>
          <w:bCs/>
        </w:rPr>
        <w:t>,</w:t>
      </w:r>
      <w:r w:rsidR="00664A2D">
        <w:rPr>
          <w:rFonts w:cstheme="minorHAnsi"/>
          <w:bCs/>
        </w:rPr>
        <w:t xml:space="preserve"> </w:t>
      </w:r>
      <w:r w:rsidR="00664A2D" w:rsidRPr="00AF0457">
        <w:rPr>
          <w:rFonts w:cstheme="minorHAnsi"/>
          <w:bCs/>
        </w:rPr>
        <w:t>Sally Freels</w:t>
      </w:r>
      <w:r w:rsidR="00664A2D" w:rsidRPr="00AF0457">
        <w:rPr>
          <w:rFonts w:cstheme="minorHAnsi"/>
          <w:bCs/>
          <w:vertAlign w:val="superscript"/>
        </w:rPr>
        <w:t>1</w:t>
      </w:r>
      <w:r w:rsidR="00664A2D">
        <w:rPr>
          <w:rFonts w:cstheme="minorHAnsi"/>
          <w:bCs/>
        </w:rPr>
        <w:t xml:space="preserve">, </w:t>
      </w:r>
      <w:r w:rsidR="00A12DA0" w:rsidRPr="00AF0457">
        <w:rPr>
          <w:rFonts w:cstheme="minorHAnsi"/>
          <w:bCs/>
        </w:rPr>
        <w:t>Jianwen Cai</w:t>
      </w:r>
      <w:r w:rsidR="00A12DA0" w:rsidRPr="00AF0457">
        <w:rPr>
          <w:rFonts w:cstheme="minorHAnsi"/>
          <w:bCs/>
          <w:vertAlign w:val="superscript"/>
        </w:rPr>
        <w:t>5</w:t>
      </w:r>
      <w:r w:rsidRPr="00AF0457">
        <w:rPr>
          <w:rFonts w:cstheme="minorHAnsi"/>
          <w:bCs/>
        </w:rPr>
        <w:t>, Konstantina Tsintsifas</w:t>
      </w:r>
      <w:r w:rsidRPr="00AF0457">
        <w:rPr>
          <w:rFonts w:cstheme="minorHAnsi"/>
          <w:bCs/>
          <w:vertAlign w:val="superscript"/>
        </w:rPr>
        <w:t>1</w:t>
      </w:r>
      <w:r w:rsidRPr="00AF0457">
        <w:rPr>
          <w:rFonts w:cstheme="minorHAnsi"/>
          <w:bCs/>
        </w:rPr>
        <w:t>, Carmen R Isasi</w:t>
      </w:r>
      <w:r w:rsidRPr="00AF0457">
        <w:rPr>
          <w:rFonts w:cstheme="minorHAnsi"/>
          <w:bCs/>
          <w:vertAlign w:val="superscript"/>
        </w:rPr>
        <w:t>6</w:t>
      </w:r>
      <w:r w:rsidRPr="00AF0457">
        <w:rPr>
          <w:rFonts w:cstheme="minorHAnsi"/>
          <w:bCs/>
        </w:rPr>
        <w:t>, Brandilyn A. Peters</w:t>
      </w:r>
      <w:r w:rsidRPr="00AF0457">
        <w:rPr>
          <w:rFonts w:cstheme="minorHAnsi"/>
          <w:bCs/>
          <w:vertAlign w:val="superscript"/>
        </w:rPr>
        <w:t>6</w:t>
      </w:r>
      <w:r w:rsidRPr="00AF0457">
        <w:rPr>
          <w:rFonts w:cstheme="minorHAnsi"/>
          <w:bCs/>
        </w:rPr>
        <w:t>, Gregory A. Talavera</w:t>
      </w:r>
      <w:r w:rsidRPr="00AF0457">
        <w:rPr>
          <w:rFonts w:cstheme="minorHAnsi"/>
          <w:bCs/>
          <w:vertAlign w:val="superscript"/>
        </w:rPr>
        <w:t>7</w:t>
      </w:r>
      <w:r w:rsidRPr="00AF0457">
        <w:rPr>
          <w:rFonts w:cstheme="minorHAnsi"/>
          <w:bCs/>
        </w:rPr>
        <w:t>, Bharat Thyagarajan</w:t>
      </w:r>
      <w:r w:rsidRPr="00AF0457">
        <w:rPr>
          <w:rFonts w:cstheme="minorHAnsi"/>
          <w:bCs/>
          <w:vertAlign w:val="superscript"/>
        </w:rPr>
        <w:t>8</w:t>
      </w:r>
      <w:r w:rsidRPr="00AF0457">
        <w:rPr>
          <w:rFonts w:cstheme="minorHAnsi"/>
          <w:bCs/>
        </w:rPr>
        <w:t xml:space="preserve">, </w:t>
      </w:r>
      <w:r w:rsidR="00CD2A17" w:rsidRPr="00AF0457">
        <w:rPr>
          <w:rFonts w:cstheme="minorHAnsi"/>
          <w:bCs/>
        </w:rPr>
        <w:t xml:space="preserve">and </w:t>
      </w:r>
      <w:r w:rsidRPr="00AF0457">
        <w:rPr>
          <w:rFonts w:cstheme="minorHAnsi"/>
          <w:bCs/>
        </w:rPr>
        <w:t>Mary E. Turyk</w:t>
      </w:r>
      <w:r w:rsidRPr="00AF0457">
        <w:rPr>
          <w:rFonts w:cstheme="minorHAnsi"/>
          <w:bCs/>
          <w:vertAlign w:val="superscript"/>
        </w:rPr>
        <w:t>1</w:t>
      </w:r>
    </w:p>
    <w:p w14:paraId="593B6231" w14:textId="77777777" w:rsidR="001B6482" w:rsidRPr="00AF0457" w:rsidRDefault="001B6482" w:rsidP="006212A3">
      <w:pPr>
        <w:spacing w:before="60" w:after="60" w:line="276" w:lineRule="auto"/>
        <w:rPr>
          <w:rFonts w:cstheme="minorHAnsi"/>
          <w:bCs/>
          <w:vertAlign w:val="superscript"/>
        </w:rPr>
      </w:pPr>
    </w:p>
    <w:p w14:paraId="5632D41B" w14:textId="77777777" w:rsidR="001B6482" w:rsidRPr="00AF0457" w:rsidRDefault="001B6482" w:rsidP="006212A3">
      <w:pPr>
        <w:pStyle w:val="ListParagraph"/>
        <w:numPr>
          <w:ilvl w:val="0"/>
          <w:numId w:val="1"/>
        </w:numPr>
        <w:spacing w:before="60" w:after="60" w:line="276" w:lineRule="auto"/>
        <w:rPr>
          <w:rFonts w:cstheme="minorHAnsi"/>
          <w:bCs/>
        </w:rPr>
      </w:pPr>
      <w:r w:rsidRPr="00AF0457">
        <w:rPr>
          <w:rFonts w:cstheme="minorHAnsi"/>
          <w:bCs/>
        </w:rPr>
        <w:t>Division of Epidemiology and Biostatistics, School of Public Health, University of Illinois Chicago</w:t>
      </w:r>
    </w:p>
    <w:p w14:paraId="76FFF5A2" w14:textId="77777777" w:rsidR="001B6482" w:rsidRPr="00AF0457" w:rsidRDefault="001B6482" w:rsidP="006212A3">
      <w:pPr>
        <w:pStyle w:val="ListParagraph"/>
        <w:numPr>
          <w:ilvl w:val="0"/>
          <w:numId w:val="1"/>
        </w:numPr>
        <w:spacing w:before="60" w:after="60" w:line="276" w:lineRule="auto"/>
        <w:rPr>
          <w:rFonts w:cstheme="minorHAnsi"/>
          <w:bCs/>
        </w:rPr>
      </w:pPr>
      <w:r w:rsidRPr="00AF0457">
        <w:rPr>
          <w:rFonts w:cstheme="minorHAnsi"/>
          <w:bCs/>
        </w:rPr>
        <w:t>Division of Environmental and Occupational Health Sciences, School of Public Health, University of Illinois Chicago</w:t>
      </w:r>
    </w:p>
    <w:p w14:paraId="547F4249" w14:textId="77777777" w:rsidR="001B6482" w:rsidRPr="00AF0457" w:rsidRDefault="001B6482" w:rsidP="006212A3">
      <w:pPr>
        <w:pStyle w:val="ListParagraph"/>
        <w:numPr>
          <w:ilvl w:val="0"/>
          <w:numId w:val="1"/>
        </w:numPr>
        <w:spacing w:before="60" w:after="60" w:line="276" w:lineRule="auto"/>
        <w:rPr>
          <w:rFonts w:cstheme="minorHAnsi"/>
          <w:bCs/>
        </w:rPr>
      </w:pPr>
      <w:r w:rsidRPr="00AF0457">
        <w:rPr>
          <w:rFonts w:cstheme="minorHAnsi"/>
          <w:bCs/>
        </w:rPr>
        <w:t>Division of Endocrinology, Diabetes, and Metabolism, Department of Medicine, University of Illinois Chicago and Medical Service, Jesse Brown VA Medical Center</w:t>
      </w:r>
    </w:p>
    <w:p w14:paraId="311EBCDE" w14:textId="77777777" w:rsidR="001B6482" w:rsidRPr="00AF0457" w:rsidRDefault="001B6482" w:rsidP="006212A3">
      <w:pPr>
        <w:pStyle w:val="ListParagraph"/>
        <w:numPr>
          <w:ilvl w:val="0"/>
          <w:numId w:val="1"/>
        </w:numPr>
        <w:spacing w:before="60" w:after="60" w:line="276" w:lineRule="auto"/>
        <w:rPr>
          <w:rFonts w:cstheme="minorHAnsi"/>
          <w:bCs/>
        </w:rPr>
      </w:pPr>
      <w:r w:rsidRPr="00AF0457">
        <w:rPr>
          <w:rFonts w:cstheme="minorHAnsi"/>
          <w:bCs/>
        </w:rPr>
        <w:t>Institute for Minority Health Research, University of Illinois Chicago</w:t>
      </w:r>
    </w:p>
    <w:p w14:paraId="03405C08" w14:textId="77777777" w:rsidR="001B6482" w:rsidRPr="00AF0457" w:rsidRDefault="001B6482" w:rsidP="006212A3">
      <w:pPr>
        <w:pStyle w:val="ListParagraph"/>
        <w:numPr>
          <w:ilvl w:val="0"/>
          <w:numId w:val="1"/>
        </w:numPr>
        <w:spacing w:before="60" w:after="60" w:line="276" w:lineRule="auto"/>
        <w:rPr>
          <w:rFonts w:cstheme="minorHAnsi"/>
          <w:bCs/>
        </w:rPr>
      </w:pPr>
      <w:r w:rsidRPr="00AF0457">
        <w:rPr>
          <w:rFonts w:cstheme="minorHAnsi"/>
          <w:bCs/>
        </w:rPr>
        <w:t>Department of Biostatistics, University of North Carolina at Chapel Hill</w:t>
      </w:r>
    </w:p>
    <w:p w14:paraId="5717480A" w14:textId="77777777" w:rsidR="001B6482" w:rsidRPr="00AF0457" w:rsidRDefault="001B6482" w:rsidP="006212A3">
      <w:pPr>
        <w:pStyle w:val="ListParagraph"/>
        <w:numPr>
          <w:ilvl w:val="0"/>
          <w:numId w:val="1"/>
        </w:numPr>
        <w:spacing w:before="60" w:after="60" w:line="276" w:lineRule="auto"/>
        <w:rPr>
          <w:rFonts w:cstheme="minorHAnsi"/>
          <w:bCs/>
        </w:rPr>
      </w:pPr>
      <w:r w:rsidRPr="00AF0457">
        <w:rPr>
          <w:rFonts w:cstheme="minorHAnsi"/>
          <w:bCs/>
        </w:rPr>
        <w:t>Department of Epidemiology and Population Health, Albert Einstein College of Medicine</w:t>
      </w:r>
    </w:p>
    <w:p w14:paraId="33339D20" w14:textId="77777777" w:rsidR="001B6482" w:rsidRPr="00AF0457" w:rsidRDefault="001B6482" w:rsidP="006212A3">
      <w:pPr>
        <w:pStyle w:val="ListParagraph"/>
        <w:numPr>
          <w:ilvl w:val="0"/>
          <w:numId w:val="1"/>
        </w:numPr>
        <w:spacing w:before="60" w:after="60" w:line="276" w:lineRule="auto"/>
        <w:rPr>
          <w:rFonts w:cstheme="minorHAnsi"/>
          <w:bCs/>
        </w:rPr>
      </w:pPr>
      <w:r w:rsidRPr="00AF0457">
        <w:rPr>
          <w:rFonts w:cstheme="minorHAnsi"/>
          <w:bCs/>
        </w:rPr>
        <w:t>Department of Psychology, San Diego State University</w:t>
      </w:r>
    </w:p>
    <w:p w14:paraId="5E1F97E9" w14:textId="4A7340A6" w:rsidR="001B6482" w:rsidRPr="00AF0457" w:rsidRDefault="001B6482" w:rsidP="006212A3">
      <w:pPr>
        <w:pStyle w:val="ListParagraph"/>
        <w:numPr>
          <w:ilvl w:val="0"/>
          <w:numId w:val="1"/>
        </w:numPr>
        <w:spacing w:before="60" w:after="60" w:line="276" w:lineRule="auto"/>
        <w:rPr>
          <w:rFonts w:cstheme="minorHAnsi"/>
          <w:bCs/>
        </w:rPr>
      </w:pPr>
      <w:r w:rsidRPr="00AF0457">
        <w:rPr>
          <w:rFonts w:cstheme="minorHAnsi"/>
          <w:bCs/>
        </w:rPr>
        <w:t>Department of Laboratory Medicine and Pathology, University of Minnesota</w:t>
      </w:r>
    </w:p>
    <w:p w14:paraId="20333AC9" w14:textId="4CBFBD38" w:rsidR="00E62BD9" w:rsidRPr="00AF0457" w:rsidRDefault="00E62BD9" w:rsidP="006212A3">
      <w:pPr>
        <w:spacing w:before="240" w:after="0" w:line="276" w:lineRule="auto"/>
        <w:rPr>
          <w:rFonts w:cstheme="minorHAnsi"/>
        </w:rPr>
      </w:pPr>
      <w:r w:rsidRPr="00AF0457">
        <w:rPr>
          <w:rFonts w:cstheme="minorHAnsi"/>
          <w:b/>
          <w:bCs/>
        </w:rPr>
        <w:t xml:space="preserve">Type of manuscript: </w:t>
      </w:r>
      <w:r w:rsidRPr="00AF0457">
        <w:rPr>
          <w:rFonts w:cstheme="minorHAnsi"/>
        </w:rPr>
        <w:t>Original Research Article</w:t>
      </w:r>
    </w:p>
    <w:p w14:paraId="67DA1E82" w14:textId="7F8CC847" w:rsidR="00DA224E" w:rsidRDefault="00E62BD9" w:rsidP="006212A3">
      <w:pPr>
        <w:spacing w:after="0" w:line="276" w:lineRule="auto"/>
        <w:rPr>
          <w:rFonts w:cstheme="minorHAnsi"/>
        </w:rPr>
      </w:pPr>
      <w:r w:rsidRPr="00AF0457">
        <w:rPr>
          <w:rFonts w:cstheme="minorHAnsi"/>
          <w:b/>
          <w:bCs/>
        </w:rPr>
        <w:t>Manuscript Word Count</w:t>
      </w:r>
      <w:r w:rsidRPr="00AF0457">
        <w:rPr>
          <w:rFonts w:cstheme="minorHAnsi"/>
        </w:rPr>
        <w:t xml:space="preserve">: </w:t>
      </w:r>
      <w:r w:rsidR="000D5973">
        <w:t>5,143</w:t>
      </w:r>
    </w:p>
    <w:p w14:paraId="48E68103" w14:textId="77777777" w:rsidR="00B34184" w:rsidRPr="00AF0457" w:rsidRDefault="00B34184" w:rsidP="006212A3">
      <w:pPr>
        <w:spacing w:after="0" w:line="276" w:lineRule="auto"/>
        <w:rPr>
          <w:rFonts w:cstheme="minorHAnsi"/>
        </w:rPr>
      </w:pPr>
    </w:p>
    <w:p w14:paraId="630E40EE" w14:textId="77777777" w:rsidR="004D00BC" w:rsidRPr="00AF0457" w:rsidRDefault="004D00BC" w:rsidP="006212A3">
      <w:pPr>
        <w:spacing w:before="60" w:after="60" w:line="276" w:lineRule="auto"/>
        <w:rPr>
          <w:rFonts w:cstheme="minorHAnsi"/>
          <w:b/>
        </w:rPr>
      </w:pPr>
      <w:r w:rsidRPr="00AF0457">
        <w:rPr>
          <w:rFonts w:cstheme="minorHAnsi"/>
          <w:b/>
        </w:rPr>
        <w:t>Corresponding Author:</w:t>
      </w:r>
    </w:p>
    <w:p w14:paraId="34DDD29D" w14:textId="77777777" w:rsidR="004D00BC" w:rsidRPr="00AF0457" w:rsidRDefault="004D00BC" w:rsidP="006212A3">
      <w:pPr>
        <w:spacing w:after="0" w:line="276" w:lineRule="auto"/>
        <w:rPr>
          <w:rFonts w:cstheme="minorHAnsi"/>
        </w:rPr>
      </w:pPr>
      <w:bookmarkStart w:id="0" w:name="_Hlk133759663"/>
      <w:r w:rsidRPr="00AF0457">
        <w:rPr>
          <w:rFonts w:cstheme="minorHAnsi"/>
        </w:rPr>
        <w:t>Chibuzor Abasilim, PhD</w:t>
      </w:r>
    </w:p>
    <w:p w14:paraId="3CE596F2" w14:textId="77777777" w:rsidR="004D00BC" w:rsidRPr="00AF0457" w:rsidRDefault="004D00BC" w:rsidP="006212A3">
      <w:pPr>
        <w:spacing w:after="0" w:line="276" w:lineRule="auto"/>
        <w:rPr>
          <w:rFonts w:cstheme="minorHAnsi"/>
        </w:rPr>
      </w:pPr>
      <w:r w:rsidRPr="00AF0457">
        <w:rPr>
          <w:rFonts w:cstheme="minorHAnsi"/>
        </w:rPr>
        <w:t>Division of Environmental and Occupational Health Sciences</w:t>
      </w:r>
    </w:p>
    <w:p w14:paraId="4EDC8772" w14:textId="77777777" w:rsidR="004D00BC" w:rsidRPr="00AF0457" w:rsidRDefault="004D00BC" w:rsidP="006212A3">
      <w:pPr>
        <w:spacing w:after="0" w:line="276" w:lineRule="auto"/>
        <w:rPr>
          <w:rFonts w:cstheme="minorHAnsi"/>
        </w:rPr>
      </w:pPr>
      <w:r w:rsidRPr="00AF0457">
        <w:rPr>
          <w:rFonts w:cstheme="minorHAnsi"/>
        </w:rPr>
        <w:t>School of Public Health</w:t>
      </w:r>
    </w:p>
    <w:p w14:paraId="7D450FD4" w14:textId="77777777" w:rsidR="004D00BC" w:rsidRPr="00AF0457" w:rsidRDefault="004D00BC" w:rsidP="006212A3">
      <w:pPr>
        <w:spacing w:after="0" w:line="276" w:lineRule="auto"/>
        <w:rPr>
          <w:rFonts w:cstheme="minorHAnsi"/>
        </w:rPr>
      </w:pPr>
      <w:r w:rsidRPr="00AF0457">
        <w:rPr>
          <w:rFonts w:cstheme="minorHAnsi"/>
        </w:rPr>
        <w:t>University of Illinois Chicago</w:t>
      </w:r>
    </w:p>
    <w:p w14:paraId="5D7D3C0A" w14:textId="77777777" w:rsidR="004D00BC" w:rsidRPr="00AF0457" w:rsidRDefault="004D00BC" w:rsidP="006212A3">
      <w:pPr>
        <w:spacing w:after="0" w:line="276" w:lineRule="auto"/>
        <w:rPr>
          <w:rFonts w:cstheme="minorHAnsi"/>
        </w:rPr>
      </w:pPr>
      <w:r w:rsidRPr="00AF0457">
        <w:rPr>
          <w:rFonts w:cstheme="minorHAnsi"/>
        </w:rPr>
        <w:t>1603 W. Taylor Street</w:t>
      </w:r>
    </w:p>
    <w:p w14:paraId="28752792" w14:textId="75E079AD" w:rsidR="004D00BC" w:rsidRPr="00AF0457" w:rsidRDefault="004D00BC" w:rsidP="006212A3">
      <w:pPr>
        <w:spacing w:after="0" w:line="276" w:lineRule="auto"/>
        <w:rPr>
          <w:rFonts w:cstheme="minorHAnsi"/>
        </w:rPr>
      </w:pPr>
      <w:r w:rsidRPr="00AF0457">
        <w:rPr>
          <w:rFonts w:cstheme="minorHAnsi"/>
        </w:rPr>
        <w:t>Chicago, IL 60612</w:t>
      </w:r>
    </w:p>
    <w:p w14:paraId="317BE102" w14:textId="0E442CD1" w:rsidR="004D00BC" w:rsidRPr="00AF0457" w:rsidRDefault="004D00BC" w:rsidP="006212A3">
      <w:pPr>
        <w:spacing w:after="0" w:line="276" w:lineRule="auto"/>
        <w:rPr>
          <w:rFonts w:cstheme="minorHAnsi"/>
        </w:rPr>
      </w:pPr>
      <w:r w:rsidRPr="00AF0457">
        <w:rPr>
          <w:rFonts w:cstheme="minorHAnsi"/>
        </w:rPr>
        <w:t xml:space="preserve">Email: </w:t>
      </w:r>
      <w:hyperlink r:id="rId8" w:history="1">
        <w:r w:rsidRPr="00AF0457">
          <w:rPr>
            <w:rStyle w:val="Hyperlink"/>
            <w:rFonts w:cstheme="minorHAnsi"/>
          </w:rPr>
          <w:t>cabasi2@uic.edu</w:t>
        </w:r>
      </w:hyperlink>
      <w:r w:rsidRPr="00AF0457">
        <w:rPr>
          <w:rFonts w:cstheme="minorHAnsi"/>
        </w:rPr>
        <w:t xml:space="preserve"> </w:t>
      </w:r>
      <w:bookmarkEnd w:id="0"/>
    </w:p>
    <w:p w14:paraId="3CDBD03E" w14:textId="477FD636" w:rsidR="005F7CE0" w:rsidRPr="00AF0457" w:rsidRDefault="005F7CE0" w:rsidP="006212A3">
      <w:pPr>
        <w:spacing w:after="0" w:line="276" w:lineRule="auto"/>
        <w:rPr>
          <w:rFonts w:cstheme="minorHAnsi"/>
        </w:rPr>
      </w:pPr>
      <w:r w:rsidRPr="00AF0457">
        <w:rPr>
          <w:rFonts w:cstheme="minorHAnsi"/>
        </w:rPr>
        <w:t xml:space="preserve">Phone: </w:t>
      </w:r>
      <w:r w:rsidR="000E4C2D" w:rsidRPr="00AF0457">
        <w:rPr>
          <w:rFonts w:cstheme="minorHAnsi"/>
        </w:rPr>
        <w:t>312-413-7982</w:t>
      </w:r>
    </w:p>
    <w:p w14:paraId="1A0625F7" w14:textId="305D9EE8" w:rsidR="00D12772" w:rsidRDefault="004D00BC" w:rsidP="006212A3">
      <w:pPr>
        <w:spacing w:after="0" w:line="276" w:lineRule="auto"/>
        <w:rPr>
          <w:rStyle w:val="Hyperlink"/>
          <w:rFonts w:cstheme="minorHAnsi"/>
          <w:color w:val="0000EE"/>
          <w:shd w:val="clear" w:color="auto" w:fill="FFFFFF"/>
        </w:rPr>
      </w:pPr>
      <w:r w:rsidRPr="00AF0457">
        <w:rPr>
          <w:rFonts w:cstheme="minorHAnsi"/>
        </w:rPr>
        <w:t xml:space="preserve">ORCID: </w:t>
      </w:r>
      <w:hyperlink r:id="rId9" w:history="1">
        <w:r w:rsidRPr="00AF0457">
          <w:rPr>
            <w:rStyle w:val="Hyperlink"/>
            <w:rFonts w:cstheme="minorHAnsi"/>
            <w:color w:val="0000EE"/>
            <w:shd w:val="clear" w:color="auto" w:fill="FFFFFF"/>
          </w:rPr>
          <w:t>0000-0002-8150-9970</w:t>
        </w:r>
      </w:hyperlink>
    </w:p>
    <w:p w14:paraId="60A2E6A5" w14:textId="77777777" w:rsidR="00D12772" w:rsidRDefault="00D12772" w:rsidP="006212A3">
      <w:pPr>
        <w:spacing w:after="0" w:line="276" w:lineRule="auto"/>
        <w:rPr>
          <w:rStyle w:val="Hyperlink"/>
          <w:rFonts w:cstheme="minorHAnsi"/>
          <w:color w:val="0000EE"/>
          <w:shd w:val="clear" w:color="auto" w:fill="FFFFFF"/>
        </w:rPr>
      </w:pPr>
    </w:p>
    <w:p w14:paraId="28AD5E8E" w14:textId="77777777" w:rsidR="00D12772" w:rsidRPr="00AF0457" w:rsidRDefault="00D12772" w:rsidP="00D12772">
      <w:pPr>
        <w:spacing w:before="60" w:after="60" w:line="360" w:lineRule="auto"/>
        <w:rPr>
          <w:rFonts w:cstheme="minorHAnsi"/>
          <w:b/>
        </w:rPr>
      </w:pPr>
      <w:bookmarkStart w:id="1" w:name="_Hlk132136811"/>
      <w:r w:rsidRPr="00AF0457">
        <w:rPr>
          <w:rFonts w:cstheme="minorHAnsi"/>
          <w:b/>
        </w:rPr>
        <w:t>Statements &amp; Declarations</w:t>
      </w:r>
    </w:p>
    <w:p w14:paraId="1E113E36" w14:textId="77777777" w:rsidR="00D12772" w:rsidRPr="00AF0457" w:rsidRDefault="00D12772" w:rsidP="00D12772">
      <w:pPr>
        <w:spacing w:before="60" w:after="60" w:line="360" w:lineRule="auto"/>
        <w:rPr>
          <w:rFonts w:cstheme="minorHAnsi"/>
          <w:bCs/>
        </w:rPr>
      </w:pPr>
      <w:r w:rsidRPr="00AF0457">
        <w:rPr>
          <w:rFonts w:cstheme="minorHAnsi"/>
          <w:b/>
        </w:rPr>
        <w:t>Funding Support:</w:t>
      </w:r>
      <w:r w:rsidRPr="00AF0457">
        <w:rPr>
          <w:rFonts w:cstheme="minorHAnsi"/>
          <w:bCs/>
        </w:rPr>
        <w:t xml:space="preserve"> This work was supported by grant no. R01ES025159 with the Hispanic Community Health Study/Study of Latinos (HCHS/SOL) which was carried out as a collaborative study supported by contracts from National Heart, Lung, and Blood Institute (NHLBI) to the University of North Carolina (HHSN268201300001l/N01-HC65233), University of Miami (HHSN268201300004l/N01-HC65234), Albert Einstein College of Medicine (HHSN268201300002l/N01-HC65235), University of Illinois Chicago and Northwestern University (HHSN268201300003l/NO1-HC-65236/NO1-HC-65236) and San Diego State University </w:t>
      </w:r>
      <w:r w:rsidRPr="00AF0457">
        <w:rPr>
          <w:rFonts w:cstheme="minorHAnsi"/>
          <w:bCs/>
        </w:rPr>
        <w:lastRenderedPageBreak/>
        <w:t>(HHSN268201300005l/N01-HC65237). The following Institutes/Center/Offices contribute to the HCHS/SOL through a transfer of funds to the NHLBI: National Center on Minority Health and Health Disparities, the National Institute of Deafness and Other Communications Disorders, the National Institute of Dental and Craniofacial Research, the National Institute of Diabetes and Digestive and Kidney Diseases, the National Institute of Neurological Disorders and Stroke, and the Office of Dietary Supplements. V.P., M.E.T., and R.M.S were also supported by the NIEHS P30 Chicago Center for Health and Environment (CACHET) (P30ES027792). K.T. received trainee support from the National Institute for Occupational Safety and Health fellowship under grant number T42OH008672. C.R.I. was supported by the New York Regional Center for Diabetes Translation Research (2P30 DK111022) through funds from the National Institute of Diabetes and Digestive and Kidney Diseases.</w:t>
      </w:r>
    </w:p>
    <w:p w14:paraId="168C622E" w14:textId="77777777" w:rsidR="00D12772" w:rsidRPr="00AF0457" w:rsidRDefault="00D12772" w:rsidP="00D12772">
      <w:pPr>
        <w:spacing w:before="60" w:after="60" w:line="360" w:lineRule="auto"/>
        <w:rPr>
          <w:rFonts w:cstheme="minorHAnsi"/>
          <w:bCs/>
        </w:rPr>
      </w:pPr>
      <w:r w:rsidRPr="00AF0457">
        <w:rPr>
          <w:rFonts w:cstheme="minorHAnsi"/>
          <w:b/>
        </w:rPr>
        <w:t>Disclaimer Statement:</w:t>
      </w:r>
      <w:r w:rsidRPr="00AF0457">
        <w:rPr>
          <w:rFonts w:cstheme="minorHAnsi"/>
          <w:bCs/>
        </w:rPr>
        <w:t xml:space="preserve"> The views expressed in this manuscript are those of the authors and do not necessarily represent the views of the National Heart, Lung, and Blood Institute; the National Institutes of Health; the U.S. Department of Health and Human Services; the National Institute for Occupational Safety and Health, the position or policy of the Department of Veterans Affairs or the United States Government.</w:t>
      </w:r>
    </w:p>
    <w:p w14:paraId="229F39E8" w14:textId="77777777" w:rsidR="00D12772" w:rsidRPr="00AF0457" w:rsidRDefault="00D12772" w:rsidP="00D12772">
      <w:pPr>
        <w:spacing w:before="60" w:after="60" w:line="360" w:lineRule="auto"/>
        <w:rPr>
          <w:rFonts w:cstheme="minorHAnsi"/>
          <w:bCs/>
        </w:rPr>
      </w:pPr>
      <w:r w:rsidRPr="00AF0457">
        <w:rPr>
          <w:rFonts w:cstheme="minorHAnsi"/>
          <w:b/>
        </w:rPr>
        <w:t>Conflict of Interest and Disclosure Summary:</w:t>
      </w:r>
      <w:r w:rsidRPr="00AF0457">
        <w:rPr>
          <w:rFonts w:cstheme="minorHAnsi"/>
          <w:bCs/>
        </w:rPr>
        <w:t xml:space="preserve"> RMS has received honoraria from the American Medical Forum for lectures and from CVS/Health for an advisory committee, neither of which are related to the current manuscript.</w:t>
      </w:r>
      <w:bookmarkEnd w:id="1"/>
    </w:p>
    <w:p w14:paraId="4B5267D7" w14:textId="720C26B3" w:rsidR="00BB1345" w:rsidRPr="00D12772" w:rsidRDefault="00D12772" w:rsidP="00D12772">
      <w:pPr>
        <w:spacing w:before="60" w:after="60" w:line="360" w:lineRule="auto"/>
        <w:rPr>
          <w:rFonts w:cstheme="minorHAnsi"/>
          <w:bCs/>
        </w:rPr>
      </w:pPr>
      <w:r w:rsidRPr="00AF0457">
        <w:rPr>
          <w:rFonts w:cstheme="minorHAnsi"/>
          <w:b/>
        </w:rPr>
        <w:t>Data Availability Statement</w:t>
      </w:r>
      <w:r w:rsidRPr="00AF0457">
        <w:rPr>
          <w:rFonts w:cstheme="minorHAnsi"/>
          <w:bCs/>
        </w:rPr>
        <w:t>: The data are not publicly available in accordance with the human subjects research agreement for HCHS/SOL. Please contact the corresponding author with questions about access to the dataset.</w:t>
      </w:r>
      <w:r w:rsidR="00BB1345">
        <w:rPr>
          <w:rFonts w:cstheme="minorHAnsi"/>
          <w:b/>
        </w:rPr>
        <w:br w:type="page"/>
      </w:r>
    </w:p>
    <w:p w14:paraId="212B1F5F" w14:textId="021DC670" w:rsidR="00515796" w:rsidRPr="00AF0457" w:rsidRDefault="00515796" w:rsidP="00BB1345">
      <w:pPr>
        <w:spacing w:before="60" w:after="60" w:line="480" w:lineRule="auto"/>
        <w:ind w:right="58"/>
        <w:rPr>
          <w:rFonts w:cstheme="minorHAnsi"/>
          <w:b/>
        </w:rPr>
      </w:pPr>
      <w:r w:rsidRPr="00AF0457">
        <w:rPr>
          <w:rFonts w:cstheme="minorHAnsi"/>
          <w:b/>
        </w:rPr>
        <w:lastRenderedPageBreak/>
        <w:t>Abstract</w:t>
      </w:r>
    </w:p>
    <w:p w14:paraId="0E5F3923" w14:textId="59FCDC43" w:rsidR="00515796" w:rsidRPr="00AF0457" w:rsidRDefault="00515796" w:rsidP="00CC21FA">
      <w:pPr>
        <w:spacing w:before="60" w:after="60" w:line="480" w:lineRule="auto"/>
        <w:ind w:right="58"/>
        <w:rPr>
          <w:rFonts w:cstheme="minorHAnsi"/>
          <w:b/>
        </w:rPr>
      </w:pPr>
      <w:r w:rsidRPr="00AF0457">
        <w:rPr>
          <w:rFonts w:cstheme="minorHAnsi"/>
          <w:b/>
          <w:bCs/>
        </w:rPr>
        <w:t>Background</w:t>
      </w:r>
      <w:r w:rsidRPr="00AF0457">
        <w:rPr>
          <w:rFonts w:cstheme="minorHAnsi"/>
        </w:rPr>
        <w:t xml:space="preserve">: </w:t>
      </w:r>
      <w:r w:rsidR="00A82164" w:rsidRPr="00AF0457">
        <w:rPr>
          <w:rFonts w:cstheme="minorHAnsi"/>
        </w:rPr>
        <w:t>Thyroid</w:t>
      </w:r>
      <w:r w:rsidR="00693253" w:rsidRPr="00AF0457">
        <w:rPr>
          <w:rFonts w:cstheme="minorHAnsi"/>
        </w:rPr>
        <w:t>-</w:t>
      </w:r>
      <w:r w:rsidR="00A82164" w:rsidRPr="00AF0457">
        <w:rPr>
          <w:rFonts w:cstheme="minorHAnsi"/>
        </w:rPr>
        <w:t>related hormones act to regulate metabolic pathways and blood pressure</w:t>
      </w:r>
      <w:r w:rsidR="00300B0C" w:rsidRPr="00AF0457">
        <w:rPr>
          <w:rFonts w:cstheme="minorHAnsi"/>
        </w:rPr>
        <w:t xml:space="preserve"> (BP)</w:t>
      </w:r>
      <w:r w:rsidR="00A82164" w:rsidRPr="00AF0457">
        <w:rPr>
          <w:rFonts w:cstheme="minorHAnsi"/>
        </w:rPr>
        <w:t>. However, the relationship of thyroid stimulating hormone (TSH), peripheral thyroid hormones</w:t>
      </w:r>
      <w:r w:rsidR="000621A6" w:rsidRPr="00AF0457">
        <w:rPr>
          <w:rFonts w:cstheme="minorHAnsi"/>
        </w:rPr>
        <w:t>,</w:t>
      </w:r>
      <w:r w:rsidR="00A82164" w:rsidRPr="00AF0457">
        <w:rPr>
          <w:rFonts w:cstheme="minorHAnsi"/>
        </w:rPr>
        <w:t xml:space="preserve"> and the role of the hypothalamic-pituitary</w:t>
      </w:r>
      <w:r w:rsidR="005D1080" w:rsidRPr="00AF0457">
        <w:rPr>
          <w:rFonts w:cstheme="minorHAnsi"/>
        </w:rPr>
        <w:t>-</w:t>
      </w:r>
      <w:r w:rsidR="00A82164" w:rsidRPr="00AF0457">
        <w:rPr>
          <w:rFonts w:cstheme="minorHAnsi"/>
        </w:rPr>
        <w:t>thyroid axis on hypertension</w:t>
      </w:r>
      <w:r w:rsidR="004A2859">
        <w:rPr>
          <w:rFonts w:cstheme="minorHAnsi"/>
        </w:rPr>
        <w:t xml:space="preserve"> development</w:t>
      </w:r>
      <w:r w:rsidR="00A82164" w:rsidRPr="00AF0457">
        <w:rPr>
          <w:rFonts w:cstheme="minorHAnsi"/>
        </w:rPr>
        <w:t xml:space="preserve"> is not fully understood. </w:t>
      </w:r>
      <w:r w:rsidR="00D413A2" w:rsidRPr="00AF0457">
        <w:rPr>
          <w:rFonts w:cstheme="minorHAnsi"/>
        </w:rPr>
        <w:t>We</w:t>
      </w:r>
      <w:r w:rsidR="001D38B2" w:rsidRPr="00AF0457">
        <w:rPr>
          <w:rFonts w:cstheme="minorHAnsi"/>
        </w:rPr>
        <w:t xml:space="preserve"> assessed </w:t>
      </w:r>
      <w:r w:rsidR="009458BE" w:rsidRPr="00AF0457">
        <w:rPr>
          <w:rFonts w:cstheme="minorHAnsi"/>
        </w:rPr>
        <w:t>sex-specific associations</w:t>
      </w:r>
      <w:r w:rsidR="001D38B2" w:rsidRPr="00AF0457">
        <w:rPr>
          <w:rFonts w:cstheme="minorHAnsi"/>
        </w:rPr>
        <w:t xml:space="preserve"> of </w:t>
      </w:r>
      <w:r w:rsidR="00693253" w:rsidRPr="00AF0457">
        <w:rPr>
          <w:rFonts w:cstheme="minorHAnsi"/>
        </w:rPr>
        <w:t>thyroid-related</w:t>
      </w:r>
      <w:r w:rsidR="001D38B2" w:rsidRPr="00AF0457">
        <w:rPr>
          <w:rFonts w:cstheme="minorHAnsi"/>
        </w:rPr>
        <w:t xml:space="preserve"> hormones with </w:t>
      </w:r>
      <w:r w:rsidR="00DD641F" w:rsidRPr="00AF0457">
        <w:rPr>
          <w:rFonts w:cstheme="minorHAnsi"/>
        </w:rPr>
        <w:t>BP</w:t>
      </w:r>
      <w:r w:rsidR="001D38B2" w:rsidRPr="00AF0457">
        <w:rPr>
          <w:rFonts w:cstheme="minorHAnsi"/>
        </w:rPr>
        <w:t xml:space="preserve"> and hypertension in </w:t>
      </w:r>
      <w:r w:rsidR="0079361E" w:rsidRPr="00AF0457">
        <w:rPr>
          <w:rFonts w:cstheme="minorHAnsi"/>
        </w:rPr>
        <w:t xml:space="preserve">Hispanic/Latino </w:t>
      </w:r>
      <w:r w:rsidR="000A7933" w:rsidRPr="00AF0457">
        <w:rPr>
          <w:rFonts w:cstheme="minorHAnsi"/>
        </w:rPr>
        <w:t>adults</w:t>
      </w:r>
      <w:r w:rsidR="008F7FA3" w:rsidRPr="00AF0457">
        <w:rPr>
          <w:rFonts w:cstheme="minorHAnsi"/>
        </w:rPr>
        <w:t xml:space="preserve"> </w:t>
      </w:r>
      <w:r w:rsidR="004664AD" w:rsidRPr="00AF0457">
        <w:rPr>
          <w:rFonts w:cstheme="minorHAnsi"/>
        </w:rPr>
        <w:t xml:space="preserve">followed for </w:t>
      </w:r>
      <w:r w:rsidR="008F7FA3" w:rsidRPr="00AF0457">
        <w:rPr>
          <w:rFonts w:cstheme="minorHAnsi"/>
        </w:rPr>
        <w:t>6 year</w:t>
      </w:r>
      <w:r w:rsidR="004664AD" w:rsidRPr="00AF0457">
        <w:rPr>
          <w:rFonts w:cstheme="minorHAnsi"/>
        </w:rPr>
        <w:t>s.</w:t>
      </w:r>
    </w:p>
    <w:p w14:paraId="761F9AF9" w14:textId="2E8A7C0B" w:rsidR="00515796" w:rsidRPr="00AF0457" w:rsidRDefault="00515796" w:rsidP="00CC21FA">
      <w:pPr>
        <w:spacing w:before="60" w:after="60" w:line="480" w:lineRule="auto"/>
        <w:rPr>
          <w:rFonts w:cstheme="minorHAnsi"/>
        </w:rPr>
      </w:pPr>
      <w:r w:rsidRPr="00AF0457">
        <w:rPr>
          <w:rFonts w:cstheme="minorHAnsi"/>
          <w:b/>
          <w:bCs/>
        </w:rPr>
        <w:t>Methods</w:t>
      </w:r>
      <w:r w:rsidRPr="00AF0457">
        <w:rPr>
          <w:rFonts w:cstheme="minorHAnsi"/>
        </w:rPr>
        <w:t>: We studied 1,789 adults, aged 45</w:t>
      </w:r>
      <w:r w:rsidR="008B7F3B">
        <w:rPr>
          <w:rFonts w:cstheme="minorHAnsi"/>
        </w:rPr>
        <w:t>-</w:t>
      </w:r>
      <w:r w:rsidRPr="00AF0457">
        <w:rPr>
          <w:rFonts w:cstheme="minorHAnsi"/>
        </w:rPr>
        <w:t>74, free of diabetes</w:t>
      </w:r>
      <w:r w:rsidR="00AE28AC" w:rsidRPr="00AF0457">
        <w:rPr>
          <w:rFonts w:cstheme="minorHAnsi"/>
        </w:rPr>
        <w:t xml:space="preserve"> </w:t>
      </w:r>
      <w:r w:rsidRPr="00AF0457">
        <w:rPr>
          <w:rFonts w:cstheme="minorHAnsi"/>
        </w:rPr>
        <w:t>at baseline from a subcohort of</w:t>
      </w:r>
      <w:r w:rsidR="009668B8" w:rsidRPr="00AF0457">
        <w:rPr>
          <w:rFonts w:cstheme="minorHAnsi"/>
        </w:rPr>
        <w:t xml:space="preserve"> the</w:t>
      </w:r>
      <w:r w:rsidRPr="00AF0457">
        <w:rPr>
          <w:rFonts w:cstheme="minorHAnsi"/>
        </w:rPr>
        <w:t xml:space="preserve"> </w:t>
      </w:r>
      <w:r w:rsidR="009668B8" w:rsidRPr="00AF0457">
        <w:rPr>
          <w:rFonts w:cstheme="minorHAnsi"/>
        </w:rPr>
        <w:t>Hispanic Community Health Study/Study of Latinos.</w:t>
      </w:r>
      <w:r w:rsidRPr="00AF0457">
        <w:rPr>
          <w:rFonts w:cstheme="minorHAnsi"/>
        </w:rPr>
        <w:t xml:space="preserve"> </w:t>
      </w:r>
      <w:r w:rsidR="009668B8" w:rsidRPr="00AF0457">
        <w:rPr>
          <w:rFonts w:cstheme="minorHAnsi"/>
        </w:rPr>
        <w:t xml:space="preserve">We assessed </w:t>
      </w:r>
      <w:r w:rsidR="00B47CD0" w:rsidRPr="00AF0457">
        <w:rPr>
          <w:rFonts w:cstheme="minorHAnsi"/>
        </w:rPr>
        <w:t xml:space="preserve">TSH, </w:t>
      </w:r>
      <w:r w:rsidR="00F57846" w:rsidRPr="00AF0457">
        <w:rPr>
          <w:rFonts w:cstheme="minorHAnsi"/>
        </w:rPr>
        <w:t>free</w:t>
      </w:r>
      <w:r w:rsidR="006A3022">
        <w:rPr>
          <w:rFonts w:cstheme="minorHAnsi"/>
        </w:rPr>
        <w:t>-</w:t>
      </w:r>
      <w:r w:rsidR="00B47CD0" w:rsidRPr="00AF0457">
        <w:rPr>
          <w:rFonts w:cstheme="minorHAnsi"/>
        </w:rPr>
        <w:t>thyroxine</w:t>
      </w:r>
      <w:r w:rsidR="00F57846" w:rsidRPr="00AF0457">
        <w:rPr>
          <w:rFonts w:cstheme="minorHAnsi"/>
        </w:rPr>
        <w:t xml:space="preserve"> (FT4)</w:t>
      </w:r>
      <w:r w:rsidR="009668B8" w:rsidRPr="00AF0457">
        <w:rPr>
          <w:rFonts w:cstheme="minorHAnsi"/>
        </w:rPr>
        <w:t>,</w:t>
      </w:r>
      <w:r w:rsidR="00B47CD0" w:rsidRPr="00AF0457">
        <w:rPr>
          <w:rFonts w:cstheme="minorHAnsi"/>
        </w:rPr>
        <w:t xml:space="preserve"> triiodothyronine</w:t>
      </w:r>
      <w:r w:rsidR="00F57846" w:rsidRPr="00AF0457">
        <w:rPr>
          <w:rFonts w:cstheme="minorHAnsi"/>
        </w:rPr>
        <w:t xml:space="preserve"> (T3)</w:t>
      </w:r>
      <w:r w:rsidR="000621A6" w:rsidRPr="00AF0457">
        <w:rPr>
          <w:rFonts w:cstheme="minorHAnsi"/>
        </w:rPr>
        <w:t>,</w:t>
      </w:r>
      <w:r w:rsidR="009668B8" w:rsidRPr="00AF0457">
        <w:rPr>
          <w:rFonts w:cstheme="minorHAnsi"/>
        </w:rPr>
        <w:t xml:space="preserve"> and </w:t>
      </w:r>
      <w:r w:rsidR="007C33C4" w:rsidRPr="00AF0457">
        <w:rPr>
          <w:rFonts w:cstheme="minorHAnsi"/>
        </w:rPr>
        <w:t>various</w:t>
      </w:r>
      <w:r w:rsidR="009668B8" w:rsidRPr="00AF0457">
        <w:rPr>
          <w:rFonts w:cstheme="minorHAnsi"/>
        </w:rPr>
        <w:t xml:space="preserve"> indicators of </w:t>
      </w:r>
      <w:r w:rsidR="00AA15BF" w:rsidRPr="00AF0457">
        <w:rPr>
          <w:rFonts w:cstheme="minorHAnsi"/>
        </w:rPr>
        <w:t xml:space="preserve">thyroid </w:t>
      </w:r>
      <w:r w:rsidR="00EF3118">
        <w:rPr>
          <w:rFonts w:cstheme="minorHAnsi"/>
        </w:rPr>
        <w:t>axis</w:t>
      </w:r>
      <w:r w:rsidR="00AA15BF" w:rsidRPr="00AF0457">
        <w:rPr>
          <w:rFonts w:cstheme="minorHAnsi"/>
        </w:rPr>
        <w:t>.</w:t>
      </w:r>
      <w:r w:rsidR="009668B8" w:rsidRPr="00AF0457">
        <w:rPr>
          <w:rFonts w:cstheme="minorHAnsi"/>
        </w:rPr>
        <w:t xml:space="preserve"> </w:t>
      </w:r>
      <w:r w:rsidRPr="00AF0457">
        <w:rPr>
          <w:rFonts w:cstheme="minorHAnsi"/>
        </w:rPr>
        <w:t xml:space="preserve">Using multivariable linear and </w:t>
      </w:r>
      <w:r w:rsidR="002D2468" w:rsidRPr="00AF0457">
        <w:rPr>
          <w:rFonts w:cstheme="minorHAnsi"/>
        </w:rPr>
        <w:t>Poisson</w:t>
      </w:r>
      <w:r w:rsidRPr="00AF0457">
        <w:rPr>
          <w:rFonts w:cstheme="minorHAnsi"/>
        </w:rPr>
        <w:t xml:space="preserve"> regression adjusted for survey design and confounding variables, we estimated</w:t>
      </w:r>
      <w:r w:rsidR="00E01845" w:rsidRPr="00AF0457">
        <w:rPr>
          <w:rFonts w:cstheme="minorHAnsi"/>
        </w:rPr>
        <w:t xml:space="preserve"> </w:t>
      </w:r>
      <w:r w:rsidR="00E01845" w:rsidRPr="00AF0457">
        <w:rPr>
          <w:rFonts w:cstheme="minorHAnsi"/>
          <w:i/>
          <w:iCs/>
        </w:rPr>
        <w:t>a priori</w:t>
      </w:r>
      <w:r w:rsidR="00E01845" w:rsidRPr="00AF0457">
        <w:rPr>
          <w:rFonts w:cstheme="minorHAnsi"/>
        </w:rPr>
        <w:t xml:space="preserve"> sex-specific</w:t>
      </w:r>
      <w:r w:rsidRPr="00AF0457">
        <w:rPr>
          <w:rFonts w:cstheme="minorHAnsi"/>
        </w:rPr>
        <w:t xml:space="preserve"> associations of </w:t>
      </w:r>
      <w:r w:rsidR="00693253" w:rsidRPr="00AF0457">
        <w:rPr>
          <w:rFonts w:cstheme="minorHAnsi"/>
          <w:bCs/>
        </w:rPr>
        <w:t>thyroid-related</w:t>
      </w:r>
      <w:r w:rsidR="002D2468" w:rsidRPr="00AF0457">
        <w:rPr>
          <w:rFonts w:cstheme="minorHAnsi"/>
          <w:bCs/>
        </w:rPr>
        <w:t xml:space="preserve"> </w:t>
      </w:r>
      <w:r w:rsidRPr="00AF0457">
        <w:rPr>
          <w:rFonts w:cstheme="minorHAnsi"/>
          <w:bCs/>
        </w:rPr>
        <w:t xml:space="preserve">hormones </w:t>
      </w:r>
      <w:r w:rsidR="002D2468" w:rsidRPr="00AF0457">
        <w:rPr>
          <w:rFonts w:cstheme="minorHAnsi"/>
          <w:bCs/>
        </w:rPr>
        <w:t xml:space="preserve">with change in </w:t>
      </w:r>
      <w:r w:rsidR="00B970D3" w:rsidRPr="00AF0457">
        <w:rPr>
          <w:rFonts w:cstheme="minorHAnsi"/>
          <w:bCs/>
        </w:rPr>
        <w:t xml:space="preserve">BP </w:t>
      </w:r>
      <w:r w:rsidR="002D2468" w:rsidRPr="00AF0457">
        <w:rPr>
          <w:rFonts w:cstheme="minorHAnsi"/>
          <w:bCs/>
        </w:rPr>
        <w:t xml:space="preserve">and </w:t>
      </w:r>
      <w:r w:rsidR="006A3022">
        <w:rPr>
          <w:rFonts w:cstheme="minorHAnsi"/>
          <w:bCs/>
        </w:rPr>
        <w:t xml:space="preserve">hypertension </w:t>
      </w:r>
      <w:r w:rsidR="002D2468" w:rsidRPr="00AF0457">
        <w:rPr>
          <w:rFonts w:cstheme="minorHAnsi"/>
          <w:bCs/>
        </w:rPr>
        <w:t>development.</w:t>
      </w:r>
    </w:p>
    <w:p w14:paraId="3589498E" w14:textId="2B5BEF65" w:rsidR="00515796" w:rsidRPr="00AF0457" w:rsidRDefault="00515796" w:rsidP="00CC21FA">
      <w:pPr>
        <w:spacing w:before="60" w:after="60" w:line="480" w:lineRule="auto"/>
        <w:rPr>
          <w:rFonts w:cstheme="minorHAnsi"/>
        </w:rPr>
      </w:pPr>
      <w:r w:rsidRPr="00AF0457">
        <w:rPr>
          <w:rFonts w:cstheme="minorHAnsi"/>
          <w:b/>
          <w:bCs/>
        </w:rPr>
        <w:t>Results</w:t>
      </w:r>
      <w:r w:rsidRPr="00AF0457">
        <w:rPr>
          <w:rFonts w:cstheme="minorHAnsi"/>
        </w:rPr>
        <w:t xml:space="preserve">: </w:t>
      </w:r>
      <w:r w:rsidR="00D63942" w:rsidRPr="00AF0457">
        <w:rPr>
          <w:rFonts w:cstheme="minorHAnsi"/>
        </w:rPr>
        <w:t xml:space="preserve">In men and women, TSH and TSH/FT4 ratio were associated with </w:t>
      </w:r>
      <w:r w:rsidR="008501E1" w:rsidRPr="00AF0457">
        <w:rPr>
          <w:rFonts w:cstheme="minorHAnsi"/>
          <w:bCs/>
        </w:rPr>
        <w:t xml:space="preserve">change </w:t>
      </w:r>
      <w:r w:rsidR="00D63942" w:rsidRPr="00AF0457">
        <w:rPr>
          <w:rFonts w:cstheme="minorHAnsi"/>
        </w:rPr>
        <w:t>in diastolic</w:t>
      </w:r>
      <w:r w:rsidR="00D035AE">
        <w:rPr>
          <w:rFonts w:cstheme="minorHAnsi"/>
        </w:rPr>
        <w:t>-</w:t>
      </w:r>
      <w:r w:rsidR="00666938" w:rsidRPr="00AF0457">
        <w:rPr>
          <w:rFonts w:cstheme="minorHAnsi"/>
        </w:rPr>
        <w:t>BP</w:t>
      </w:r>
      <w:r w:rsidR="00D63942" w:rsidRPr="00AF0457">
        <w:rPr>
          <w:rFonts w:cstheme="minorHAnsi"/>
        </w:rPr>
        <w:t xml:space="preserve"> and T3 with </w:t>
      </w:r>
      <w:r w:rsidR="008501E1" w:rsidRPr="00AF0457">
        <w:rPr>
          <w:rFonts w:cstheme="minorHAnsi"/>
        </w:rPr>
        <w:t>change</w:t>
      </w:r>
      <w:r w:rsidR="00D63942" w:rsidRPr="00AF0457">
        <w:rPr>
          <w:rFonts w:cstheme="minorHAnsi"/>
        </w:rPr>
        <w:t xml:space="preserve"> in pulse</w:t>
      </w:r>
      <w:r w:rsidR="00D035AE">
        <w:rPr>
          <w:rFonts w:cstheme="minorHAnsi"/>
        </w:rPr>
        <w:t>-</w:t>
      </w:r>
      <w:r w:rsidR="00D63942" w:rsidRPr="00AF0457">
        <w:rPr>
          <w:rFonts w:cstheme="minorHAnsi"/>
        </w:rPr>
        <w:t xml:space="preserve">pressure and the development of hypertension from prehypertension. . </w:t>
      </w:r>
      <w:r w:rsidR="00A120B4" w:rsidRPr="00AF0457">
        <w:rPr>
          <w:rFonts w:cstheme="minorHAnsi"/>
        </w:rPr>
        <w:t xml:space="preserve">In men, </w:t>
      </w:r>
      <w:r w:rsidR="00DA1B9E" w:rsidRPr="00AF0457">
        <w:rPr>
          <w:rFonts w:cstheme="minorHAnsi"/>
        </w:rPr>
        <w:t>1</w:t>
      </w:r>
      <w:r w:rsidR="00E53D4D" w:rsidRPr="00AF0457">
        <w:rPr>
          <w:rFonts w:cstheme="minorHAnsi"/>
        </w:rPr>
        <w:t>-</w:t>
      </w:r>
      <w:r w:rsidR="00DA1B9E" w:rsidRPr="00AF0457">
        <w:rPr>
          <w:rFonts w:cstheme="minorHAnsi"/>
        </w:rPr>
        <w:t xml:space="preserve">SD increase in </w:t>
      </w:r>
      <w:r w:rsidR="00A120B4" w:rsidRPr="00AF0457">
        <w:rPr>
          <w:rFonts w:cstheme="minorHAnsi"/>
        </w:rPr>
        <w:t>TSH (</w:t>
      </w:r>
      <w:r w:rsidR="00346BB7">
        <w:rPr>
          <w:rFonts w:cstheme="minorHAnsi"/>
        </w:rPr>
        <w:t>Incident-Rate-Ratio(</w:t>
      </w:r>
      <w:r w:rsidR="00346BB7" w:rsidRPr="00AF0457">
        <w:rPr>
          <w:rFonts w:cstheme="minorHAnsi"/>
        </w:rPr>
        <w:t>IRR</w:t>
      </w:r>
      <w:r w:rsidR="00346BB7">
        <w:rPr>
          <w:rFonts w:cstheme="minorHAnsi"/>
        </w:rPr>
        <w:t>)</w:t>
      </w:r>
      <w:r w:rsidR="00D27D43" w:rsidRPr="00AF0457">
        <w:rPr>
          <w:rFonts w:cstheme="minorHAnsi"/>
        </w:rPr>
        <w:t>=</w:t>
      </w:r>
      <w:r w:rsidR="00A120B4" w:rsidRPr="00AF0457">
        <w:rPr>
          <w:rFonts w:cstheme="minorHAnsi"/>
        </w:rPr>
        <w:t>1.42;</w:t>
      </w:r>
      <w:r w:rsidR="00AA4590">
        <w:rPr>
          <w:rFonts w:cstheme="minorHAnsi"/>
        </w:rPr>
        <w:t xml:space="preserve"> </w:t>
      </w:r>
      <w:r w:rsidR="00A120B4" w:rsidRPr="00AF0457">
        <w:rPr>
          <w:rFonts w:cstheme="minorHAnsi"/>
        </w:rPr>
        <w:t>95%CI:</w:t>
      </w:r>
      <w:r w:rsidR="00AA4590">
        <w:rPr>
          <w:rFonts w:cstheme="minorHAnsi"/>
        </w:rPr>
        <w:t xml:space="preserve"> </w:t>
      </w:r>
      <w:r w:rsidR="00A120B4" w:rsidRPr="00AF0457">
        <w:rPr>
          <w:rFonts w:cstheme="minorHAnsi"/>
        </w:rPr>
        <w:t>1.15,1.75)</w:t>
      </w:r>
      <w:r w:rsidR="002B54CA" w:rsidRPr="00AF0457">
        <w:rPr>
          <w:rFonts w:cstheme="minorHAnsi"/>
        </w:rPr>
        <w:t xml:space="preserve"> and TSH/FT4 ratio (</w:t>
      </w:r>
      <w:r w:rsidR="00BE4A04" w:rsidRPr="00AF0457">
        <w:rPr>
          <w:rFonts w:cstheme="minorHAnsi"/>
        </w:rPr>
        <w:t>IRR=1.20;</w:t>
      </w:r>
      <w:r w:rsidR="00AA4590">
        <w:rPr>
          <w:rFonts w:cstheme="minorHAnsi"/>
        </w:rPr>
        <w:t xml:space="preserve"> </w:t>
      </w:r>
      <w:r w:rsidR="00BE4A04" w:rsidRPr="00AF0457">
        <w:rPr>
          <w:rFonts w:cstheme="minorHAnsi"/>
        </w:rPr>
        <w:t>95%CI</w:t>
      </w:r>
      <w:r w:rsidR="00AA4590">
        <w:rPr>
          <w:rFonts w:cstheme="minorHAnsi"/>
        </w:rPr>
        <w:t xml:space="preserve">: </w:t>
      </w:r>
      <w:r w:rsidR="00BE4A04" w:rsidRPr="00AF0457">
        <w:rPr>
          <w:rFonts w:cstheme="minorHAnsi"/>
        </w:rPr>
        <w:t>1.07,1.35</w:t>
      </w:r>
      <w:r w:rsidR="002B54CA" w:rsidRPr="00AF0457">
        <w:rPr>
          <w:rFonts w:cstheme="minorHAnsi"/>
        </w:rPr>
        <w:t>) were positively associated with the development of hypertension from prehypertension while TSH/FT4 ratio</w:t>
      </w:r>
      <w:r w:rsidR="006F7900" w:rsidRPr="00AF0457">
        <w:rPr>
          <w:rFonts w:cstheme="minorHAnsi"/>
        </w:rPr>
        <w:t xml:space="preserve"> (IRR=0</w:t>
      </w:r>
      <w:r w:rsidR="008109D1" w:rsidRPr="00AF0457">
        <w:rPr>
          <w:rFonts w:cstheme="minorHAnsi"/>
        </w:rPr>
        <w:t>.85</w:t>
      </w:r>
      <w:r w:rsidR="006F7900" w:rsidRPr="00AF0457">
        <w:rPr>
          <w:rFonts w:cstheme="minorHAnsi"/>
        </w:rPr>
        <w:t>;</w:t>
      </w:r>
      <w:r w:rsidR="00AA4590">
        <w:rPr>
          <w:rFonts w:cstheme="minorHAnsi"/>
        </w:rPr>
        <w:t xml:space="preserve"> </w:t>
      </w:r>
      <w:r w:rsidR="006F7900" w:rsidRPr="00AF0457">
        <w:rPr>
          <w:rFonts w:cstheme="minorHAnsi"/>
        </w:rPr>
        <w:t>95%CI</w:t>
      </w:r>
      <w:r w:rsidR="00AA4590">
        <w:rPr>
          <w:rFonts w:cstheme="minorHAnsi"/>
        </w:rPr>
        <w:t xml:space="preserve">: </w:t>
      </w:r>
      <w:r w:rsidR="006F7900" w:rsidRPr="00AF0457">
        <w:rPr>
          <w:rFonts w:cstheme="minorHAnsi"/>
        </w:rPr>
        <w:t>0</w:t>
      </w:r>
      <w:r w:rsidR="008109D1" w:rsidRPr="00AF0457">
        <w:rPr>
          <w:rFonts w:cstheme="minorHAnsi"/>
        </w:rPr>
        <w:t>.</w:t>
      </w:r>
      <w:r w:rsidR="006F7900" w:rsidRPr="00AF0457">
        <w:rPr>
          <w:rFonts w:cstheme="minorHAnsi"/>
        </w:rPr>
        <w:t>7</w:t>
      </w:r>
      <w:r w:rsidR="008109D1" w:rsidRPr="00AF0457">
        <w:rPr>
          <w:rFonts w:cstheme="minorHAnsi"/>
        </w:rPr>
        <w:t>2</w:t>
      </w:r>
      <w:r w:rsidR="006F7900" w:rsidRPr="00AF0457">
        <w:rPr>
          <w:rFonts w:cstheme="minorHAnsi"/>
        </w:rPr>
        <w:t>,1</w:t>
      </w:r>
      <w:r w:rsidR="008109D1" w:rsidRPr="00AF0457">
        <w:rPr>
          <w:rFonts w:cstheme="minorHAnsi"/>
        </w:rPr>
        <w:t>.00</w:t>
      </w:r>
      <w:r w:rsidR="006F7900" w:rsidRPr="00AF0457">
        <w:rPr>
          <w:rFonts w:cstheme="minorHAnsi"/>
        </w:rPr>
        <w:t>)</w:t>
      </w:r>
      <w:r w:rsidR="002B54CA" w:rsidRPr="00AF0457">
        <w:rPr>
          <w:rFonts w:cstheme="minorHAnsi"/>
        </w:rPr>
        <w:t xml:space="preserve"> was protective in women.</w:t>
      </w:r>
      <w:r w:rsidR="00D86C6C" w:rsidRPr="00AF0457">
        <w:rPr>
          <w:rFonts w:cstheme="minorHAnsi"/>
        </w:rPr>
        <w:t xml:space="preserve"> </w:t>
      </w:r>
      <w:r w:rsidR="00221525" w:rsidRPr="00AF0457">
        <w:rPr>
          <w:rFonts w:cstheme="minorHAnsi"/>
        </w:rPr>
        <w:t xml:space="preserve">We observed sex-specific differences in </w:t>
      </w:r>
      <w:r w:rsidR="000C6939" w:rsidRPr="00AF0457">
        <w:rPr>
          <w:rFonts w:cstheme="minorHAnsi"/>
        </w:rPr>
        <w:t>associations of T3/FT4</w:t>
      </w:r>
      <w:r w:rsidR="00C220EF" w:rsidRPr="00AF0457">
        <w:rPr>
          <w:rFonts w:cstheme="minorHAnsi"/>
        </w:rPr>
        <w:t xml:space="preserve"> ratio</w:t>
      </w:r>
      <w:r w:rsidR="000C6939" w:rsidRPr="00AF0457">
        <w:rPr>
          <w:rFonts w:cstheme="minorHAnsi"/>
        </w:rPr>
        <w:t xml:space="preserve">, </w:t>
      </w:r>
      <w:r w:rsidR="00821B54" w:rsidRPr="00AF0457">
        <w:rPr>
          <w:rFonts w:cstheme="minorHAnsi"/>
        </w:rPr>
        <w:t>and</w:t>
      </w:r>
      <w:r w:rsidR="000C6939" w:rsidRPr="00AF0457">
        <w:rPr>
          <w:rFonts w:cstheme="minorHAnsi"/>
        </w:rPr>
        <w:t xml:space="preserve"> indices of </w:t>
      </w:r>
      <w:r w:rsidR="00821B54" w:rsidRPr="00AF0457">
        <w:rPr>
          <w:rFonts w:cstheme="minorHAnsi"/>
        </w:rPr>
        <w:t>pituitary</w:t>
      </w:r>
      <w:r w:rsidR="00221525" w:rsidRPr="00AF0457">
        <w:rPr>
          <w:rFonts w:cstheme="minorHAnsi"/>
        </w:rPr>
        <w:t xml:space="preserve"> sensitivity</w:t>
      </w:r>
      <w:r w:rsidR="00821B54" w:rsidRPr="00AF0457">
        <w:rPr>
          <w:rFonts w:cstheme="minorHAnsi"/>
        </w:rPr>
        <w:t xml:space="preserve"> to thyroid hormones</w:t>
      </w:r>
      <w:r w:rsidR="00221525" w:rsidRPr="00AF0457">
        <w:rPr>
          <w:rFonts w:cstheme="minorHAnsi"/>
        </w:rPr>
        <w:t xml:space="preserve"> with</w:t>
      </w:r>
      <w:r w:rsidR="00030A19" w:rsidRPr="00AF0457">
        <w:rPr>
          <w:rFonts w:cstheme="minorHAnsi"/>
        </w:rPr>
        <w:t xml:space="preserve"> </w:t>
      </w:r>
      <w:r w:rsidR="00030A19" w:rsidRPr="00AF0457">
        <w:rPr>
          <w:rFonts w:cstheme="minorHAnsi"/>
          <w:bCs/>
        </w:rPr>
        <w:t>change in</w:t>
      </w:r>
      <w:r w:rsidR="00221525" w:rsidRPr="00AF0457">
        <w:rPr>
          <w:rFonts w:cstheme="minorHAnsi"/>
        </w:rPr>
        <w:t xml:space="preserve"> pulse</w:t>
      </w:r>
      <w:r w:rsidR="00D035AE">
        <w:rPr>
          <w:rFonts w:cstheme="minorHAnsi"/>
        </w:rPr>
        <w:t>-</w:t>
      </w:r>
      <w:r w:rsidR="00221525" w:rsidRPr="00AF0457">
        <w:rPr>
          <w:rFonts w:cstheme="minorHAnsi"/>
        </w:rPr>
        <w:t>pressure and hypertension development.</w:t>
      </w:r>
    </w:p>
    <w:p w14:paraId="35A10BF5" w14:textId="696AF523" w:rsidR="0056091B" w:rsidRDefault="00515796" w:rsidP="00CC21FA">
      <w:pPr>
        <w:spacing w:before="60" w:after="60" w:line="480" w:lineRule="auto"/>
        <w:rPr>
          <w:rFonts w:cstheme="minorHAnsi"/>
          <w:bCs/>
        </w:rPr>
      </w:pPr>
      <w:r w:rsidRPr="00AF0457">
        <w:rPr>
          <w:rFonts w:cstheme="minorHAnsi"/>
          <w:b/>
          <w:bCs/>
        </w:rPr>
        <w:t>Conclusion</w:t>
      </w:r>
      <w:r w:rsidRPr="00AF0457">
        <w:rPr>
          <w:rFonts w:cstheme="minorHAnsi"/>
        </w:rPr>
        <w:t xml:space="preserve">: </w:t>
      </w:r>
      <w:r w:rsidR="00D67A45" w:rsidRPr="00D67A45">
        <w:rPr>
          <w:rFonts w:cstheme="minorHAnsi"/>
          <w:bCs/>
        </w:rPr>
        <w:t>Thyroid-related hormones are associated with sex-specific changes in BP and hypertension among Hispanic/Latino adults</w:t>
      </w:r>
      <w:r w:rsidR="00894ACE">
        <w:rPr>
          <w:rFonts w:cstheme="minorHAnsi"/>
          <w:bCs/>
        </w:rPr>
        <w:t xml:space="preserve"> </w:t>
      </w:r>
      <w:r w:rsidR="00894ACE">
        <w:rPr>
          <w:rFonts w:cstheme="minorHAnsi"/>
        </w:rPr>
        <w:t>consistent with se</w:t>
      </w:r>
      <w:r w:rsidR="00E81020">
        <w:rPr>
          <w:rFonts w:cstheme="minorHAnsi"/>
        </w:rPr>
        <w:t>lected</w:t>
      </w:r>
      <w:r w:rsidR="00894ACE">
        <w:rPr>
          <w:rFonts w:cstheme="minorHAnsi"/>
        </w:rPr>
        <w:t xml:space="preserve"> studies conducted in other populations</w:t>
      </w:r>
      <w:r w:rsidR="00E81020">
        <w:rPr>
          <w:rFonts w:cstheme="minorHAnsi"/>
        </w:rPr>
        <w:t>.</w:t>
      </w:r>
      <w:r w:rsidR="00D67A45" w:rsidRPr="00D67A45">
        <w:rPr>
          <w:rFonts w:cstheme="minorHAnsi"/>
          <w:bCs/>
        </w:rPr>
        <w:t xml:space="preserve"> Mechanisms </w:t>
      </w:r>
      <w:r w:rsidR="006144D0">
        <w:rPr>
          <w:rFonts w:cstheme="minorHAnsi"/>
          <w:bCs/>
        </w:rPr>
        <w:t xml:space="preserve">underlying </w:t>
      </w:r>
      <w:r w:rsidR="00D67A45" w:rsidRPr="00D67A45">
        <w:rPr>
          <w:rFonts w:cstheme="minorHAnsi"/>
          <w:bCs/>
        </w:rPr>
        <w:t>associations of pituitary sensitivity to thyroid hormones</w:t>
      </w:r>
      <w:r w:rsidR="001E049D">
        <w:rPr>
          <w:rFonts w:cstheme="minorHAnsi"/>
          <w:bCs/>
        </w:rPr>
        <w:t xml:space="preserve"> with BP and hypertension</w:t>
      </w:r>
      <w:r w:rsidR="00BC6E46">
        <w:rPr>
          <w:rFonts w:cstheme="minorHAnsi"/>
          <w:bCs/>
        </w:rPr>
        <w:t xml:space="preserve"> development</w:t>
      </w:r>
      <w:r w:rsidR="00D67A45" w:rsidRPr="00D67A45">
        <w:rPr>
          <w:rFonts w:cstheme="minorHAnsi"/>
          <w:bCs/>
        </w:rPr>
        <w:t xml:space="preserve"> warrant further study</w:t>
      </w:r>
      <w:r w:rsidR="00D67A45">
        <w:rPr>
          <w:rFonts w:cstheme="minorHAnsi"/>
          <w:bCs/>
        </w:rPr>
        <w:t>.</w:t>
      </w:r>
    </w:p>
    <w:p w14:paraId="1AC435E2" w14:textId="4AC9B77E" w:rsidR="00716F0B" w:rsidRPr="00AF0457" w:rsidRDefault="00716F0B" w:rsidP="00CC21FA">
      <w:pPr>
        <w:spacing w:before="60" w:after="60" w:line="480" w:lineRule="auto"/>
        <w:rPr>
          <w:rFonts w:cstheme="minorHAnsi"/>
        </w:rPr>
      </w:pPr>
      <w:r w:rsidRPr="00716F0B">
        <w:rPr>
          <w:rFonts w:cstheme="minorHAnsi"/>
          <w:b/>
        </w:rPr>
        <w:t>Keywords</w:t>
      </w:r>
      <w:r>
        <w:rPr>
          <w:rFonts w:cstheme="minorHAnsi"/>
          <w:bCs/>
        </w:rPr>
        <w:t xml:space="preserve">: </w:t>
      </w:r>
      <w:r w:rsidR="008407D4" w:rsidRPr="008407D4">
        <w:rPr>
          <w:rFonts w:cstheme="minorHAnsi"/>
          <w:bCs/>
        </w:rPr>
        <w:t>Triiodothyronine; Thyrotropin; Prehypertension; Thyroxine; Hypertension</w:t>
      </w:r>
      <w:r w:rsidR="002B34DB">
        <w:rPr>
          <w:rFonts w:cstheme="minorHAnsi"/>
          <w:bCs/>
        </w:rPr>
        <w:t>;</w:t>
      </w:r>
      <w:r w:rsidR="002B34DB" w:rsidRPr="00F13854">
        <w:rPr>
          <w:rFonts w:cstheme="minorHAnsi"/>
          <w:bCs/>
        </w:rPr>
        <w:t xml:space="preserve"> Hispanic/Latino</w:t>
      </w:r>
    </w:p>
    <w:p w14:paraId="78660336" w14:textId="7B29D89E" w:rsidR="00F205C4" w:rsidRPr="00AF0457" w:rsidRDefault="007D583A" w:rsidP="00CC21FA">
      <w:pPr>
        <w:spacing w:line="480" w:lineRule="auto"/>
        <w:rPr>
          <w:rFonts w:cstheme="minorHAnsi"/>
          <w:b/>
        </w:rPr>
      </w:pPr>
      <w:r w:rsidRPr="00AF0457">
        <w:rPr>
          <w:rFonts w:cstheme="minorHAnsi"/>
          <w:b/>
        </w:rPr>
        <w:br w:type="page"/>
      </w:r>
      <w:r w:rsidR="00F205C4" w:rsidRPr="00AF0457">
        <w:rPr>
          <w:rFonts w:cstheme="minorHAnsi"/>
          <w:b/>
        </w:rPr>
        <w:lastRenderedPageBreak/>
        <w:t>Introduction</w:t>
      </w:r>
    </w:p>
    <w:p w14:paraId="1E8CB02D" w14:textId="2D76DD40" w:rsidR="00EA0C0D" w:rsidRDefault="001759CA" w:rsidP="00CC21FA">
      <w:pPr>
        <w:spacing w:after="40" w:line="480" w:lineRule="auto"/>
        <w:rPr>
          <w:rFonts w:cstheme="minorHAnsi"/>
          <w:bCs/>
        </w:rPr>
      </w:pPr>
      <w:r w:rsidRPr="00AF0457">
        <w:rPr>
          <w:rFonts w:cstheme="minorHAnsi"/>
          <w:bCs/>
        </w:rPr>
        <w:t>Hypertension or high blood pressure</w:t>
      </w:r>
      <w:r w:rsidR="00AB2379" w:rsidRPr="00AF0457">
        <w:rPr>
          <w:rFonts w:cstheme="minorHAnsi"/>
          <w:bCs/>
        </w:rPr>
        <w:t xml:space="preserve"> (</w:t>
      </w:r>
      <w:r w:rsidR="00AB2379" w:rsidRPr="00AF0457">
        <w:rPr>
          <w:rFonts w:cstheme="minorHAnsi"/>
        </w:rPr>
        <w:t>BP</w:t>
      </w:r>
      <w:r w:rsidR="00AB2379" w:rsidRPr="00AF0457">
        <w:rPr>
          <w:rFonts w:cstheme="minorHAnsi"/>
          <w:bCs/>
        </w:rPr>
        <w:t>)</w:t>
      </w:r>
      <w:r w:rsidRPr="00AF0457">
        <w:rPr>
          <w:rFonts w:cstheme="minorHAnsi"/>
          <w:bCs/>
        </w:rPr>
        <w:t xml:space="preserve"> is a primary risk factor for kidney, neurological, and cardiovascular disease</w:t>
      </w:r>
      <w:r w:rsidR="00F01420" w:rsidRPr="00AF0457">
        <w:rPr>
          <w:rFonts w:cstheme="minorHAnsi"/>
          <w:bCs/>
        </w:rPr>
        <w:t xml:space="preserve"> (CVD)</w:t>
      </w:r>
      <w:r w:rsidRPr="00AF0457">
        <w:rPr>
          <w:rFonts w:cstheme="minorHAnsi"/>
          <w:bCs/>
        </w:rPr>
        <w:t>.</w:t>
      </w:r>
      <w:bookmarkStart w:id="2" w:name="_Ref136208895"/>
      <w:r w:rsidR="0031593F" w:rsidRPr="00AF0457">
        <w:rPr>
          <w:rStyle w:val="EndnoteReference"/>
          <w:rFonts w:cstheme="minorHAnsi"/>
        </w:rPr>
        <w:endnoteReference w:id="2"/>
      </w:r>
      <w:bookmarkEnd w:id="2"/>
      <w:r w:rsidR="0031593F" w:rsidRPr="00AF0457">
        <w:rPr>
          <w:rFonts w:cstheme="minorHAnsi"/>
          <w:vertAlign w:val="superscript"/>
        </w:rPr>
        <w:t>,</w:t>
      </w:r>
      <w:bookmarkStart w:id="3" w:name="_Ref136208898"/>
      <w:r w:rsidR="0031593F" w:rsidRPr="00AF0457">
        <w:rPr>
          <w:rStyle w:val="EndnoteReference"/>
          <w:rFonts w:cstheme="minorHAnsi"/>
        </w:rPr>
        <w:endnoteReference w:id="3"/>
      </w:r>
      <w:bookmarkEnd w:id="3"/>
      <w:r w:rsidR="00712E16" w:rsidRPr="00AF0457">
        <w:rPr>
          <w:rFonts w:cstheme="minorHAnsi"/>
          <w:bCs/>
        </w:rPr>
        <w:t xml:space="preserve"> </w:t>
      </w:r>
      <w:r w:rsidR="009E11A2">
        <w:rPr>
          <w:rFonts w:cstheme="minorHAnsi"/>
        </w:rPr>
        <w:t>Elevated s</w:t>
      </w:r>
      <w:r w:rsidR="000C6939" w:rsidRPr="00AF0457">
        <w:rPr>
          <w:rFonts w:cstheme="minorHAnsi"/>
        </w:rPr>
        <w:t>ystolic</w:t>
      </w:r>
      <w:r w:rsidR="005B6FE3" w:rsidRPr="00AF0457">
        <w:rPr>
          <w:rFonts w:cstheme="minorHAnsi"/>
        </w:rPr>
        <w:t xml:space="preserve"> (SBP)</w:t>
      </w:r>
      <w:r w:rsidR="000C6939" w:rsidRPr="00AF0457">
        <w:rPr>
          <w:rFonts w:cstheme="minorHAnsi"/>
        </w:rPr>
        <w:t xml:space="preserve"> and diastolic blood pressure</w:t>
      </w:r>
      <w:r w:rsidR="005B6FE3" w:rsidRPr="00AF0457">
        <w:rPr>
          <w:rFonts w:cstheme="minorHAnsi"/>
        </w:rPr>
        <w:t xml:space="preserve"> (DBP)</w:t>
      </w:r>
      <w:r w:rsidR="000C6939" w:rsidRPr="00AF0457">
        <w:rPr>
          <w:rFonts w:cstheme="minorHAnsi"/>
        </w:rPr>
        <w:t>, as well as</w:t>
      </w:r>
      <w:r w:rsidR="00675B60" w:rsidRPr="00AF0457">
        <w:rPr>
          <w:rFonts w:cstheme="minorHAnsi"/>
        </w:rPr>
        <w:t xml:space="preserve"> pulse pressure (SBP</w:t>
      </w:r>
      <w:r w:rsidR="00851A5E" w:rsidRPr="00AF0457">
        <w:rPr>
          <w:rFonts w:cstheme="minorHAnsi"/>
        </w:rPr>
        <w:t xml:space="preserve"> minus </w:t>
      </w:r>
      <w:r w:rsidR="00675B60" w:rsidRPr="00AF0457">
        <w:rPr>
          <w:rFonts w:cstheme="minorHAnsi"/>
        </w:rPr>
        <w:t>DBP)</w:t>
      </w:r>
      <w:r w:rsidR="000C6939" w:rsidRPr="00AF0457">
        <w:rPr>
          <w:rFonts w:cstheme="minorHAnsi"/>
        </w:rPr>
        <w:t xml:space="preserve"> </w:t>
      </w:r>
      <w:r w:rsidR="00675B60" w:rsidRPr="00AF0457">
        <w:rPr>
          <w:rFonts w:cstheme="minorHAnsi"/>
        </w:rPr>
        <w:t>are linked to pathologic</w:t>
      </w:r>
      <w:r w:rsidR="00545DE3">
        <w:rPr>
          <w:rFonts w:cstheme="minorHAnsi"/>
        </w:rPr>
        <w:t xml:space="preserve"> cardiac</w:t>
      </w:r>
      <w:r w:rsidR="00675B60" w:rsidRPr="00AF0457">
        <w:rPr>
          <w:rFonts w:cstheme="minorHAnsi"/>
        </w:rPr>
        <w:t xml:space="preserve"> remodeling</w:t>
      </w:r>
      <w:r w:rsidR="002D4D62" w:rsidRPr="00AF0457">
        <w:rPr>
          <w:rFonts w:cstheme="minorHAnsi"/>
        </w:rPr>
        <w:t xml:space="preserve">, </w:t>
      </w:r>
      <w:r w:rsidR="006F4533">
        <w:rPr>
          <w:rFonts w:cstheme="minorHAnsi"/>
        </w:rPr>
        <w:t>atherosclerosis</w:t>
      </w:r>
      <w:r w:rsidR="00851A5E" w:rsidRPr="00AF0457">
        <w:rPr>
          <w:rFonts w:cstheme="minorHAnsi"/>
        </w:rPr>
        <w:t>,</w:t>
      </w:r>
      <w:r w:rsidR="00675B60" w:rsidRPr="00AF0457">
        <w:rPr>
          <w:rFonts w:cstheme="minorHAnsi"/>
        </w:rPr>
        <w:t xml:space="preserve"> </w:t>
      </w:r>
      <w:r w:rsidR="00D13563" w:rsidRPr="00AF0457">
        <w:rPr>
          <w:rFonts w:cstheme="minorHAnsi"/>
          <w:bCs/>
        </w:rPr>
        <w:t>and</w:t>
      </w:r>
      <w:r w:rsidR="005B50BF" w:rsidRPr="00AF0457">
        <w:rPr>
          <w:rFonts w:cstheme="minorHAnsi"/>
          <w:bCs/>
        </w:rPr>
        <w:t xml:space="preserve"> increase</w:t>
      </w:r>
      <w:r w:rsidR="00E92D7A" w:rsidRPr="00AF0457">
        <w:rPr>
          <w:rFonts w:cstheme="minorHAnsi"/>
          <w:bCs/>
        </w:rPr>
        <w:t>d</w:t>
      </w:r>
      <w:r w:rsidR="005B50BF" w:rsidRPr="00AF0457">
        <w:rPr>
          <w:rFonts w:cstheme="minorHAnsi"/>
          <w:bCs/>
        </w:rPr>
        <w:t xml:space="preserve"> risk of CVD</w:t>
      </w:r>
      <w:r w:rsidR="00FB0F44" w:rsidRPr="00AF0457">
        <w:rPr>
          <w:rFonts w:cstheme="minorHAnsi"/>
          <w:bCs/>
        </w:rPr>
        <w:t>.</w:t>
      </w:r>
      <w:r w:rsidR="00781E16" w:rsidRPr="00AF0457">
        <w:rPr>
          <w:rFonts w:cstheme="minorHAnsi"/>
          <w:bCs/>
          <w:vertAlign w:val="superscript"/>
        </w:rPr>
        <w:fldChar w:fldCharType="begin"/>
      </w:r>
      <w:r w:rsidR="00781E16" w:rsidRPr="00AF0457">
        <w:rPr>
          <w:rFonts w:cstheme="minorHAnsi"/>
          <w:bCs/>
          <w:vertAlign w:val="superscript"/>
        </w:rPr>
        <w:instrText xml:space="preserve"> NOTEREF _Ref136208898 \h  \* MERGEFORMAT </w:instrText>
      </w:r>
      <w:r w:rsidR="00781E16" w:rsidRPr="00AF0457">
        <w:rPr>
          <w:rFonts w:cstheme="minorHAnsi"/>
          <w:bCs/>
          <w:vertAlign w:val="superscript"/>
        </w:rPr>
      </w:r>
      <w:r w:rsidR="00781E16" w:rsidRPr="00AF0457">
        <w:rPr>
          <w:rFonts w:cstheme="minorHAnsi"/>
          <w:bCs/>
          <w:vertAlign w:val="superscript"/>
        </w:rPr>
        <w:fldChar w:fldCharType="separate"/>
      </w:r>
      <w:r w:rsidR="000F6C53">
        <w:rPr>
          <w:rFonts w:cstheme="minorHAnsi"/>
          <w:bCs/>
          <w:vertAlign w:val="superscript"/>
        </w:rPr>
        <w:t>2</w:t>
      </w:r>
      <w:r w:rsidR="00781E16" w:rsidRPr="00AF0457">
        <w:rPr>
          <w:rFonts w:cstheme="minorHAnsi"/>
          <w:bCs/>
          <w:vertAlign w:val="superscript"/>
        </w:rPr>
        <w:fldChar w:fldCharType="end"/>
      </w:r>
      <w:bookmarkStart w:id="4" w:name="_Ref54540612"/>
      <w:r w:rsidR="00B73F36">
        <w:rPr>
          <w:rFonts w:cstheme="minorHAnsi"/>
          <w:bCs/>
          <w:vertAlign w:val="superscript"/>
        </w:rPr>
        <w:t>,</w:t>
      </w:r>
      <w:r w:rsidR="00B73F36">
        <w:rPr>
          <w:rStyle w:val="EndnoteReference"/>
          <w:rFonts w:cstheme="minorHAnsi"/>
          <w:bCs/>
        </w:rPr>
        <w:endnoteReference w:id="4"/>
      </w:r>
      <w:r w:rsidR="00857777">
        <w:rPr>
          <w:rFonts w:cstheme="minorHAnsi"/>
          <w:bCs/>
          <w:vertAlign w:val="superscript"/>
        </w:rPr>
        <w:t>,</w:t>
      </w:r>
      <w:r w:rsidR="00857777">
        <w:rPr>
          <w:rStyle w:val="EndnoteReference"/>
          <w:rFonts w:cstheme="minorHAnsi"/>
          <w:bCs/>
        </w:rPr>
        <w:endnoteReference w:id="5"/>
      </w:r>
      <w:r w:rsidR="0088413C" w:rsidRPr="00AF0457">
        <w:rPr>
          <w:rFonts w:cstheme="minorHAnsi"/>
          <w:bCs/>
          <w:vertAlign w:val="superscript"/>
        </w:rPr>
        <w:t xml:space="preserve"> </w:t>
      </w:r>
      <w:r w:rsidR="00312CA7" w:rsidRPr="00AF0457">
        <w:rPr>
          <w:rFonts w:cstheme="minorHAnsi"/>
          <w:bCs/>
        </w:rPr>
        <w:t>The incidence of hypertension has increased globally and in the United States (US) and varies</w:t>
      </w:r>
      <w:r w:rsidR="00864F99" w:rsidRPr="00AF0457">
        <w:rPr>
          <w:rFonts w:cstheme="minorHAnsi"/>
          <w:bCs/>
        </w:rPr>
        <w:t xml:space="preserve"> by sex</w:t>
      </w:r>
      <w:r w:rsidR="00312CA7" w:rsidRPr="00AF0457">
        <w:rPr>
          <w:rFonts w:cstheme="minorHAnsi"/>
          <w:bCs/>
        </w:rPr>
        <w:t xml:space="preserve"> </w:t>
      </w:r>
      <w:r w:rsidR="00C61BEB" w:rsidRPr="00AF0457">
        <w:rPr>
          <w:rFonts w:cstheme="minorHAnsi"/>
          <w:bCs/>
        </w:rPr>
        <w:t>in</w:t>
      </w:r>
      <w:r w:rsidR="00312CA7" w:rsidRPr="00AF0457">
        <w:rPr>
          <w:rFonts w:cstheme="minorHAnsi"/>
          <w:bCs/>
        </w:rPr>
        <w:t xml:space="preserve"> Hispanic/Latino heritage groups</w:t>
      </w:r>
      <w:bookmarkStart w:id="5" w:name="_Ref140483162"/>
      <w:r w:rsidR="004C0B26" w:rsidRPr="00AF0457">
        <w:rPr>
          <w:rFonts w:cstheme="minorHAnsi"/>
          <w:bCs/>
        </w:rPr>
        <w:t>.</w:t>
      </w:r>
      <w:r w:rsidR="004C0B26" w:rsidRPr="00AF0457">
        <w:rPr>
          <w:rStyle w:val="EndnoteReference"/>
          <w:rFonts w:cstheme="minorHAnsi"/>
          <w:bCs/>
        </w:rPr>
        <w:endnoteReference w:id="6"/>
      </w:r>
      <w:bookmarkEnd w:id="5"/>
      <w:r w:rsidR="004C0B26" w:rsidRPr="00AF0457">
        <w:rPr>
          <w:rFonts w:cstheme="minorHAnsi"/>
          <w:bCs/>
          <w:vertAlign w:val="superscript"/>
        </w:rPr>
        <w:t>,</w:t>
      </w:r>
      <w:bookmarkStart w:id="6" w:name="_Ref140483164"/>
      <w:r w:rsidR="004C0B26" w:rsidRPr="00AF0457">
        <w:rPr>
          <w:rStyle w:val="EndnoteReference"/>
          <w:rFonts w:cstheme="minorHAnsi"/>
          <w:bCs/>
        </w:rPr>
        <w:endnoteReference w:id="7"/>
      </w:r>
      <w:bookmarkEnd w:id="6"/>
      <w:r w:rsidR="00312CA7" w:rsidRPr="00AF0457">
        <w:rPr>
          <w:rFonts w:cstheme="minorHAnsi"/>
          <w:bCs/>
        </w:rPr>
        <w:t xml:space="preserve"> </w:t>
      </w:r>
      <w:r w:rsidR="004708F2" w:rsidRPr="00AF0457">
        <w:rPr>
          <w:rFonts w:cstheme="minorHAnsi"/>
          <w:bCs/>
        </w:rPr>
        <w:t>Hypertension t</w:t>
      </w:r>
      <w:r w:rsidR="00312CA7" w:rsidRPr="00AF0457">
        <w:rPr>
          <w:rFonts w:cstheme="minorHAnsi"/>
          <w:bCs/>
        </w:rPr>
        <w:t>reatment and control rates are</w:t>
      </w:r>
      <w:r w:rsidR="006E0F35" w:rsidRPr="00AF0457">
        <w:rPr>
          <w:rFonts w:cstheme="minorHAnsi"/>
          <w:bCs/>
        </w:rPr>
        <w:t xml:space="preserve"> also</w:t>
      </w:r>
      <w:r w:rsidR="00312CA7" w:rsidRPr="00AF0457">
        <w:rPr>
          <w:rFonts w:cstheme="minorHAnsi"/>
          <w:bCs/>
        </w:rPr>
        <w:t xml:space="preserve"> lower </w:t>
      </w:r>
      <w:r w:rsidR="006E0F35" w:rsidRPr="00AF0457">
        <w:rPr>
          <w:rFonts w:cstheme="minorHAnsi"/>
          <w:bCs/>
        </w:rPr>
        <w:t xml:space="preserve">in Hispanic/Latino </w:t>
      </w:r>
      <w:r w:rsidR="00584A7A" w:rsidRPr="00AF0457">
        <w:rPr>
          <w:rFonts w:cstheme="minorHAnsi"/>
          <w:bCs/>
        </w:rPr>
        <w:t xml:space="preserve">vs </w:t>
      </w:r>
      <w:r w:rsidR="00312CA7" w:rsidRPr="00AF0457">
        <w:rPr>
          <w:rFonts w:cstheme="minorHAnsi"/>
          <w:bCs/>
        </w:rPr>
        <w:t>non-Hispanic white adults.</w:t>
      </w:r>
      <w:bookmarkStart w:id="7" w:name="_Ref107150653"/>
      <w:bookmarkStart w:id="8" w:name="_Ref107150824"/>
      <w:r w:rsidR="00312CA7" w:rsidRPr="00AF0457">
        <w:rPr>
          <w:rStyle w:val="EndnoteReference"/>
          <w:rFonts w:cstheme="minorHAnsi"/>
        </w:rPr>
        <w:endnoteReference w:id="8"/>
      </w:r>
      <w:bookmarkEnd w:id="7"/>
      <w:r w:rsidR="00312CA7" w:rsidRPr="00AF0457">
        <w:rPr>
          <w:rFonts w:cstheme="minorHAnsi"/>
          <w:vertAlign w:val="superscript"/>
        </w:rPr>
        <w:t>,</w:t>
      </w:r>
      <w:bookmarkStart w:id="9" w:name="_Ref140484751"/>
      <w:r w:rsidR="00312CA7" w:rsidRPr="00AF0457">
        <w:rPr>
          <w:rStyle w:val="EndnoteAnchor"/>
          <w:rFonts w:cstheme="minorHAnsi"/>
        </w:rPr>
        <w:endnoteReference w:id="9"/>
      </w:r>
      <w:bookmarkStart w:id="10" w:name="_Ref107151798"/>
      <w:bookmarkEnd w:id="8"/>
      <w:bookmarkEnd w:id="9"/>
      <w:r w:rsidR="00312CA7" w:rsidRPr="00AF0457">
        <w:rPr>
          <w:rFonts w:cstheme="minorHAnsi"/>
          <w:bCs/>
          <w:vertAlign w:val="superscript"/>
        </w:rPr>
        <w:t>,</w:t>
      </w:r>
      <w:bookmarkStart w:id="11" w:name="_Ref145346051"/>
      <w:r w:rsidR="00312CA7" w:rsidRPr="00AF0457">
        <w:rPr>
          <w:rStyle w:val="EndnoteAnchor"/>
          <w:rFonts w:cstheme="minorHAnsi"/>
          <w:bCs/>
        </w:rPr>
        <w:endnoteReference w:id="10"/>
      </w:r>
      <w:bookmarkEnd w:id="10"/>
      <w:bookmarkEnd w:id="11"/>
      <w:r w:rsidR="00312CA7" w:rsidRPr="00AF0457">
        <w:rPr>
          <w:rFonts w:cstheme="minorHAnsi"/>
          <w:bCs/>
        </w:rPr>
        <w:t xml:space="preserve"> </w:t>
      </w:r>
      <w:r w:rsidR="00D873D8" w:rsidRPr="00AF0457">
        <w:rPr>
          <w:rFonts w:cstheme="minorHAnsi"/>
          <w:bCs/>
        </w:rPr>
        <w:t>A variety of mechanisms have been postulated for t</w:t>
      </w:r>
      <w:r w:rsidR="00AD029B" w:rsidRPr="00AF0457">
        <w:rPr>
          <w:rFonts w:cstheme="minorHAnsi"/>
          <w:bCs/>
        </w:rPr>
        <w:t>he development</w:t>
      </w:r>
      <w:r w:rsidR="005B50BF" w:rsidRPr="00AF0457">
        <w:rPr>
          <w:rFonts w:cstheme="minorHAnsi"/>
          <w:bCs/>
        </w:rPr>
        <w:t xml:space="preserve"> </w:t>
      </w:r>
      <w:r w:rsidR="00AD029B" w:rsidRPr="00AF0457">
        <w:rPr>
          <w:rFonts w:cstheme="minorHAnsi"/>
          <w:bCs/>
        </w:rPr>
        <w:t>of</w:t>
      </w:r>
      <w:r w:rsidR="005B50BF" w:rsidRPr="00AF0457">
        <w:rPr>
          <w:rFonts w:cstheme="minorHAnsi"/>
          <w:bCs/>
        </w:rPr>
        <w:t xml:space="preserve"> hypertension from prehypertensi</w:t>
      </w:r>
      <w:r w:rsidR="00AD029B" w:rsidRPr="00AF0457">
        <w:rPr>
          <w:rFonts w:cstheme="minorHAnsi"/>
          <w:bCs/>
        </w:rPr>
        <w:t>ve</w:t>
      </w:r>
      <w:r w:rsidR="005B50BF" w:rsidRPr="00AF0457">
        <w:rPr>
          <w:rFonts w:cstheme="minorHAnsi"/>
          <w:bCs/>
        </w:rPr>
        <w:t xml:space="preserve"> </w:t>
      </w:r>
      <w:r w:rsidR="00AD029B" w:rsidRPr="00AF0457">
        <w:rPr>
          <w:rFonts w:cstheme="minorHAnsi"/>
          <w:bCs/>
        </w:rPr>
        <w:t>and</w:t>
      </w:r>
      <w:r w:rsidR="005B50BF" w:rsidRPr="00AF0457">
        <w:rPr>
          <w:rFonts w:cstheme="minorHAnsi"/>
          <w:bCs/>
        </w:rPr>
        <w:t xml:space="preserve"> normotensive state</w:t>
      </w:r>
      <w:r w:rsidR="00AD029B" w:rsidRPr="00AF0457">
        <w:rPr>
          <w:rFonts w:cstheme="minorHAnsi"/>
          <w:bCs/>
        </w:rPr>
        <w:t>s</w:t>
      </w:r>
      <w:r w:rsidR="00D873D8" w:rsidRPr="00AF0457">
        <w:rPr>
          <w:rFonts w:cstheme="minorHAnsi"/>
          <w:bCs/>
        </w:rPr>
        <w:t>, many of which have</w:t>
      </w:r>
      <w:r w:rsidR="00060EFC" w:rsidRPr="00AF0457">
        <w:rPr>
          <w:rFonts w:cstheme="minorHAnsi"/>
          <w:bCs/>
        </w:rPr>
        <w:t xml:space="preserve"> </w:t>
      </w:r>
      <w:r w:rsidR="005B50BF" w:rsidRPr="00AF0457">
        <w:rPr>
          <w:rFonts w:cstheme="minorHAnsi"/>
          <w:bCs/>
        </w:rPr>
        <w:t>implications for prevention and treatment</w:t>
      </w:r>
      <w:r w:rsidR="00D43107" w:rsidRPr="00AF0457">
        <w:rPr>
          <w:rFonts w:cstheme="minorHAnsi"/>
          <w:bCs/>
        </w:rPr>
        <w:t>.</w:t>
      </w:r>
      <w:r w:rsidR="00D43107" w:rsidRPr="00AF0457">
        <w:rPr>
          <w:rFonts w:cstheme="minorHAnsi"/>
          <w:bCs/>
          <w:vertAlign w:val="superscript"/>
        </w:rPr>
        <w:fldChar w:fldCharType="begin"/>
      </w:r>
      <w:r w:rsidR="00D43107" w:rsidRPr="00AF0457">
        <w:rPr>
          <w:rFonts w:cstheme="minorHAnsi"/>
          <w:bCs/>
          <w:vertAlign w:val="superscript"/>
        </w:rPr>
        <w:instrText xml:space="preserve"> NOTEREF _Ref140484751 \h  \* MERGEFORMAT </w:instrText>
      </w:r>
      <w:r w:rsidR="00D43107" w:rsidRPr="00AF0457">
        <w:rPr>
          <w:rFonts w:cstheme="minorHAnsi"/>
          <w:bCs/>
          <w:vertAlign w:val="superscript"/>
        </w:rPr>
      </w:r>
      <w:r w:rsidR="00D43107" w:rsidRPr="00AF0457">
        <w:rPr>
          <w:rFonts w:cstheme="minorHAnsi"/>
          <w:bCs/>
          <w:vertAlign w:val="superscript"/>
        </w:rPr>
        <w:fldChar w:fldCharType="separate"/>
      </w:r>
      <w:r w:rsidR="000F6C53">
        <w:rPr>
          <w:rFonts w:cstheme="minorHAnsi"/>
          <w:bCs/>
          <w:vertAlign w:val="superscript"/>
        </w:rPr>
        <w:t>8</w:t>
      </w:r>
      <w:r w:rsidR="00D43107" w:rsidRPr="00AF0457">
        <w:rPr>
          <w:rFonts w:cstheme="minorHAnsi"/>
          <w:bCs/>
          <w:vertAlign w:val="superscript"/>
        </w:rPr>
        <w:fldChar w:fldCharType="end"/>
      </w:r>
      <w:r w:rsidR="00D43107" w:rsidRPr="00AF0457">
        <w:rPr>
          <w:rFonts w:cstheme="minorHAnsi"/>
          <w:bCs/>
          <w:vertAlign w:val="superscript"/>
        </w:rPr>
        <w:t>,</w:t>
      </w:r>
      <w:r w:rsidR="00D43107" w:rsidRPr="00AF0457">
        <w:rPr>
          <w:rFonts w:cstheme="minorHAnsi"/>
          <w:bCs/>
          <w:vertAlign w:val="superscript"/>
        </w:rPr>
        <w:fldChar w:fldCharType="begin"/>
      </w:r>
      <w:r w:rsidR="00D43107" w:rsidRPr="00AF0457">
        <w:rPr>
          <w:rFonts w:cstheme="minorHAnsi"/>
          <w:bCs/>
          <w:vertAlign w:val="superscript"/>
        </w:rPr>
        <w:instrText xml:space="preserve"> NOTEREF _Ref107151798 \h  \* MERGEFORMAT </w:instrText>
      </w:r>
      <w:r w:rsidR="00D43107" w:rsidRPr="00AF0457">
        <w:rPr>
          <w:rFonts w:cstheme="minorHAnsi"/>
          <w:bCs/>
          <w:vertAlign w:val="superscript"/>
        </w:rPr>
      </w:r>
      <w:r w:rsidR="00D43107" w:rsidRPr="00AF0457">
        <w:rPr>
          <w:rFonts w:cstheme="minorHAnsi"/>
          <w:bCs/>
          <w:vertAlign w:val="superscript"/>
        </w:rPr>
        <w:fldChar w:fldCharType="separate"/>
      </w:r>
      <w:r w:rsidR="000F6C53">
        <w:rPr>
          <w:rFonts w:cstheme="minorHAnsi"/>
          <w:bCs/>
          <w:vertAlign w:val="superscript"/>
        </w:rPr>
        <w:t>9</w:t>
      </w:r>
      <w:r w:rsidR="00D43107" w:rsidRPr="00AF0457">
        <w:rPr>
          <w:rFonts w:cstheme="minorHAnsi"/>
          <w:bCs/>
          <w:vertAlign w:val="superscript"/>
        </w:rPr>
        <w:fldChar w:fldCharType="end"/>
      </w:r>
      <w:r w:rsidR="005B50BF" w:rsidRPr="00AF0457">
        <w:rPr>
          <w:rFonts w:cstheme="minorHAnsi"/>
          <w:bCs/>
        </w:rPr>
        <w:t xml:space="preserve"> </w:t>
      </w:r>
      <w:r w:rsidR="00B86F27" w:rsidRPr="00AF0457">
        <w:rPr>
          <w:rFonts w:cstheme="minorHAnsi"/>
          <w:bCs/>
        </w:rPr>
        <w:t>P</w:t>
      </w:r>
      <w:r w:rsidR="003A60C3" w:rsidRPr="00AF0457">
        <w:rPr>
          <w:rFonts w:cstheme="minorHAnsi"/>
          <w:bCs/>
        </w:rPr>
        <w:t xml:space="preserve">rior studies have demonstrated </w:t>
      </w:r>
      <w:r w:rsidR="00D873D8" w:rsidRPr="00AF0457">
        <w:rPr>
          <w:rFonts w:cstheme="minorHAnsi"/>
          <w:bCs/>
        </w:rPr>
        <w:t>s</w:t>
      </w:r>
      <w:r w:rsidR="00CE05AA" w:rsidRPr="00AF0457">
        <w:rPr>
          <w:rFonts w:cstheme="minorHAnsi"/>
          <w:bCs/>
        </w:rPr>
        <w:t>ex-specific differences in</w:t>
      </w:r>
      <w:r w:rsidR="00866660">
        <w:rPr>
          <w:rFonts w:cstheme="minorHAnsi"/>
          <w:bCs/>
        </w:rPr>
        <w:t xml:space="preserve"> both thyroid axis regulation</w:t>
      </w:r>
      <w:r w:rsidR="00EA7984">
        <w:rPr>
          <w:rStyle w:val="EndnoteReference"/>
          <w:rFonts w:cstheme="minorHAnsi"/>
          <w:bCs/>
        </w:rPr>
        <w:endnoteReference w:id="11"/>
      </w:r>
      <w:r w:rsidR="000943B4" w:rsidRPr="00ED3148">
        <w:rPr>
          <w:rFonts w:cstheme="minorHAnsi"/>
          <w:bCs/>
          <w:vertAlign w:val="superscript"/>
        </w:rPr>
        <w:t>,</w:t>
      </w:r>
      <w:r w:rsidR="00D26C6C">
        <w:rPr>
          <w:rStyle w:val="EndnoteReference"/>
          <w:rFonts w:cstheme="minorHAnsi"/>
          <w:bCs/>
        </w:rPr>
        <w:endnoteReference w:id="12"/>
      </w:r>
      <w:r w:rsidR="00866660">
        <w:rPr>
          <w:rFonts w:cstheme="minorHAnsi"/>
          <w:bCs/>
        </w:rPr>
        <w:t xml:space="preserve"> and </w:t>
      </w:r>
      <w:r w:rsidR="00CE05AA" w:rsidRPr="00AF0457">
        <w:rPr>
          <w:rFonts w:cstheme="minorHAnsi"/>
          <w:bCs/>
        </w:rPr>
        <w:t xml:space="preserve"> hypertension </w:t>
      </w:r>
      <w:r w:rsidR="00866660">
        <w:rPr>
          <w:rFonts w:cstheme="minorHAnsi"/>
          <w:bCs/>
        </w:rPr>
        <w:t>which</w:t>
      </w:r>
      <w:r w:rsidR="00866660" w:rsidRPr="00AF0457">
        <w:rPr>
          <w:rFonts w:cstheme="minorHAnsi"/>
          <w:bCs/>
        </w:rPr>
        <w:t xml:space="preserve"> </w:t>
      </w:r>
      <w:r w:rsidR="003A60C3" w:rsidRPr="00AF0457">
        <w:rPr>
          <w:rFonts w:cstheme="minorHAnsi"/>
          <w:bCs/>
        </w:rPr>
        <w:t xml:space="preserve">is </w:t>
      </w:r>
      <w:r w:rsidR="00CE05AA" w:rsidRPr="00AF0457">
        <w:rPr>
          <w:rFonts w:cstheme="minorHAnsi"/>
          <w:bCs/>
        </w:rPr>
        <w:t>linked to</w:t>
      </w:r>
      <w:r w:rsidR="00B009EA" w:rsidRPr="00AF0457">
        <w:rPr>
          <w:rFonts w:cstheme="minorHAnsi"/>
          <w:bCs/>
        </w:rPr>
        <w:t xml:space="preserve"> cardiometabolic risk factors</w:t>
      </w:r>
      <w:r w:rsidR="005917DD" w:rsidRPr="00AF0457">
        <w:rPr>
          <w:rFonts w:cstheme="minorHAnsi"/>
          <w:bCs/>
        </w:rPr>
        <w:t>,</w:t>
      </w:r>
      <w:r w:rsidR="00B009EA" w:rsidRPr="00AF0457">
        <w:rPr>
          <w:rFonts w:cstheme="minorHAnsi"/>
          <w:bCs/>
        </w:rPr>
        <w:t xml:space="preserve"> disorders</w:t>
      </w:r>
      <w:r w:rsidR="00851A5E" w:rsidRPr="00AF0457">
        <w:rPr>
          <w:rFonts w:cstheme="minorHAnsi"/>
          <w:bCs/>
        </w:rPr>
        <w:t>,</w:t>
      </w:r>
      <w:r w:rsidR="000812CF" w:rsidRPr="00AF0457">
        <w:rPr>
          <w:rFonts w:cstheme="minorHAnsi"/>
          <w:bCs/>
        </w:rPr>
        <w:t xml:space="preserve"> complications</w:t>
      </w:r>
      <w:r w:rsidR="009777F3">
        <w:rPr>
          <w:rFonts w:cstheme="minorHAnsi"/>
          <w:bCs/>
        </w:rPr>
        <w:t xml:space="preserve"> and genetic susceptibility</w:t>
      </w:r>
      <w:r w:rsidR="00CE05AA" w:rsidRPr="00AF0457">
        <w:rPr>
          <w:rFonts w:cstheme="minorHAnsi"/>
          <w:bCs/>
        </w:rPr>
        <w:t>.</w:t>
      </w:r>
      <w:r w:rsidR="00CE05AA" w:rsidRPr="00AF0457">
        <w:rPr>
          <w:rStyle w:val="EndnoteReference"/>
          <w:rFonts w:cstheme="minorHAnsi"/>
          <w:bCs/>
        </w:rPr>
        <w:endnoteReference w:id="13"/>
      </w:r>
      <w:r w:rsidR="001D3BB5" w:rsidRPr="00AF0457">
        <w:rPr>
          <w:rFonts w:cstheme="minorHAnsi"/>
          <w:bCs/>
          <w:vertAlign w:val="superscript"/>
        </w:rPr>
        <w:t>,</w:t>
      </w:r>
      <w:r w:rsidR="00A25EB1" w:rsidRPr="00AF0457">
        <w:rPr>
          <w:rStyle w:val="EndnoteReference"/>
          <w:rFonts w:cstheme="minorHAnsi"/>
          <w:bCs/>
        </w:rPr>
        <w:endnoteReference w:id="14"/>
      </w:r>
      <w:r w:rsidR="00A25EB1" w:rsidRPr="00AF0457">
        <w:rPr>
          <w:rFonts w:cstheme="minorHAnsi"/>
          <w:bCs/>
          <w:vertAlign w:val="superscript"/>
        </w:rPr>
        <w:t>,</w:t>
      </w:r>
      <w:r w:rsidR="003527FF" w:rsidRPr="00AF0457">
        <w:rPr>
          <w:rStyle w:val="EndnoteReference"/>
          <w:rFonts w:cstheme="minorHAnsi"/>
          <w:bCs/>
        </w:rPr>
        <w:endnoteReference w:id="15"/>
      </w:r>
      <w:r w:rsidR="00C17668">
        <w:rPr>
          <w:rFonts w:cstheme="minorHAnsi"/>
          <w:bCs/>
          <w:vertAlign w:val="superscript"/>
        </w:rPr>
        <w:t>,</w:t>
      </w:r>
      <w:bookmarkStart w:id="12" w:name="_Ref158654080"/>
      <w:r w:rsidR="00C17668">
        <w:rPr>
          <w:rStyle w:val="EndnoteReference"/>
          <w:rFonts w:cstheme="minorHAnsi"/>
        </w:rPr>
        <w:endnoteReference w:id="16"/>
      </w:r>
      <w:bookmarkEnd w:id="12"/>
      <w:r w:rsidR="00C22BEB" w:rsidRPr="00AF0457">
        <w:rPr>
          <w:rFonts w:cstheme="minorHAnsi"/>
          <w:bCs/>
          <w:vertAlign w:val="superscript"/>
        </w:rPr>
        <w:t xml:space="preserve"> </w:t>
      </w:r>
    </w:p>
    <w:p w14:paraId="4080D08B" w14:textId="0EBFDDD2" w:rsidR="003D4FD5" w:rsidRPr="00AF0457" w:rsidRDefault="00D873D8" w:rsidP="00CC21FA">
      <w:pPr>
        <w:spacing w:after="40" w:line="480" w:lineRule="auto"/>
        <w:ind w:firstLine="720"/>
        <w:rPr>
          <w:rStyle w:val="cf01"/>
          <w:rFonts w:asciiTheme="minorHAnsi" w:hAnsiTheme="minorHAnsi" w:cstheme="minorHAnsi"/>
          <w:sz w:val="22"/>
          <w:szCs w:val="22"/>
        </w:rPr>
      </w:pPr>
      <w:r w:rsidRPr="00AF0457">
        <w:rPr>
          <w:rFonts w:cstheme="minorHAnsi"/>
          <w:bCs/>
        </w:rPr>
        <w:t>Other studies have suggested that endocrine system</w:t>
      </w:r>
      <w:r w:rsidR="008D5716" w:rsidRPr="00AF0457">
        <w:rPr>
          <w:rFonts w:cstheme="minorHAnsi"/>
          <w:bCs/>
        </w:rPr>
        <w:t>s, including thyroid hormones, are</w:t>
      </w:r>
      <w:r w:rsidRPr="00AF0457">
        <w:rPr>
          <w:rFonts w:cstheme="minorHAnsi"/>
          <w:bCs/>
        </w:rPr>
        <w:t xml:space="preserve"> key to the development </w:t>
      </w:r>
      <w:r w:rsidR="00851A5E" w:rsidRPr="00AF0457">
        <w:rPr>
          <w:rFonts w:cstheme="minorHAnsi"/>
          <w:bCs/>
        </w:rPr>
        <w:t xml:space="preserve">of hypertension </w:t>
      </w:r>
      <w:r w:rsidRPr="00AF0457">
        <w:rPr>
          <w:rFonts w:cstheme="minorHAnsi"/>
          <w:bCs/>
        </w:rPr>
        <w:t xml:space="preserve">and </w:t>
      </w:r>
      <w:r w:rsidR="00DE2E8E" w:rsidRPr="00AF0457">
        <w:rPr>
          <w:rFonts w:cstheme="minorHAnsi"/>
          <w:bCs/>
        </w:rPr>
        <w:t xml:space="preserve">BP </w:t>
      </w:r>
      <w:r w:rsidRPr="00AF0457">
        <w:rPr>
          <w:rFonts w:cstheme="minorHAnsi"/>
          <w:bCs/>
        </w:rPr>
        <w:t>regulation.</w:t>
      </w:r>
      <w:bookmarkEnd w:id="4"/>
      <w:r w:rsidR="00F21182" w:rsidRPr="00AF0457">
        <w:rPr>
          <w:rFonts w:cstheme="minorHAnsi"/>
          <w:bCs/>
          <w:vertAlign w:val="superscript"/>
        </w:rPr>
        <w:fldChar w:fldCharType="begin"/>
      </w:r>
      <w:r w:rsidR="00F21182" w:rsidRPr="00AF0457">
        <w:rPr>
          <w:rFonts w:cstheme="minorHAnsi"/>
          <w:bCs/>
          <w:vertAlign w:val="superscript"/>
        </w:rPr>
        <w:instrText xml:space="preserve"> NOTEREF _Ref140484751 \h  \* MERGEFORMAT </w:instrText>
      </w:r>
      <w:r w:rsidR="00F21182" w:rsidRPr="00AF0457">
        <w:rPr>
          <w:rFonts w:cstheme="minorHAnsi"/>
          <w:bCs/>
          <w:vertAlign w:val="superscript"/>
        </w:rPr>
      </w:r>
      <w:r w:rsidR="00F21182" w:rsidRPr="00AF0457">
        <w:rPr>
          <w:rFonts w:cstheme="minorHAnsi"/>
          <w:bCs/>
          <w:vertAlign w:val="superscript"/>
        </w:rPr>
        <w:fldChar w:fldCharType="separate"/>
      </w:r>
      <w:r w:rsidR="000F6C53">
        <w:rPr>
          <w:rFonts w:cstheme="minorHAnsi"/>
          <w:bCs/>
          <w:vertAlign w:val="superscript"/>
        </w:rPr>
        <w:t>8</w:t>
      </w:r>
      <w:r w:rsidR="00F21182" w:rsidRPr="00AF0457">
        <w:rPr>
          <w:rFonts w:cstheme="minorHAnsi"/>
          <w:bCs/>
          <w:vertAlign w:val="superscript"/>
        </w:rPr>
        <w:fldChar w:fldCharType="end"/>
      </w:r>
      <w:r w:rsidR="00F21182" w:rsidRPr="00AF0457">
        <w:rPr>
          <w:rFonts w:cstheme="minorHAnsi"/>
          <w:bCs/>
          <w:vertAlign w:val="superscript"/>
        </w:rPr>
        <w:t>,</w:t>
      </w:r>
      <w:r w:rsidR="00F21182" w:rsidRPr="00AF0457">
        <w:rPr>
          <w:rFonts w:cstheme="minorHAnsi"/>
          <w:bCs/>
          <w:vertAlign w:val="superscript"/>
        </w:rPr>
        <w:fldChar w:fldCharType="begin"/>
      </w:r>
      <w:r w:rsidR="00F21182" w:rsidRPr="00AF0457">
        <w:rPr>
          <w:rFonts w:cstheme="minorHAnsi"/>
          <w:bCs/>
          <w:vertAlign w:val="superscript"/>
        </w:rPr>
        <w:instrText xml:space="preserve"> NOTEREF _Ref107151798 \h  \* MERGEFORMAT </w:instrText>
      </w:r>
      <w:r w:rsidR="00F21182" w:rsidRPr="00AF0457">
        <w:rPr>
          <w:rFonts w:cstheme="minorHAnsi"/>
          <w:bCs/>
          <w:vertAlign w:val="superscript"/>
        </w:rPr>
      </w:r>
      <w:r w:rsidR="00F21182" w:rsidRPr="00AF0457">
        <w:rPr>
          <w:rFonts w:cstheme="minorHAnsi"/>
          <w:bCs/>
          <w:vertAlign w:val="superscript"/>
        </w:rPr>
        <w:fldChar w:fldCharType="separate"/>
      </w:r>
      <w:r w:rsidR="000F6C53">
        <w:rPr>
          <w:rFonts w:cstheme="minorHAnsi"/>
          <w:bCs/>
          <w:vertAlign w:val="superscript"/>
        </w:rPr>
        <w:t>9</w:t>
      </w:r>
      <w:r w:rsidR="00F21182" w:rsidRPr="00AF0457">
        <w:rPr>
          <w:rFonts w:cstheme="minorHAnsi"/>
          <w:bCs/>
          <w:vertAlign w:val="superscript"/>
        </w:rPr>
        <w:fldChar w:fldCharType="end"/>
      </w:r>
      <w:r w:rsidR="0095748C" w:rsidRPr="00AF0457">
        <w:rPr>
          <w:rFonts w:cstheme="minorHAnsi"/>
          <w:bCs/>
          <w:vertAlign w:val="superscript"/>
        </w:rPr>
        <w:t>,</w:t>
      </w:r>
      <w:bookmarkStart w:id="13" w:name="_Ref145346056"/>
      <w:r w:rsidR="0066186D" w:rsidRPr="00AF0457">
        <w:rPr>
          <w:rStyle w:val="EndnoteReference"/>
          <w:rFonts w:cstheme="minorHAnsi"/>
          <w:bCs/>
        </w:rPr>
        <w:endnoteReference w:id="17"/>
      </w:r>
      <w:bookmarkEnd w:id="13"/>
      <w:r w:rsidR="003E5049" w:rsidRPr="00AF0457">
        <w:rPr>
          <w:rFonts w:cstheme="minorHAnsi"/>
          <w:bCs/>
        </w:rPr>
        <w:t xml:space="preserve"> T</w:t>
      </w:r>
      <w:r w:rsidR="00B4105B" w:rsidRPr="00AF0457">
        <w:rPr>
          <w:rFonts w:cstheme="minorHAnsi"/>
        </w:rPr>
        <w:t>h</w:t>
      </w:r>
      <w:r w:rsidR="00F43624" w:rsidRPr="00AF0457">
        <w:rPr>
          <w:rFonts w:cstheme="minorHAnsi"/>
        </w:rPr>
        <w:t>yroid function</w:t>
      </w:r>
      <w:r w:rsidR="00B4105B" w:rsidRPr="00AF0457">
        <w:rPr>
          <w:rFonts w:cstheme="minorHAnsi"/>
        </w:rPr>
        <w:t xml:space="preserve"> is </w:t>
      </w:r>
      <w:r w:rsidR="00257137" w:rsidRPr="00AF0457">
        <w:rPr>
          <w:rFonts w:cstheme="minorHAnsi"/>
        </w:rPr>
        <w:t>controlled</w:t>
      </w:r>
      <w:r w:rsidR="00B4105B" w:rsidRPr="00AF0457">
        <w:rPr>
          <w:rFonts w:cstheme="minorHAnsi"/>
        </w:rPr>
        <w:t xml:space="preserve"> through</w:t>
      </w:r>
      <w:r w:rsidR="00E01A5D" w:rsidRPr="00AF0457">
        <w:rPr>
          <w:rFonts w:cstheme="minorHAnsi"/>
        </w:rPr>
        <w:t xml:space="preserve"> complex </w:t>
      </w:r>
      <w:r w:rsidR="00851A5E" w:rsidRPr="00AF0457">
        <w:rPr>
          <w:rFonts w:cstheme="minorHAnsi"/>
        </w:rPr>
        <w:t>feedback</w:t>
      </w:r>
      <w:r w:rsidR="00E01A5D" w:rsidRPr="00AF0457">
        <w:rPr>
          <w:rFonts w:cstheme="minorHAnsi"/>
        </w:rPr>
        <w:t xml:space="preserve"> of the</w:t>
      </w:r>
      <w:r w:rsidR="00363C85" w:rsidRPr="00AF0457">
        <w:rPr>
          <w:rFonts w:cstheme="minorHAnsi"/>
        </w:rPr>
        <w:t xml:space="preserve"> hypothalamus</w:t>
      </w:r>
      <w:r w:rsidR="00851A5E" w:rsidRPr="00AF0457">
        <w:rPr>
          <w:rStyle w:val="cf01"/>
          <w:rFonts w:asciiTheme="minorHAnsi" w:hAnsiTheme="minorHAnsi" w:cstheme="minorHAnsi"/>
          <w:sz w:val="22"/>
          <w:szCs w:val="22"/>
        </w:rPr>
        <w:t>-</w:t>
      </w:r>
      <w:r w:rsidR="00E01A5D" w:rsidRPr="00AF0457">
        <w:rPr>
          <w:rStyle w:val="cf01"/>
          <w:rFonts w:asciiTheme="minorHAnsi" w:hAnsiTheme="minorHAnsi" w:cstheme="minorHAnsi"/>
          <w:sz w:val="22"/>
          <w:szCs w:val="22"/>
        </w:rPr>
        <w:t>pituitary</w:t>
      </w:r>
      <w:r w:rsidR="00851A5E" w:rsidRPr="00AF0457">
        <w:rPr>
          <w:rStyle w:val="cf01"/>
          <w:rFonts w:asciiTheme="minorHAnsi" w:hAnsiTheme="minorHAnsi" w:cstheme="minorHAnsi"/>
          <w:sz w:val="22"/>
          <w:szCs w:val="22"/>
        </w:rPr>
        <w:t xml:space="preserve">-thyroid </w:t>
      </w:r>
      <w:r w:rsidR="00DF72FF" w:rsidRPr="00AF0457">
        <w:rPr>
          <w:rStyle w:val="cf01"/>
          <w:rFonts w:asciiTheme="minorHAnsi" w:hAnsiTheme="minorHAnsi" w:cstheme="minorHAnsi"/>
          <w:sz w:val="22"/>
          <w:szCs w:val="22"/>
        </w:rPr>
        <w:t xml:space="preserve">(HPT) </w:t>
      </w:r>
      <w:r w:rsidR="00851A5E" w:rsidRPr="00AF0457">
        <w:rPr>
          <w:rStyle w:val="cf01"/>
          <w:rFonts w:asciiTheme="minorHAnsi" w:hAnsiTheme="minorHAnsi" w:cstheme="minorHAnsi"/>
          <w:sz w:val="22"/>
          <w:szCs w:val="22"/>
        </w:rPr>
        <w:t xml:space="preserve">axis </w:t>
      </w:r>
      <w:r w:rsidR="00B12022" w:rsidRPr="00AF0457">
        <w:rPr>
          <w:rStyle w:val="cf01"/>
          <w:rFonts w:asciiTheme="minorHAnsi" w:hAnsiTheme="minorHAnsi" w:cstheme="minorHAnsi"/>
          <w:sz w:val="22"/>
          <w:szCs w:val="22"/>
        </w:rPr>
        <w:t>which</w:t>
      </w:r>
      <w:r w:rsidR="00851A5E" w:rsidRPr="00AF0457">
        <w:rPr>
          <w:rStyle w:val="cf01"/>
          <w:rFonts w:asciiTheme="minorHAnsi" w:hAnsiTheme="minorHAnsi" w:cstheme="minorHAnsi"/>
          <w:sz w:val="22"/>
          <w:szCs w:val="22"/>
        </w:rPr>
        <w:t xml:space="preserve"> </w:t>
      </w:r>
      <w:r w:rsidR="00B12022" w:rsidRPr="00AF0457">
        <w:rPr>
          <w:rStyle w:val="cf01"/>
          <w:rFonts w:asciiTheme="minorHAnsi" w:hAnsiTheme="minorHAnsi" w:cstheme="minorHAnsi"/>
          <w:sz w:val="22"/>
          <w:szCs w:val="22"/>
        </w:rPr>
        <w:t>comprises</w:t>
      </w:r>
      <w:r w:rsidR="00851A5E" w:rsidRPr="00AF0457">
        <w:rPr>
          <w:rStyle w:val="cf01"/>
          <w:rFonts w:asciiTheme="minorHAnsi" w:hAnsiTheme="minorHAnsi" w:cstheme="minorHAnsi"/>
          <w:sz w:val="22"/>
          <w:szCs w:val="22"/>
        </w:rPr>
        <w:t xml:space="preserve"> </w:t>
      </w:r>
      <w:r w:rsidR="00E01A5D" w:rsidRPr="00AF0457">
        <w:rPr>
          <w:rStyle w:val="cf01"/>
          <w:rFonts w:asciiTheme="minorHAnsi" w:hAnsiTheme="minorHAnsi" w:cstheme="minorHAnsi"/>
          <w:sz w:val="22"/>
          <w:szCs w:val="22"/>
        </w:rPr>
        <w:t>thyroid stimulating hormone (TSH)</w:t>
      </w:r>
      <w:r w:rsidR="00AB32AB" w:rsidRPr="00AF0457">
        <w:rPr>
          <w:rStyle w:val="cf01"/>
          <w:rFonts w:asciiTheme="minorHAnsi" w:hAnsiTheme="minorHAnsi" w:cstheme="minorHAnsi"/>
          <w:sz w:val="22"/>
          <w:szCs w:val="22"/>
        </w:rPr>
        <w:t>,</w:t>
      </w:r>
      <w:r w:rsidR="00851A5E" w:rsidRPr="00AF0457">
        <w:rPr>
          <w:rStyle w:val="cf01"/>
          <w:rFonts w:asciiTheme="minorHAnsi" w:hAnsiTheme="minorHAnsi" w:cstheme="minorHAnsi"/>
          <w:sz w:val="22"/>
          <w:szCs w:val="22"/>
        </w:rPr>
        <w:t xml:space="preserve"> </w:t>
      </w:r>
      <w:r w:rsidR="00AB32AB" w:rsidRPr="00AF0457">
        <w:rPr>
          <w:rStyle w:val="cf01"/>
          <w:rFonts w:asciiTheme="minorHAnsi" w:hAnsiTheme="minorHAnsi" w:cstheme="minorHAnsi"/>
          <w:sz w:val="22"/>
          <w:szCs w:val="22"/>
        </w:rPr>
        <w:t xml:space="preserve">and </w:t>
      </w:r>
      <w:r w:rsidR="00851A5E" w:rsidRPr="00AF0457">
        <w:rPr>
          <w:rStyle w:val="cf01"/>
          <w:rFonts w:asciiTheme="minorHAnsi" w:hAnsiTheme="minorHAnsi" w:cstheme="minorHAnsi"/>
          <w:sz w:val="22"/>
          <w:szCs w:val="22"/>
        </w:rPr>
        <w:t xml:space="preserve">peripheral </w:t>
      </w:r>
      <w:r w:rsidR="00E01A5D" w:rsidRPr="00AF0457">
        <w:rPr>
          <w:rStyle w:val="cf01"/>
          <w:rFonts w:asciiTheme="minorHAnsi" w:hAnsiTheme="minorHAnsi" w:cstheme="minorHAnsi"/>
          <w:sz w:val="22"/>
          <w:szCs w:val="22"/>
        </w:rPr>
        <w:t>thyroid hormones</w:t>
      </w:r>
      <w:r w:rsidR="00AB32AB" w:rsidRPr="00AF0457">
        <w:rPr>
          <w:rStyle w:val="cf01"/>
          <w:rFonts w:asciiTheme="minorHAnsi" w:hAnsiTheme="minorHAnsi" w:cstheme="minorHAnsi"/>
          <w:sz w:val="22"/>
          <w:szCs w:val="22"/>
        </w:rPr>
        <w:t xml:space="preserve"> –</w:t>
      </w:r>
      <w:r w:rsidR="00E01A5D" w:rsidRPr="00AF0457">
        <w:rPr>
          <w:rStyle w:val="cf01"/>
          <w:rFonts w:asciiTheme="minorHAnsi" w:hAnsiTheme="minorHAnsi" w:cstheme="minorHAnsi"/>
          <w:sz w:val="22"/>
          <w:szCs w:val="22"/>
        </w:rPr>
        <w:t xml:space="preserve"> </w:t>
      </w:r>
      <w:r w:rsidR="00E01A5D" w:rsidRPr="00AF0457">
        <w:rPr>
          <w:rFonts w:cstheme="minorHAnsi"/>
        </w:rPr>
        <w:t>thyroxine</w:t>
      </w:r>
      <w:r w:rsidR="00AB32AB" w:rsidRPr="00AF0457">
        <w:rPr>
          <w:rFonts w:cstheme="minorHAnsi"/>
        </w:rPr>
        <w:t xml:space="preserve"> </w:t>
      </w:r>
      <w:r w:rsidR="00E01A5D" w:rsidRPr="00AF0457">
        <w:rPr>
          <w:rFonts w:cstheme="minorHAnsi"/>
        </w:rPr>
        <w:t>(T4) and triiodothyronine (T3).</w:t>
      </w:r>
      <w:r w:rsidR="00363C85" w:rsidRPr="00AF0457">
        <w:rPr>
          <w:rFonts w:cstheme="minorHAnsi"/>
        </w:rPr>
        <w:t xml:space="preserve"> The </w:t>
      </w:r>
      <w:r w:rsidR="00363C85" w:rsidRPr="00AF0457">
        <w:rPr>
          <w:rStyle w:val="cf01"/>
          <w:rFonts w:asciiTheme="minorHAnsi" w:hAnsiTheme="minorHAnsi" w:cstheme="minorHAnsi"/>
          <w:sz w:val="22"/>
          <w:szCs w:val="22"/>
        </w:rPr>
        <w:t>HPT axis</w:t>
      </w:r>
      <w:r w:rsidR="00363C85" w:rsidRPr="00AF0457">
        <w:rPr>
          <w:rFonts w:cstheme="minorHAnsi"/>
        </w:rPr>
        <w:t xml:space="preserve"> </w:t>
      </w:r>
      <w:r w:rsidR="00E54B33" w:rsidRPr="00AF0457">
        <w:rPr>
          <w:rFonts w:cstheme="minorHAnsi"/>
        </w:rPr>
        <w:t>is</w:t>
      </w:r>
      <w:r w:rsidR="00363C85" w:rsidRPr="00AF0457">
        <w:rPr>
          <w:rFonts w:cstheme="minorHAnsi"/>
        </w:rPr>
        <w:t xml:space="preserve"> </w:t>
      </w:r>
      <w:r w:rsidR="00DF72FF" w:rsidRPr="00AF0457">
        <w:rPr>
          <w:rFonts w:cstheme="minorHAnsi"/>
        </w:rPr>
        <w:t>regulated by</w:t>
      </w:r>
      <w:r w:rsidR="00E01A5D" w:rsidRPr="00AF0457">
        <w:rPr>
          <w:rFonts w:cstheme="minorHAnsi"/>
        </w:rPr>
        <w:t xml:space="preserve"> negative feedback loop</w:t>
      </w:r>
      <w:r w:rsidR="00DF72FF" w:rsidRPr="00AF0457">
        <w:rPr>
          <w:rFonts w:cstheme="minorHAnsi"/>
        </w:rPr>
        <w:t>s</w:t>
      </w:r>
      <w:r w:rsidR="00E01A5D" w:rsidRPr="00AF0457">
        <w:rPr>
          <w:rFonts w:cstheme="minorHAnsi"/>
        </w:rPr>
        <w:t xml:space="preserve"> </w:t>
      </w:r>
      <w:r w:rsidR="00DF72FF" w:rsidRPr="00AF0457">
        <w:rPr>
          <w:rFonts w:cstheme="minorHAnsi"/>
        </w:rPr>
        <w:t>that</w:t>
      </w:r>
      <w:r w:rsidR="00363C85" w:rsidRPr="00AF0457">
        <w:rPr>
          <w:rFonts w:cstheme="minorHAnsi"/>
        </w:rPr>
        <w:t xml:space="preserve"> regulate levels of TSH and circulating thyroid hormones</w:t>
      </w:r>
      <w:r w:rsidR="00257137" w:rsidRPr="00AF0457">
        <w:rPr>
          <w:rFonts w:cstheme="minorHAnsi"/>
        </w:rPr>
        <w:t>.</w:t>
      </w:r>
      <w:bookmarkStart w:id="14" w:name="_Ref145320034"/>
      <w:r w:rsidR="00257137" w:rsidRPr="00AF0457">
        <w:rPr>
          <w:rStyle w:val="EndnoteReference"/>
          <w:rFonts w:cstheme="minorHAnsi"/>
        </w:rPr>
        <w:endnoteReference w:id="18"/>
      </w:r>
      <w:bookmarkEnd w:id="14"/>
      <w:r w:rsidR="00257137" w:rsidRPr="00AF0457">
        <w:rPr>
          <w:rStyle w:val="cf01"/>
          <w:rFonts w:asciiTheme="minorHAnsi" w:hAnsiTheme="minorHAnsi" w:cstheme="minorHAnsi"/>
          <w:sz w:val="22"/>
          <w:szCs w:val="22"/>
          <w:vertAlign w:val="superscript"/>
        </w:rPr>
        <w:t>,</w:t>
      </w:r>
      <w:bookmarkStart w:id="15" w:name="_Ref106314959"/>
      <w:r w:rsidR="00257137" w:rsidRPr="00AF0457">
        <w:rPr>
          <w:rStyle w:val="EndnoteReference"/>
          <w:rFonts w:cstheme="minorHAnsi"/>
        </w:rPr>
        <w:endnoteReference w:id="19"/>
      </w:r>
      <w:bookmarkEnd w:id="15"/>
      <w:r w:rsidR="00257137" w:rsidRPr="00AF0457">
        <w:rPr>
          <w:rFonts w:cstheme="minorHAnsi"/>
        </w:rPr>
        <w:t xml:space="preserve"> L</w:t>
      </w:r>
      <w:r w:rsidR="00E454EE" w:rsidRPr="00AF0457">
        <w:rPr>
          <w:rFonts w:cstheme="minorHAnsi"/>
        </w:rPr>
        <w:t>ocal mechanisms involving</w:t>
      </w:r>
      <w:r w:rsidR="00613A03" w:rsidRPr="00AF0457">
        <w:rPr>
          <w:rFonts w:cstheme="minorHAnsi"/>
        </w:rPr>
        <w:t xml:space="preserve"> conversion of T4 to T3 through deiodination and</w:t>
      </w:r>
      <w:r w:rsidR="00E01A5D" w:rsidRPr="00AF0457">
        <w:rPr>
          <w:rFonts w:cstheme="minorHAnsi"/>
        </w:rPr>
        <w:t xml:space="preserve"> </w:t>
      </w:r>
      <w:r w:rsidR="00D60FB2" w:rsidRPr="00AF0457">
        <w:rPr>
          <w:rFonts w:cstheme="minorHAnsi"/>
        </w:rPr>
        <w:t xml:space="preserve">transport of </w:t>
      </w:r>
      <w:r w:rsidR="00DF72FF" w:rsidRPr="00AF0457">
        <w:rPr>
          <w:rFonts w:cstheme="minorHAnsi"/>
        </w:rPr>
        <w:t xml:space="preserve">T4 and </w:t>
      </w:r>
      <w:r w:rsidR="00E54B33" w:rsidRPr="00AF0457">
        <w:rPr>
          <w:rFonts w:cstheme="minorHAnsi"/>
        </w:rPr>
        <w:t xml:space="preserve">biologically active </w:t>
      </w:r>
      <w:r w:rsidR="00613A03" w:rsidRPr="00AF0457">
        <w:rPr>
          <w:rFonts w:cstheme="minorHAnsi"/>
        </w:rPr>
        <w:t xml:space="preserve">T3 </w:t>
      </w:r>
      <w:r w:rsidR="00D60FB2" w:rsidRPr="00AF0457">
        <w:rPr>
          <w:rFonts w:cstheme="minorHAnsi"/>
        </w:rPr>
        <w:t>to target tissues.</w:t>
      </w:r>
      <w:r w:rsidR="00450B90" w:rsidRPr="00AF0457">
        <w:rPr>
          <w:rFonts w:cstheme="minorHAnsi"/>
          <w:vertAlign w:val="superscript"/>
        </w:rPr>
        <w:fldChar w:fldCharType="begin"/>
      </w:r>
      <w:r w:rsidR="00450B90" w:rsidRPr="00AF0457">
        <w:rPr>
          <w:rFonts w:cstheme="minorHAnsi"/>
          <w:vertAlign w:val="superscript"/>
        </w:rPr>
        <w:instrText xml:space="preserve"> NOTEREF _Ref145320034 \h </w:instrText>
      </w:r>
      <w:r w:rsidR="003A4F74" w:rsidRPr="00AF0457">
        <w:rPr>
          <w:rFonts w:cstheme="minorHAnsi"/>
          <w:vertAlign w:val="superscript"/>
        </w:rPr>
        <w:instrText xml:space="preserve"> \* MERGEFORMAT </w:instrText>
      </w:r>
      <w:r w:rsidR="00450B90" w:rsidRPr="00AF0457">
        <w:rPr>
          <w:rFonts w:cstheme="minorHAnsi"/>
          <w:vertAlign w:val="superscript"/>
        </w:rPr>
      </w:r>
      <w:r w:rsidR="00450B90" w:rsidRPr="00AF0457">
        <w:rPr>
          <w:rFonts w:cstheme="minorHAnsi"/>
          <w:vertAlign w:val="superscript"/>
        </w:rPr>
        <w:fldChar w:fldCharType="separate"/>
      </w:r>
      <w:r w:rsidR="000F6C53">
        <w:rPr>
          <w:rFonts w:cstheme="minorHAnsi"/>
          <w:vertAlign w:val="superscript"/>
        </w:rPr>
        <w:t>17</w:t>
      </w:r>
      <w:r w:rsidR="00450B90" w:rsidRPr="00AF0457">
        <w:rPr>
          <w:rFonts w:cstheme="minorHAnsi"/>
          <w:vertAlign w:val="superscript"/>
        </w:rPr>
        <w:fldChar w:fldCharType="end"/>
      </w:r>
      <w:r w:rsidR="003A4F74" w:rsidRPr="00AF0457">
        <w:rPr>
          <w:rFonts w:cstheme="minorHAnsi"/>
          <w:vertAlign w:val="superscript"/>
        </w:rPr>
        <w:t>,</w:t>
      </w:r>
      <w:r w:rsidR="00450B90" w:rsidRPr="00AF0457">
        <w:rPr>
          <w:rFonts w:cstheme="minorHAnsi"/>
          <w:vertAlign w:val="superscript"/>
        </w:rPr>
        <w:fldChar w:fldCharType="begin"/>
      </w:r>
      <w:r w:rsidR="00450B90" w:rsidRPr="00AF0457">
        <w:rPr>
          <w:rFonts w:cstheme="minorHAnsi"/>
          <w:vertAlign w:val="superscript"/>
        </w:rPr>
        <w:instrText xml:space="preserve"> NOTEREF _Ref106314959 \h </w:instrText>
      </w:r>
      <w:r w:rsidR="003A4F74" w:rsidRPr="00AF0457">
        <w:rPr>
          <w:rFonts w:cstheme="minorHAnsi"/>
          <w:vertAlign w:val="superscript"/>
        </w:rPr>
        <w:instrText xml:space="preserve"> \* MERGEFORMAT </w:instrText>
      </w:r>
      <w:r w:rsidR="00450B90" w:rsidRPr="00AF0457">
        <w:rPr>
          <w:rFonts w:cstheme="minorHAnsi"/>
          <w:vertAlign w:val="superscript"/>
        </w:rPr>
      </w:r>
      <w:r w:rsidR="00450B90" w:rsidRPr="00AF0457">
        <w:rPr>
          <w:rFonts w:cstheme="minorHAnsi"/>
          <w:vertAlign w:val="superscript"/>
        </w:rPr>
        <w:fldChar w:fldCharType="separate"/>
      </w:r>
      <w:r w:rsidR="000F6C53">
        <w:rPr>
          <w:rFonts w:cstheme="minorHAnsi"/>
          <w:vertAlign w:val="superscript"/>
        </w:rPr>
        <w:t>18</w:t>
      </w:r>
      <w:r w:rsidR="00450B90" w:rsidRPr="00AF0457">
        <w:rPr>
          <w:rFonts w:cstheme="minorHAnsi"/>
          <w:vertAlign w:val="superscript"/>
        </w:rPr>
        <w:fldChar w:fldCharType="end"/>
      </w:r>
      <w:r w:rsidR="00C230E1" w:rsidRPr="00AF0457">
        <w:rPr>
          <w:rStyle w:val="cf01"/>
          <w:rFonts w:asciiTheme="minorHAnsi" w:hAnsiTheme="minorHAnsi" w:cstheme="minorHAnsi"/>
          <w:sz w:val="22"/>
          <w:szCs w:val="22"/>
        </w:rPr>
        <w:t xml:space="preserve"> </w:t>
      </w:r>
      <w:r w:rsidR="00B25537" w:rsidRPr="00B25537">
        <w:rPr>
          <w:rStyle w:val="cf01"/>
          <w:rFonts w:asciiTheme="minorHAnsi" w:hAnsiTheme="minorHAnsi" w:cstheme="minorHAnsi"/>
          <w:sz w:val="22"/>
          <w:szCs w:val="22"/>
        </w:rPr>
        <w:t xml:space="preserve">Various </w:t>
      </w:r>
      <w:r w:rsidR="00BC64C7">
        <w:rPr>
          <w:rStyle w:val="cf01"/>
          <w:rFonts w:asciiTheme="minorHAnsi" w:hAnsiTheme="minorHAnsi" w:cstheme="minorHAnsi"/>
          <w:sz w:val="22"/>
          <w:szCs w:val="22"/>
        </w:rPr>
        <w:t>measures</w:t>
      </w:r>
      <w:r w:rsidR="00B25537" w:rsidRPr="00B25537">
        <w:rPr>
          <w:rStyle w:val="cf01"/>
          <w:rFonts w:asciiTheme="minorHAnsi" w:hAnsiTheme="minorHAnsi" w:cstheme="minorHAnsi"/>
          <w:sz w:val="22"/>
          <w:szCs w:val="22"/>
        </w:rPr>
        <w:t xml:space="preserve"> have been utilized in prior studies to evaluate thyroid axis regulation using indices of pituitary sensitivity to thyroid hormones and ratios which simultaneously assess interdependent hormones and investigate complex hormonal interactions.</w:t>
      </w:r>
      <w:r w:rsidR="004E1E99" w:rsidRPr="004E1E99">
        <w:rPr>
          <w:rStyle w:val="EndnoteReference"/>
          <w:rFonts w:cstheme="minorHAnsi"/>
        </w:rPr>
        <w:t xml:space="preserve"> </w:t>
      </w:r>
      <w:bookmarkStart w:id="16" w:name="_Ref158637900"/>
      <w:r w:rsidR="004E1E99" w:rsidRPr="00AF0457">
        <w:rPr>
          <w:rStyle w:val="EndnoteReference"/>
          <w:rFonts w:cstheme="minorHAnsi"/>
        </w:rPr>
        <w:endnoteReference w:id="20"/>
      </w:r>
      <w:bookmarkEnd w:id="16"/>
      <w:r w:rsidR="004E1E99" w:rsidRPr="00AF0457">
        <w:rPr>
          <w:rFonts w:cstheme="minorHAnsi"/>
          <w:vertAlign w:val="superscript"/>
        </w:rPr>
        <w:t>,</w:t>
      </w:r>
      <w:bookmarkStart w:id="17" w:name="_Ref158637897"/>
      <w:r w:rsidR="004E1E99" w:rsidRPr="00AF0457">
        <w:rPr>
          <w:rStyle w:val="EndnoteReference"/>
          <w:rFonts w:cstheme="minorHAnsi"/>
        </w:rPr>
        <w:endnoteReference w:id="21"/>
      </w:r>
      <w:bookmarkEnd w:id="17"/>
      <w:r w:rsidR="004E1E99">
        <w:rPr>
          <w:rFonts w:cstheme="minorHAnsi"/>
          <w:vertAlign w:val="superscript"/>
        </w:rPr>
        <w:t>,</w:t>
      </w:r>
      <w:bookmarkStart w:id="18" w:name="_Ref158638025"/>
      <w:r w:rsidR="000F4069" w:rsidRPr="00AF0457">
        <w:rPr>
          <w:rStyle w:val="EndnoteReference"/>
          <w:rFonts w:cstheme="minorHAnsi"/>
        </w:rPr>
        <w:endnoteReference w:id="22"/>
      </w:r>
      <w:bookmarkEnd w:id="18"/>
      <w:r w:rsidR="000F4069" w:rsidRPr="00AF0457">
        <w:rPr>
          <w:rFonts w:cstheme="minorHAnsi"/>
          <w:vertAlign w:val="superscript"/>
        </w:rPr>
        <w:t>,</w:t>
      </w:r>
      <w:bookmarkStart w:id="19" w:name="_Ref158638028"/>
      <w:r w:rsidR="000F4069" w:rsidRPr="00AF0457">
        <w:rPr>
          <w:rStyle w:val="EndnoteReference"/>
          <w:rFonts w:cstheme="minorHAnsi"/>
        </w:rPr>
        <w:endnoteReference w:id="23"/>
      </w:r>
      <w:bookmarkEnd w:id="19"/>
      <w:r w:rsidR="000F4069" w:rsidRPr="00AF0457">
        <w:rPr>
          <w:rFonts w:cstheme="minorHAnsi"/>
          <w:vertAlign w:val="superscript"/>
        </w:rPr>
        <w:t>,</w:t>
      </w:r>
      <w:r w:rsidR="000F4069" w:rsidRPr="00AF0457">
        <w:rPr>
          <w:rStyle w:val="EndnoteReference"/>
          <w:rFonts w:cstheme="minorHAnsi"/>
        </w:rPr>
        <w:endnoteReference w:id="24"/>
      </w:r>
      <w:r w:rsidR="00B25537">
        <w:rPr>
          <w:rStyle w:val="cf01"/>
          <w:rFonts w:asciiTheme="minorHAnsi" w:hAnsiTheme="minorHAnsi" w:cstheme="minorHAnsi"/>
          <w:sz w:val="22"/>
          <w:szCs w:val="22"/>
        </w:rPr>
        <w:t xml:space="preserve"> </w:t>
      </w:r>
      <w:r w:rsidR="004F0494" w:rsidRPr="00AF0457">
        <w:rPr>
          <w:rStyle w:val="cf01"/>
          <w:rFonts w:asciiTheme="minorHAnsi" w:hAnsiTheme="minorHAnsi" w:cstheme="minorHAnsi"/>
          <w:sz w:val="22"/>
          <w:szCs w:val="22"/>
        </w:rPr>
        <w:t xml:space="preserve">Sex-specific differences </w:t>
      </w:r>
      <w:r w:rsidR="000764A2" w:rsidRPr="00AF0457">
        <w:rPr>
          <w:rStyle w:val="cf01"/>
          <w:rFonts w:asciiTheme="minorHAnsi" w:hAnsiTheme="minorHAnsi" w:cstheme="minorHAnsi"/>
          <w:sz w:val="22"/>
          <w:szCs w:val="22"/>
        </w:rPr>
        <w:t>in thyroid hormone regulation</w:t>
      </w:r>
      <w:r w:rsidR="00831599" w:rsidRPr="00AF0457">
        <w:rPr>
          <w:rStyle w:val="cf01"/>
          <w:rFonts w:asciiTheme="minorHAnsi" w:hAnsiTheme="minorHAnsi" w:cstheme="minorHAnsi"/>
          <w:sz w:val="22"/>
          <w:szCs w:val="22"/>
        </w:rPr>
        <w:t>,</w:t>
      </w:r>
      <w:r w:rsidR="00831599" w:rsidRPr="00AF0457">
        <w:rPr>
          <w:rStyle w:val="cf01"/>
          <w:rFonts w:asciiTheme="minorHAnsi" w:hAnsiTheme="minorHAnsi" w:cstheme="minorHAnsi"/>
          <w:sz w:val="22"/>
          <w:szCs w:val="22"/>
          <w:vertAlign w:val="superscript"/>
        </w:rPr>
        <w:fldChar w:fldCharType="begin"/>
      </w:r>
      <w:r w:rsidR="00831599" w:rsidRPr="00AF0457">
        <w:rPr>
          <w:rStyle w:val="cf01"/>
          <w:rFonts w:asciiTheme="minorHAnsi" w:hAnsiTheme="minorHAnsi" w:cstheme="minorHAnsi"/>
          <w:sz w:val="22"/>
          <w:szCs w:val="22"/>
          <w:vertAlign w:val="superscript"/>
        </w:rPr>
        <w:instrText xml:space="preserve"> NOTEREF _Ref106314959 \h  \* MERGEFORMAT </w:instrText>
      </w:r>
      <w:r w:rsidR="00831599" w:rsidRPr="00AF0457">
        <w:rPr>
          <w:rStyle w:val="cf01"/>
          <w:rFonts w:asciiTheme="minorHAnsi" w:hAnsiTheme="minorHAnsi" w:cstheme="minorHAnsi"/>
          <w:sz w:val="22"/>
          <w:szCs w:val="22"/>
          <w:vertAlign w:val="superscript"/>
        </w:rPr>
      </w:r>
      <w:r w:rsidR="00831599" w:rsidRPr="00AF0457">
        <w:rPr>
          <w:rStyle w:val="cf01"/>
          <w:rFonts w:asciiTheme="minorHAnsi" w:hAnsiTheme="minorHAnsi" w:cstheme="minorHAnsi"/>
          <w:sz w:val="22"/>
          <w:szCs w:val="22"/>
          <w:vertAlign w:val="superscript"/>
        </w:rPr>
        <w:fldChar w:fldCharType="separate"/>
      </w:r>
      <w:r w:rsidR="000F6C53">
        <w:rPr>
          <w:rStyle w:val="cf01"/>
          <w:rFonts w:asciiTheme="minorHAnsi" w:hAnsiTheme="minorHAnsi" w:cstheme="minorHAnsi"/>
          <w:sz w:val="22"/>
          <w:szCs w:val="22"/>
          <w:vertAlign w:val="superscript"/>
        </w:rPr>
        <w:t>18</w:t>
      </w:r>
      <w:r w:rsidR="00831599" w:rsidRPr="00AF0457">
        <w:rPr>
          <w:rStyle w:val="cf01"/>
          <w:rFonts w:asciiTheme="minorHAnsi" w:hAnsiTheme="minorHAnsi" w:cstheme="minorHAnsi"/>
          <w:sz w:val="22"/>
          <w:szCs w:val="22"/>
          <w:vertAlign w:val="superscript"/>
        </w:rPr>
        <w:fldChar w:fldCharType="end"/>
      </w:r>
      <w:r w:rsidR="008D5716" w:rsidRPr="00AF0457">
        <w:rPr>
          <w:rStyle w:val="cf01"/>
          <w:rFonts w:asciiTheme="minorHAnsi" w:hAnsiTheme="minorHAnsi" w:cstheme="minorHAnsi"/>
          <w:sz w:val="22"/>
          <w:szCs w:val="22"/>
        </w:rPr>
        <w:t xml:space="preserve"> including</w:t>
      </w:r>
      <w:r w:rsidR="000764A2" w:rsidRPr="00AF0457">
        <w:rPr>
          <w:rStyle w:val="cf01"/>
          <w:rFonts w:asciiTheme="minorHAnsi" w:hAnsiTheme="minorHAnsi" w:cstheme="minorHAnsi"/>
          <w:sz w:val="22"/>
          <w:szCs w:val="22"/>
        </w:rPr>
        <w:t xml:space="preserve"> higher prevalence of thyroid disease</w:t>
      </w:r>
      <w:r w:rsidR="00314FB4" w:rsidRPr="00AF0457">
        <w:rPr>
          <w:rStyle w:val="cf01"/>
          <w:rFonts w:asciiTheme="minorHAnsi" w:hAnsiTheme="minorHAnsi" w:cstheme="minorHAnsi"/>
          <w:sz w:val="22"/>
          <w:szCs w:val="22"/>
        </w:rPr>
        <w:t xml:space="preserve"> and</w:t>
      </w:r>
      <w:r w:rsidR="000764A2" w:rsidRPr="00AF0457">
        <w:rPr>
          <w:rStyle w:val="cf01"/>
          <w:rFonts w:asciiTheme="minorHAnsi" w:hAnsiTheme="minorHAnsi" w:cstheme="minorHAnsi"/>
          <w:sz w:val="22"/>
          <w:szCs w:val="22"/>
        </w:rPr>
        <w:t xml:space="preserve"> </w:t>
      </w:r>
      <w:r w:rsidR="00314FB4" w:rsidRPr="00AF0457">
        <w:rPr>
          <w:rStyle w:val="cf01"/>
          <w:rFonts w:asciiTheme="minorHAnsi" w:hAnsiTheme="minorHAnsi" w:cstheme="minorHAnsi"/>
          <w:sz w:val="22"/>
          <w:szCs w:val="22"/>
        </w:rPr>
        <w:t xml:space="preserve">thyroid autoimmunity </w:t>
      </w:r>
      <w:r w:rsidR="000764A2" w:rsidRPr="00AF0457">
        <w:rPr>
          <w:rStyle w:val="cf01"/>
          <w:rFonts w:asciiTheme="minorHAnsi" w:hAnsiTheme="minorHAnsi" w:cstheme="minorHAnsi"/>
          <w:sz w:val="22"/>
          <w:szCs w:val="22"/>
        </w:rPr>
        <w:t>in women</w:t>
      </w:r>
      <w:r w:rsidR="008D5716" w:rsidRPr="00AF0457">
        <w:rPr>
          <w:rStyle w:val="cf01"/>
          <w:rFonts w:asciiTheme="minorHAnsi" w:hAnsiTheme="minorHAnsi" w:cstheme="minorHAnsi"/>
          <w:sz w:val="22"/>
          <w:szCs w:val="22"/>
        </w:rPr>
        <w:t>,</w:t>
      </w:r>
      <w:r w:rsidR="000764A2" w:rsidRPr="00AF0457">
        <w:rPr>
          <w:rStyle w:val="cf01"/>
          <w:rFonts w:asciiTheme="minorHAnsi" w:hAnsiTheme="minorHAnsi" w:cstheme="minorHAnsi"/>
          <w:sz w:val="22"/>
          <w:szCs w:val="22"/>
        </w:rPr>
        <w:t xml:space="preserve"> have</w:t>
      </w:r>
      <w:r w:rsidR="00271BFC">
        <w:rPr>
          <w:rStyle w:val="cf01"/>
          <w:rFonts w:asciiTheme="minorHAnsi" w:hAnsiTheme="minorHAnsi" w:cstheme="minorHAnsi"/>
          <w:sz w:val="22"/>
          <w:szCs w:val="22"/>
        </w:rPr>
        <w:t xml:space="preserve"> also</w:t>
      </w:r>
      <w:r w:rsidR="000764A2" w:rsidRPr="00AF0457">
        <w:rPr>
          <w:rStyle w:val="cf01"/>
          <w:rFonts w:asciiTheme="minorHAnsi" w:hAnsiTheme="minorHAnsi" w:cstheme="minorHAnsi"/>
          <w:sz w:val="22"/>
          <w:szCs w:val="22"/>
        </w:rPr>
        <w:t xml:space="preserve"> been</w:t>
      </w:r>
      <w:r w:rsidR="001B2E2E" w:rsidRPr="00AF0457">
        <w:rPr>
          <w:rStyle w:val="cf01"/>
          <w:rFonts w:asciiTheme="minorHAnsi" w:hAnsiTheme="minorHAnsi" w:cstheme="minorHAnsi"/>
          <w:sz w:val="22"/>
          <w:szCs w:val="22"/>
        </w:rPr>
        <w:t xml:space="preserve"> demonstrated</w:t>
      </w:r>
      <w:r w:rsidR="00F83C1C" w:rsidRPr="00AF0457">
        <w:rPr>
          <w:rStyle w:val="cf01"/>
          <w:rFonts w:asciiTheme="minorHAnsi" w:hAnsiTheme="minorHAnsi" w:cstheme="minorHAnsi"/>
          <w:sz w:val="22"/>
          <w:szCs w:val="22"/>
        </w:rPr>
        <w:t>.</w:t>
      </w:r>
      <w:bookmarkStart w:id="20" w:name="_Ref144473417"/>
      <w:r w:rsidR="00F83C1C" w:rsidRPr="00AF0457">
        <w:rPr>
          <w:rStyle w:val="EndnoteReference"/>
          <w:rFonts w:cstheme="minorHAnsi"/>
        </w:rPr>
        <w:endnoteReference w:id="25"/>
      </w:r>
      <w:bookmarkEnd w:id="20"/>
      <w:r w:rsidR="004F0494" w:rsidRPr="00AF0457">
        <w:rPr>
          <w:rStyle w:val="cf01"/>
          <w:rFonts w:asciiTheme="minorHAnsi" w:hAnsiTheme="minorHAnsi" w:cstheme="minorHAnsi"/>
          <w:sz w:val="22"/>
          <w:szCs w:val="22"/>
          <w:vertAlign w:val="superscript"/>
        </w:rPr>
        <w:t>,</w:t>
      </w:r>
      <w:r w:rsidR="004F0494" w:rsidRPr="00AF0457">
        <w:rPr>
          <w:rStyle w:val="EndnoteReference"/>
          <w:rFonts w:cstheme="minorHAnsi"/>
        </w:rPr>
        <w:endnoteReference w:id="26"/>
      </w:r>
    </w:p>
    <w:p w14:paraId="7D6DAFBF" w14:textId="60FEAB16" w:rsidR="00DF6928" w:rsidRPr="00AF0457" w:rsidRDefault="00687B9E" w:rsidP="00CC21FA">
      <w:pPr>
        <w:spacing w:after="40" w:line="480" w:lineRule="auto"/>
        <w:ind w:firstLine="720"/>
        <w:rPr>
          <w:rStyle w:val="cf01"/>
          <w:rFonts w:asciiTheme="minorHAnsi" w:hAnsiTheme="minorHAnsi" w:cstheme="minorHAnsi"/>
          <w:bCs/>
          <w:color w:val="FF0000"/>
          <w:sz w:val="22"/>
          <w:szCs w:val="22"/>
        </w:rPr>
      </w:pPr>
      <w:r w:rsidRPr="00AF0457">
        <w:rPr>
          <w:rStyle w:val="cf01"/>
          <w:rFonts w:asciiTheme="minorHAnsi" w:hAnsiTheme="minorHAnsi" w:cstheme="minorHAnsi"/>
          <w:sz w:val="22"/>
          <w:szCs w:val="22"/>
        </w:rPr>
        <w:t>Thyroid dysfunction</w:t>
      </w:r>
      <w:r w:rsidR="008D5716" w:rsidRPr="00AF0457">
        <w:rPr>
          <w:rStyle w:val="cf01"/>
          <w:rFonts w:asciiTheme="minorHAnsi" w:hAnsiTheme="minorHAnsi" w:cstheme="minorHAnsi"/>
          <w:sz w:val="22"/>
          <w:szCs w:val="22"/>
        </w:rPr>
        <w:t>, in turn, has been</w:t>
      </w:r>
      <w:r w:rsidRPr="00AF0457">
        <w:rPr>
          <w:rStyle w:val="cf01"/>
          <w:rFonts w:asciiTheme="minorHAnsi" w:hAnsiTheme="minorHAnsi" w:cstheme="minorHAnsi"/>
          <w:sz w:val="22"/>
          <w:szCs w:val="22"/>
        </w:rPr>
        <w:t xml:space="preserve"> linked to</w:t>
      </w:r>
      <w:r w:rsidR="00C504B4" w:rsidRPr="00AF0457">
        <w:rPr>
          <w:rStyle w:val="cf01"/>
          <w:rFonts w:asciiTheme="minorHAnsi" w:hAnsiTheme="minorHAnsi" w:cstheme="minorHAnsi"/>
          <w:sz w:val="22"/>
          <w:szCs w:val="22"/>
        </w:rPr>
        <w:t xml:space="preserve"> elevated </w:t>
      </w:r>
      <w:r w:rsidR="004B2536" w:rsidRPr="00AF0457">
        <w:rPr>
          <w:rStyle w:val="cf01"/>
          <w:rFonts w:asciiTheme="minorHAnsi" w:hAnsiTheme="minorHAnsi" w:cstheme="minorHAnsi"/>
          <w:sz w:val="22"/>
          <w:szCs w:val="22"/>
        </w:rPr>
        <w:t>BP</w:t>
      </w:r>
      <w:r w:rsidR="00C504B4" w:rsidRPr="00AF0457">
        <w:rPr>
          <w:rStyle w:val="cf01"/>
          <w:rFonts w:asciiTheme="minorHAnsi" w:hAnsiTheme="minorHAnsi" w:cstheme="minorHAnsi"/>
          <w:sz w:val="22"/>
          <w:szCs w:val="22"/>
        </w:rPr>
        <w:t xml:space="preserve"> through </w:t>
      </w:r>
      <w:r w:rsidR="006909FC" w:rsidRPr="00AF0457">
        <w:rPr>
          <w:rStyle w:val="cf01"/>
          <w:rFonts w:asciiTheme="minorHAnsi" w:hAnsiTheme="minorHAnsi" w:cstheme="minorHAnsi"/>
          <w:sz w:val="22"/>
          <w:szCs w:val="22"/>
        </w:rPr>
        <w:t>alterations</w:t>
      </w:r>
      <w:r w:rsidR="00C504B4" w:rsidRPr="00AF0457">
        <w:rPr>
          <w:rStyle w:val="cf01"/>
          <w:rFonts w:asciiTheme="minorHAnsi" w:hAnsiTheme="minorHAnsi" w:cstheme="minorHAnsi"/>
          <w:sz w:val="22"/>
          <w:szCs w:val="22"/>
        </w:rPr>
        <w:t xml:space="preserve"> in cardiovascular hemodynamics, increased heart rate</w:t>
      </w:r>
      <w:r w:rsidR="00DF72FF" w:rsidRPr="00AF0457">
        <w:rPr>
          <w:rStyle w:val="cf01"/>
          <w:rFonts w:asciiTheme="minorHAnsi" w:hAnsiTheme="minorHAnsi" w:cstheme="minorHAnsi"/>
          <w:sz w:val="22"/>
          <w:szCs w:val="22"/>
        </w:rPr>
        <w:t xml:space="preserve"> and</w:t>
      </w:r>
      <w:r w:rsidR="00C504B4" w:rsidRPr="00AF0457">
        <w:rPr>
          <w:rStyle w:val="cf01"/>
          <w:rFonts w:asciiTheme="minorHAnsi" w:hAnsiTheme="minorHAnsi" w:cstheme="minorHAnsi"/>
          <w:sz w:val="22"/>
          <w:szCs w:val="22"/>
        </w:rPr>
        <w:t xml:space="preserve"> peripheral vascular resistance, and dysregulation of the renin-angiotensin-aldosterone system (RAAS).</w:t>
      </w:r>
      <w:bookmarkStart w:id="21" w:name="_Ref136249895"/>
      <w:r w:rsidR="009334AA" w:rsidRPr="00AF0457">
        <w:rPr>
          <w:rStyle w:val="EndnoteReference"/>
          <w:rFonts w:cstheme="minorHAnsi"/>
        </w:rPr>
        <w:endnoteReference w:id="27"/>
      </w:r>
      <w:bookmarkEnd w:id="21"/>
      <w:r w:rsidR="003D4FD5" w:rsidRPr="00AF0457">
        <w:rPr>
          <w:rStyle w:val="cf01"/>
          <w:rFonts w:asciiTheme="minorHAnsi" w:hAnsiTheme="minorHAnsi" w:cstheme="minorHAnsi"/>
          <w:sz w:val="22"/>
          <w:szCs w:val="22"/>
        </w:rPr>
        <w:t xml:space="preserve"> </w:t>
      </w:r>
      <w:bookmarkStart w:id="22" w:name="_Hlk106316647"/>
      <w:r w:rsidR="00205CB1" w:rsidRPr="00205CB1">
        <w:rPr>
          <w:rStyle w:val="cf01"/>
          <w:rFonts w:asciiTheme="minorHAnsi" w:hAnsiTheme="minorHAnsi" w:cstheme="minorHAnsi"/>
          <w:sz w:val="22"/>
          <w:szCs w:val="22"/>
        </w:rPr>
        <w:t xml:space="preserve">Prior studies </w:t>
      </w:r>
      <w:r w:rsidR="003D53F6">
        <w:rPr>
          <w:rStyle w:val="cf01"/>
          <w:rFonts w:asciiTheme="minorHAnsi" w:hAnsiTheme="minorHAnsi" w:cstheme="minorHAnsi"/>
          <w:sz w:val="22"/>
          <w:szCs w:val="22"/>
        </w:rPr>
        <w:t xml:space="preserve">have </w:t>
      </w:r>
      <w:r w:rsidR="00205CB1" w:rsidRPr="00205CB1">
        <w:rPr>
          <w:rStyle w:val="cf01"/>
          <w:rFonts w:asciiTheme="minorHAnsi" w:hAnsiTheme="minorHAnsi" w:cstheme="minorHAnsi"/>
          <w:sz w:val="22"/>
          <w:szCs w:val="22"/>
        </w:rPr>
        <w:t>demonstrate</w:t>
      </w:r>
      <w:r w:rsidR="003D53F6">
        <w:rPr>
          <w:rStyle w:val="cf01"/>
          <w:rFonts w:asciiTheme="minorHAnsi" w:hAnsiTheme="minorHAnsi" w:cstheme="minorHAnsi"/>
          <w:sz w:val="22"/>
          <w:szCs w:val="22"/>
        </w:rPr>
        <w:t>d</w:t>
      </w:r>
      <w:r w:rsidR="00205CB1" w:rsidRPr="00205CB1">
        <w:rPr>
          <w:rStyle w:val="cf01"/>
          <w:rFonts w:asciiTheme="minorHAnsi" w:hAnsiTheme="minorHAnsi" w:cstheme="minorHAnsi"/>
          <w:sz w:val="22"/>
          <w:szCs w:val="22"/>
        </w:rPr>
        <w:t xml:space="preserve"> positive associations of </w:t>
      </w:r>
      <w:r w:rsidR="00205CB1" w:rsidRPr="00205CB1">
        <w:rPr>
          <w:rStyle w:val="cf01"/>
          <w:rFonts w:asciiTheme="minorHAnsi" w:hAnsiTheme="minorHAnsi" w:cstheme="minorHAnsi"/>
          <w:sz w:val="22"/>
          <w:szCs w:val="22"/>
        </w:rPr>
        <w:lastRenderedPageBreak/>
        <w:t>hypothyroidism with DBP</w:t>
      </w:r>
      <w:r w:rsidR="00205CB1" w:rsidRPr="00D04F56">
        <w:rPr>
          <w:rStyle w:val="cf01"/>
          <w:rFonts w:asciiTheme="minorHAnsi" w:hAnsiTheme="minorHAnsi"/>
          <w:sz w:val="22"/>
        </w:rPr>
        <w:t xml:space="preserve"> and hyperthyroidism</w:t>
      </w:r>
      <w:r w:rsidR="00205CB1" w:rsidRPr="00205CB1">
        <w:rPr>
          <w:rStyle w:val="cf01"/>
          <w:rFonts w:asciiTheme="minorHAnsi" w:hAnsiTheme="minorHAnsi" w:cstheme="minorHAnsi"/>
          <w:sz w:val="22"/>
          <w:szCs w:val="22"/>
        </w:rPr>
        <w:t xml:space="preserve"> with SBP.</w:t>
      </w:r>
      <w:bookmarkStart w:id="23" w:name="_Ref113107959"/>
      <w:r w:rsidR="006C28BE" w:rsidRPr="00AF0457">
        <w:rPr>
          <w:rStyle w:val="EndnoteReference"/>
          <w:rFonts w:cstheme="minorHAnsi"/>
        </w:rPr>
        <w:endnoteReference w:id="28"/>
      </w:r>
      <w:bookmarkEnd w:id="23"/>
      <w:r w:rsidR="006C28BE" w:rsidRPr="00AF0457">
        <w:rPr>
          <w:rFonts w:cstheme="minorHAnsi"/>
          <w:bCs/>
          <w:vertAlign w:val="superscript"/>
        </w:rPr>
        <w:t>,</w:t>
      </w:r>
      <w:bookmarkStart w:id="24" w:name="_Ref113108064"/>
      <w:r w:rsidR="006C28BE" w:rsidRPr="00AF0457">
        <w:rPr>
          <w:rStyle w:val="EndnoteReference"/>
          <w:rFonts w:cstheme="minorHAnsi"/>
        </w:rPr>
        <w:endnoteReference w:id="29"/>
      </w:r>
      <w:bookmarkEnd w:id="24"/>
      <w:r w:rsidR="00205CB1" w:rsidRPr="00D04F56">
        <w:rPr>
          <w:rStyle w:val="cf01"/>
          <w:rFonts w:asciiTheme="minorHAnsi" w:hAnsiTheme="minorHAnsi"/>
          <w:sz w:val="22"/>
        </w:rPr>
        <w:t xml:space="preserve"> </w:t>
      </w:r>
      <w:r w:rsidR="00205CB1" w:rsidRPr="00205CB1">
        <w:rPr>
          <w:rStyle w:val="cf01"/>
          <w:rFonts w:asciiTheme="minorHAnsi" w:hAnsiTheme="minorHAnsi" w:cstheme="minorHAnsi"/>
          <w:sz w:val="22"/>
          <w:szCs w:val="22"/>
        </w:rPr>
        <w:t>Findings from previous studies</w:t>
      </w:r>
      <w:r w:rsidR="003D53F6">
        <w:rPr>
          <w:rStyle w:val="cf01"/>
          <w:rFonts w:asciiTheme="minorHAnsi" w:hAnsiTheme="minorHAnsi" w:cstheme="minorHAnsi"/>
          <w:sz w:val="22"/>
          <w:szCs w:val="22"/>
        </w:rPr>
        <w:t>, however,</w:t>
      </w:r>
      <w:r w:rsidR="00205CB1" w:rsidRPr="00205CB1">
        <w:rPr>
          <w:rStyle w:val="cf01"/>
          <w:rFonts w:asciiTheme="minorHAnsi" w:hAnsiTheme="minorHAnsi" w:cstheme="minorHAnsi"/>
          <w:sz w:val="22"/>
          <w:szCs w:val="22"/>
        </w:rPr>
        <w:t xml:space="preserve"> </w:t>
      </w:r>
      <w:r w:rsidR="00C24634">
        <w:rPr>
          <w:rStyle w:val="cf01"/>
          <w:rFonts w:asciiTheme="minorHAnsi" w:hAnsiTheme="minorHAnsi" w:cstheme="minorHAnsi"/>
          <w:sz w:val="22"/>
          <w:szCs w:val="22"/>
        </w:rPr>
        <w:t>have</w:t>
      </w:r>
      <w:r w:rsidR="00205CB1" w:rsidRPr="00205CB1">
        <w:rPr>
          <w:rStyle w:val="cf01"/>
          <w:rFonts w:asciiTheme="minorHAnsi" w:hAnsiTheme="minorHAnsi" w:cstheme="minorHAnsi"/>
          <w:sz w:val="22"/>
          <w:szCs w:val="22"/>
        </w:rPr>
        <w:t xml:space="preserve"> report</w:t>
      </w:r>
      <w:r w:rsidR="00C24634">
        <w:rPr>
          <w:rStyle w:val="cf01"/>
          <w:rFonts w:asciiTheme="minorHAnsi" w:hAnsiTheme="minorHAnsi" w:cstheme="minorHAnsi"/>
          <w:sz w:val="22"/>
          <w:szCs w:val="22"/>
        </w:rPr>
        <w:t>ed</w:t>
      </w:r>
      <w:r w:rsidR="00205CB1" w:rsidRPr="00205CB1">
        <w:rPr>
          <w:rStyle w:val="cf01"/>
          <w:rFonts w:asciiTheme="minorHAnsi" w:hAnsiTheme="minorHAnsi" w:cstheme="minorHAnsi"/>
          <w:sz w:val="22"/>
          <w:szCs w:val="22"/>
        </w:rPr>
        <w:t xml:space="preserve"> mixed associations of</w:t>
      </w:r>
      <w:r w:rsidR="00205CB1" w:rsidRPr="00D04F56">
        <w:rPr>
          <w:rStyle w:val="cf01"/>
          <w:rFonts w:asciiTheme="minorHAnsi" w:hAnsiTheme="minorHAnsi"/>
          <w:sz w:val="22"/>
        </w:rPr>
        <w:t xml:space="preserve"> thyroid</w:t>
      </w:r>
      <w:r w:rsidR="00205CB1" w:rsidRPr="00205CB1">
        <w:rPr>
          <w:rStyle w:val="cf01"/>
          <w:rFonts w:asciiTheme="minorHAnsi" w:hAnsiTheme="minorHAnsi" w:cstheme="minorHAnsi"/>
          <w:sz w:val="22"/>
          <w:szCs w:val="22"/>
        </w:rPr>
        <w:t>-related</w:t>
      </w:r>
      <w:r w:rsidR="00205CB1" w:rsidRPr="00D04F56">
        <w:rPr>
          <w:rStyle w:val="cf01"/>
          <w:rFonts w:asciiTheme="minorHAnsi" w:hAnsiTheme="minorHAnsi"/>
          <w:sz w:val="22"/>
        </w:rPr>
        <w:t xml:space="preserve"> hormones</w:t>
      </w:r>
      <w:r w:rsidR="00205CB1" w:rsidRPr="00205CB1">
        <w:rPr>
          <w:rStyle w:val="cf01"/>
          <w:rFonts w:asciiTheme="minorHAnsi" w:hAnsiTheme="minorHAnsi" w:cstheme="minorHAnsi"/>
          <w:sz w:val="22"/>
          <w:szCs w:val="22"/>
        </w:rPr>
        <w:t xml:space="preserve"> </w:t>
      </w:r>
      <w:r w:rsidR="003D53F6" w:rsidRPr="00205CB1">
        <w:rPr>
          <w:rStyle w:val="cf01"/>
          <w:rFonts w:asciiTheme="minorHAnsi" w:hAnsiTheme="minorHAnsi" w:cstheme="minorHAnsi"/>
          <w:sz w:val="22"/>
          <w:szCs w:val="22"/>
        </w:rPr>
        <w:t>within the reference range</w:t>
      </w:r>
      <w:r w:rsidR="003D53F6" w:rsidRPr="00D04F56">
        <w:rPr>
          <w:rStyle w:val="cf01"/>
          <w:rFonts w:asciiTheme="minorHAnsi" w:hAnsiTheme="minorHAnsi"/>
          <w:sz w:val="22"/>
        </w:rPr>
        <w:t xml:space="preserve"> </w:t>
      </w:r>
      <w:r w:rsidR="00205CB1" w:rsidRPr="00D04F56">
        <w:rPr>
          <w:rStyle w:val="cf01"/>
          <w:rFonts w:asciiTheme="minorHAnsi" w:hAnsiTheme="minorHAnsi"/>
          <w:sz w:val="22"/>
        </w:rPr>
        <w:t xml:space="preserve">with BP and hypertension. </w:t>
      </w:r>
      <w:r w:rsidR="00B0489F">
        <w:rPr>
          <w:rStyle w:val="cf01"/>
          <w:rFonts w:asciiTheme="minorHAnsi" w:hAnsiTheme="minorHAnsi"/>
          <w:sz w:val="22"/>
        </w:rPr>
        <w:t xml:space="preserve">Positive and null associations of </w:t>
      </w:r>
      <w:r w:rsidR="00205CB1" w:rsidRPr="00205CB1">
        <w:rPr>
          <w:rStyle w:val="cf01"/>
          <w:rFonts w:asciiTheme="minorHAnsi" w:hAnsiTheme="minorHAnsi" w:cstheme="minorHAnsi"/>
          <w:sz w:val="22"/>
          <w:szCs w:val="22"/>
        </w:rPr>
        <w:t xml:space="preserve">TSH, T3 and T4, </w:t>
      </w:r>
      <w:r w:rsidR="00B0489F">
        <w:rPr>
          <w:rStyle w:val="cf01"/>
          <w:rFonts w:asciiTheme="minorHAnsi" w:hAnsiTheme="minorHAnsi" w:cstheme="minorHAnsi"/>
          <w:sz w:val="22"/>
          <w:szCs w:val="22"/>
        </w:rPr>
        <w:t xml:space="preserve">have been </w:t>
      </w:r>
      <w:r w:rsidR="00205CB1" w:rsidRPr="00205CB1">
        <w:rPr>
          <w:rStyle w:val="cf01"/>
          <w:rFonts w:asciiTheme="minorHAnsi" w:hAnsiTheme="minorHAnsi" w:cstheme="minorHAnsi"/>
          <w:sz w:val="22"/>
          <w:szCs w:val="22"/>
        </w:rPr>
        <w:t>demonstrated with</w:t>
      </w:r>
      <w:r w:rsidR="00205CB1" w:rsidRPr="00D04F56">
        <w:rPr>
          <w:rStyle w:val="cf01"/>
          <w:rFonts w:asciiTheme="minorHAnsi" w:hAnsiTheme="minorHAnsi"/>
          <w:sz w:val="22"/>
        </w:rPr>
        <w:t xml:space="preserve"> </w:t>
      </w:r>
      <w:r w:rsidR="00205CB1" w:rsidRPr="00205CB1">
        <w:rPr>
          <w:rStyle w:val="cf01"/>
          <w:rFonts w:asciiTheme="minorHAnsi" w:hAnsiTheme="minorHAnsi" w:cstheme="minorHAnsi"/>
          <w:sz w:val="22"/>
          <w:szCs w:val="22"/>
        </w:rPr>
        <w:t>hypertension</w:t>
      </w:r>
      <w:r w:rsidR="00B0489F">
        <w:rPr>
          <w:rStyle w:val="cf01"/>
          <w:rFonts w:asciiTheme="minorHAnsi" w:hAnsiTheme="minorHAnsi" w:cstheme="minorHAnsi"/>
          <w:sz w:val="22"/>
          <w:szCs w:val="22"/>
        </w:rPr>
        <w:t xml:space="preserve"> and BP</w:t>
      </w:r>
      <w:r w:rsidR="00205CB1" w:rsidRPr="00205CB1">
        <w:rPr>
          <w:rStyle w:val="cf01"/>
          <w:rFonts w:asciiTheme="minorHAnsi" w:hAnsiTheme="minorHAnsi" w:cstheme="minorHAnsi"/>
          <w:sz w:val="22"/>
          <w:szCs w:val="22"/>
        </w:rPr>
        <w:t>.</w:t>
      </w:r>
      <w:bookmarkStart w:id="25" w:name="_Ref160031786"/>
      <w:r w:rsidR="00D57AB5" w:rsidRPr="00AF0457">
        <w:rPr>
          <w:rStyle w:val="EndnoteReference"/>
          <w:rFonts w:cstheme="minorHAnsi"/>
        </w:rPr>
        <w:endnoteReference w:id="30"/>
      </w:r>
      <w:bookmarkEnd w:id="25"/>
      <w:r w:rsidR="00D57AB5" w:rsidRPr="00AF0457">
        <w:rPr>
          <w:rFonts w:cstheme="minorHAnsi"/>
          <w:bCs/>
          <w:vertAlign w:val="superscript"/>
        </w:rPr>
        <w:t>,</w:t>
      </w:r>
      <w:bookmarkStart w:id="26" w:name="_Ref160034074"/>
      <w:r w:rsidR="00D57AB5" w:rsidRPr="00AF0457">
        <w:rPr>
          <w:rStyle w:val="EndnoteReference"/>
          <w:rFonts w:cstheme="minorHAnsi"/>
          <w:bCs/>
        </w:rPr>
        <w:endnoteReference w:id="31"/>
      </w:r>
      <w:bookmarkEnd w:id="26"/>
      <w:r w:rsidR="00D57AB5" w:rsidRPr="00AF0457">
        <w:rPr>
          <w:rFonts w:cstheme="minorHAnsi"/>
          <w:bCs/>
          <w:vertAlign w:val="superscript"/>
        </w:rPr>
        <w:t>,</w:t>
      </w:r>
      <w:bookmarkStart w:id="27" w:name="_Ref160034079"/>
      <w:r w:rsidR="00D57AB5" w:rsidRPr="00AF0457">
        <w:rPr>
          <w:rStyle w:val="EndnoteReference"/>
          <w:rFonts w:cstheme="minorHAnsi"/>
          <w:bCs/>
        </w:rPr>
        <w:endnoteReference w:id="32"/>
      </w:r>
      <w:bookmarkEnd w:id="27"/>
      <w:r w:rsidR="00D57AB5" w:rsidRPr="00AF0457">
        <w:rPr>
          <w:rFonts w:cstheme="minorHAnsi"/>
          <w:vertAlign w:val="superscript"/>
        </w:rPr>
        <w:t>,</w:t>
      </w:r>
      <w:bookmarkStart w:id="28" w:name="_Ref160034096"/>
      <w:r w:rsidR="00D57AB5" w:rsidRPr="00AF0457">
        <w:rPr>
          <w:rStyle w:val="EndnoteReference"/>
          <w:rFonts w:cstheme="minorHAnsi"/>
          <w:bCs/>
        </w:rPr>
        <w:endnoteReference w:id="33"/>
      </w:r>
      <w:bookmarkEnd w:id="28"/>
      <w:r w:rsidR="00D57AB5" w:rsidRPr="00AF0457">
        <w:rPr>
          <w:rFonts w:cstheme="minorHAnsi"/>
          <w:vertAlign w:val="superscript"/>
        </w:rPr>
        <w:t>,</w:t>
      </w:r>
      <w:bookmarkStart w:id="29" w:name="_Ref160034106"/>
      <w:r w:rsidR="00D57AB5" w:rsidRPr="00AF0457">
        <w:rPr>
          <w:rStyle w:val="EndnoteReference"/>
          <w:rFonts w:cstheme="minorHAnsi"/>
          <w:bCs/>
        </w:rPr>
        <w:endnoteReference w:id="34"/>
      </w:r>
      <w:bookmarkEnd w:id="29"/>
      <w:r w:rsidR="00D57AB5" w:rsidRPr="00ED3148">
        <w:rPr>
          <w:rFonts w:cstheme="minorHAnsi"/>
          <w:bCs/>
          <w:vertAlign w:val="superscript"/>
        </w:rPr>
        <w:t>,</w:t>
      </w:r>
      <w:bookmarkStart w:id="30" w:name="_Ref160033186"/>
      <w:r w:rsidR="009228F6" w:rsidRPr="00AF0457">
        <w:rPr>
          <w:rStyle w:val="EndnoteReference"/>
          <w:rFonts w:cstheme="minorHAnsi"/>
        </w:rPr>
        <w:endnoteReference w:id="35"/>
      </w:r>
      <w:bookmarkEnd w:id="30"/>
      <w:r w:rsidR="009228F6" w:rsidRPr="00AF0457">
        <w:rPr>
          <w:rFonts w:cstheme="minorHAnsi"/>
          <w:vertAlign w:val="superscript"/>
        </w:rPr>
        <w:t>,</w:t>
      </w:r>
      <w:bookmarkStart w:id="31" w:name="_Ref160033191"/>
      <w:r w:rsidR="009228F6" w:rsidRPr="00AF0457">
        <w:rPr>
          <w:rStyle w:val="EndnoteReference"/>
          <w:rFonts w:cstheme="minorHAnsi"/>
        </w:rPr>
        <w:endnoteReference w:id="36"/>
      </w:r>
      <w:bookmarkEnd w:id="31"/>
      <w:r w:rsidR="009228F6" w:rsidRPr="00AF0457">
        <w:rPr>
          <w:rFonts w:cstheme="minorHAnsi"/>
          <w:vertAlign w:val="superscript"/>
        </w:rPr>
        <w:t>,</w:t>
      </w:r>
      <w:bookmarkStart w:id="32" w:name="_Ref160033201"/>
      <w:r w:rsidR="009228F6" w:rsidRPr="00AF0457">
        <w:rPr>
          <w:rStyle w:val="EndnoteReference"/>
          <w:rFonts w:cstheme="minorHAnsi"/>
        </w:rPr>
        <w:endnoteReference w:id="37"/>
      </w:r>
      <w:bookmarkEnd w:id="32"/>
      <w:r w:rsidR="009228F6" w:rsidRPr="00AF0457">
        <w:rPr>
          <w:rFonts w:cstheme="minorHAnsi"/>
          <w:vertAlign w:val="superscript"/>
        </w:rPr>
        <w:t>,</w:t>
      </w:r>
      <w:bookmarkStart w:id="33" w:name="_Ref160033204"/>
      <w:r w:rsidR="009228F6" w:rsidRPr="00AF0457">
        <w:rPr>
          <w:rStyle w:val="EndnoteReference"/>
          <w:rFonts w:cstheme="minorHAnsi"/>
          <w:bCs/>
        </w:rPr>
        <w:endnoteReference w:id="38"/>
      </w:r>
      <w:bookmarkEnd w:id="33"/>
      <w:r w:rsidR="009228F6" w:rsidRPr="00AF0457">
        <w:rPr>
          <w:rFonts w:cstheme="minorHAnsi"/>
          <w:vertAlign w:val="superscript"/>
        </w:rPr>
        <w:t>,</w:t>
      </w:r>
      <w:r w:rsidR="009228F6" w:rsidRPr="00AF0457">
        <w:rPr>
          <w:rStyle w:val="EndnoteReference"/>
          <w:rFonts w:cstheme="minorHAnsi"/>
          <w:bCs/>
        </w:rPr>
        <w:endnoteReference w:id="39"/>
      </w:r>
      <w:r w:rsidR="00952239">
        <w:rPr>
          <w:rFonts w:cstheme="minorHAnsi"/>
          <w:vertAlign w:val="superscript"/>
        </w:rPr>
        <w:t>,</w:t>
      </w:r>
      <w:r w:rsidR="00952239" w:rsidRPr="00AF0457">
        <w:rPr>
          <w:rStyle w:val="EndnoteReference"/>
          <w:rFonts w:cstheme="minorHAnsi"/>
          <w:bCs/>
        </w:rPr>
        <w:endnoteReference w:id="40"/>
      </w:r>
      <w:r w:rsidR="00952239" w:rsidRPr="00AF0457">
        <w:rPr>
          <w:rFonts w:cstheme="minorHAnsi"/>
          <w:bCs/>
          <w:vertAlign w:val="superscript"/>
        </w:rPr>
        <w:t>,</w:t>
      </w:r>
      <w:r w:rsidR="00952239" w:rsidRPr="00AF0457">
        <w:rPr>
          <w:rStyle w:val="EndnoteReference"/>
          <w:rFonts w:cstheme="minorHAnsi"/>
          <w:bCs/>
        </w:rPr>
        <w:endnoteReference w:id="41"/>
      </w:r>
      <w:r w:rsidR="00952239" w:rsidRPr="00AF0457">
        <w:rPr>
          <w:rFonts w:cstheme="minorHAnsi"/>
          <w:bCs/>
          <w:vertAlign w:val="superscript"/>
        </w:rPr>
        <w:t>,</w:t>
      </w:r>
      <w:r w:rsidR="00952239" w:rsidRPr="00AF0457">
        <w:rPr>
          <w:rStyle w:val="EndnoteReference"/>
          <w:rFonts w:cstheme="minorHAnsi"/>
          <w:bCs/>
        </w:rPr>
        <w:endnoteReference w:id="42"/>
      </w:r>
      <w:r w:rsidR="00952239" w:rsidRPr="00AF0457">
        <w:rPr>
          <w:rFonts w:cstheme="minorHAnsi"/>
          <w:bCs/>
          <w:vertAlign w:val="superscript"/>
        </w:rPr>
        <w:t>,</w:t>
      </w:r>
      <w:bookmarkStart w:id="34" w:name="_Ref160034123"/>
      <w:r w:rsidR="00952239" w:rsidRPr="00AF0457">
        <w:rPr>
          <w:rStyle w:val="EndnoteReference"/>
          <w:rFonts w:cstheme="minorHAnsi"/>
          <w:bCs/>
        </w:rPr>
        <w:endnoteReference w:id="43"/>
      </w:r>
      <w:bookmarkEnd w:id="34"/>
      <w:r w:rsidR="00952239">
        <w:rPr>
          <w:rFonts w:cstheme="minorHAnsi"/>
          <w:bCs/>
        </w:rPr>
        <w:t xml:space="preserve"> </w:t>
      </w:r>
      <w:r w:rsidR="00205CB1" w:rsidRPr="00205CB1">
        <w:rPr>
          <w:rStyle w:val="cf01"/>
          <w:rFonts w:asciiTheme="minorHAnsi" w:hAnsiTheme="minorHAnsi" w:cstheme="minorHAnsi"/>
          <w:sz w:val="22"/>
          <w:szCs w:val="22"/>
        </w:rPr>
        <w:t xml:space="preserve">A few studies have also reported </w:t>
      </w:r>
      <w:r w:rsidR="00205CB1" w:rsidRPr="00D04F56">
        <w:rPr>
          <w:rStyle w:val="cf01"/>
          <w:rFonts w:asciiTheme="minorHAnsi" w:hAnsiTheme="minorHAnsi"/>
          <w:sz w:val="22"/>
        </w:rPr>
        <w:t xml:space="preserve">sex-specific </w:t>
      </w:r>
      <w:r w:rsidR="006407D9" w:rsidRPr="006407D9">
        <w:rPr>
          <w:rStyle w:val="cf01"/>
          <w:rFonts w:asciiTheme="minorHAnsi" w:hAnsiTheme="minorHAnsi"/>
          <w:sz w:val="22"/>
          <w:vertAlign w:val="superscript"/>
        </w:rPr>
        <w:fldChar w:fldCharType="begin"/>
      </w:r>
      <w:r w:rsidR="006407D9" w:rsidRPr="006407D9">
        <w:rPr>
          <w:rStyle w:val="cf01"/>
          <w:rFonts w:asciiTheme="minorHAnsi" w:hAnsiTheme="minorHAnsi"/>
          <w:sz w:val="22"/>
          <w:vertAlign w:val="superscript"/>
        </w:rPr>
        <w:instrText xml:space="preserve"> NOTEREF _Ref160031786 \h </w:instrText>
      </w:r>
      <w:r w:rsidR="006407D9" w:rsidRPr="006407D9">
        <w:rPr>
          <w:rStyle w:val="cf01"/>
          <w:rFonts w:asciiTheme="minorHAnsi" w:hAnsiTheme="minorHAnsi"/>
          <w:sz w:val="22"/>
          <w:vertAlign w:val="superscript"/>
        </w:rPr>
      </w:r>
      <w:r w:rsidR="006407D9">
        <w:rPr>
          <w:rStyle w:val="cf01"/>
          <w:rFonts w:asciiTheme="minorHAnsi" w:hAnsiTheme="minorHAnsi"/>
          <w:sz w:val="22"/>
          <w:vertAlign w:val="superscript"/>
        </w:rPr>
        <w:instrText xml:space="preserve"> \* MERGEFORMAT </w:instrText>
      </w:r>
      <w:r w:rsidR="006407D9" w:rsidRPr="006407D9">
        <w:rPr>
          <w:rStyle w:val="cf01"/>
          <w:rFonts w:asciiTheme="minorHAnsi" w:hAnsiTheme="minorHAnsi"/>
          <w:sz w:val="22"/>
          <w:vertAlign w:val="superscript"/>
        </w:rPr>
        <w:fldChar w:fldCharType="separate"/>
      </w:r>
      <w:r w:rsidR="000F6C53">
        <w:rPr>
          <w:rStyle w:val="cf01"/>
          <w:rFonts w:asciiTheme="minorHAnsi" w:hAnsiTheme="minorHAnsi"/>
          <w:sz w:val="22"/>
          <w:vertAlign w:val="superscript"/>
        </w:rPr>
        <w:t>29</w:t>
      </w:r>
      <w:r w:rsidR="006407D9" w:rsidRPr="006407D9">
        <w:rPr>
          <w:rStyle w:val="cf01"/>
          <w:rFonts w:asciiTheme="minorHAnsi" w:hAnsiTheme="minorHAnsi"/>
          <w:sz w:val="22"/>
          <w:vertAlign w:val="superscript"/>
        </w:rPr>
        <w:fldChar w:fldCharType="end"/>
      </w:r>
      <w:r w:rsidR="006407D9" w:rsidRPr="006407D9">
        <w:rPr>
          <w:rStyle w:val="cf01"/>
          <w:rFonts w:asciiTheme="minorHAnsi" w:hAnsiTheme="minorHAnsi"/>
          <w:sz w:val="22"/>
          <w:vertAlign w:val="superscript"/>
        </w:rPr>
        <w:t>,</w:t>
      </w:r>
      <w:bookmarkStart w:id="35" w:name="_Ref160033755"/>
      <w:r w:rsidR="00B512E5" w:rsidRPr="00AF0457">
        <w:rPr>
          <w:rStyle w:val="EndnoteReference"/>
          <w:rFonts w:cstheme="minorHAnsi"/>
          <w:bCs/>
        </w:rPr>
        <w:endnoteReference w:id="44"/>
      </w:r>
      <w:bookmarkEnd w:id="35"/>
      <w:r w:rsidR="00B512E5" w:rsidRPr="00AF0457">
        <w:rPr>
          <w:rFonts w:cstheme="minorHAnsi"/>
          <w:bCs/>
          <w:vertAlign w:val="superscript"/>
        </w:rPr>
        <w:t>,</w:t>
      </w:r>
      <w:bookmarkStart w:id="36" w:name="_Ref160033139"/>
      <w:r w:rsidR="00B512E5" w:rsidRPr="00AF0457">
        <w:rPr>
          <w:rStyle w:val="EndnoteReference"/>
          <w:rFonts w:cstheme="minorHAnsi"/>
          <w:bCs/>
        </w:rPr>
        <w:endnoteReference w:id="45"/>
      </w:r>
      <w:bookmarkEnd w:id="36"/>
      <w:r w:rsidR="00B512E5" w:rsidRPr="00AF0457">
        <w:rPr>
          <w:rFonts w:cstheme="minorHAnsi"/>
          <w:bCs/>
          <w:vertAlign w:val="superscript"/>
        </w:rPr>
        <w:t>,</w:t>
      </w:r>
      <w:bookmarkStart w:id="37" w:name="_Ref160033759"/>
      <w:r w:rsidR="00B512E5" w:rsidRPr="00AF0457">
        <w:rPr>
          <w:rStyle w:val="EndnoteReference"/>
          <w:rFonts w:cstheme="minorHAnsi"/>
          <w:bCs/>
        </w:rPr>
        <w:endnoteReference w:id="46"/>
      </w:r>
      <w:bookmarkEnd w:id="37"/>
      <w:r w:rsidR="00B512E5">
        <w:rPr>
          <w:rStyle w:val="cf01"/>
          <w:rFonts w:asciiTheme="minorHAnsi" w:hAnsiTheme="minorHAnsi" w:cstheme="minorHAnsi"/>
          <w:sz w:val="22"/>
          <w:szCs w:val="22"/>
        </w:rPr>
        <w:t xml:space="preserve"> </w:t>
      </w:r>
      <w:r w:rsidR="00EE2D0B">
        <w:rPr>
          <w:rStyle w:val="cf01"/>
          <w:rFonts w:asciiTheme="minorHAnsi" w:hAnsiTheme="minorHAnsi" w:cstheme="minorHAnsi"/>
          <w:sz w:val="22"/>
          <w:szCs w:val="22"/>
        </w:rPr>
        <w:t>and positive associations of</w:t>
      </w:r>
      <w:r w:rsidR="00205CB1" w:rsidRPr="00205CB1">
        <w:rPr>
          <w:rStyle w:val="cf01"/>
          <w:rFonts w:asciiTheme="minorHAnsi" w:hAnsiTheme="minorHAnsi" w:cstheme="minorHAnsi"/>
          <w:sz w:val="22"/>
          <w:szCs w:val="22"/>
        </w:rPr>
        <w:t xml:space="preserve"> pituitary sensitivity to thyroid hormones with BP and hypertension.</w:t>
      </w:r>
      <w:bookmarkStart w:id="38" w:name="_Ref160034351"/>
      <w:r w:rsidR="00D73290" w:rsidRPr="00AF0457">
        <w:rPr>
          <w:rStyle w:val="EndnoteReference"/>
          <w:rFonts w:cstheme="minorHAnsi"/>
          <w:bCs/>
        </w:rPr>
        <w:endnoteReference w:id="47"/>
      </w:r>
      <w:bookmarkEnd w:id="38"/>
      <w:r w:rsidR="00D73290" w:rsidRPr="00AF0457">
        <w:rPr>
          <w:rFonts w:cstheme="minorHAnsi"/>
          <w:bCs/>
          <w:vertAlign w:val="superscript"/>
        </w:rPr>
        <w:t>,</w:t>
      </w:r>
      <w:bookmarkStart w:id="39" w:name="_Ref160034323"/>
      <w:r w:rsidR="00D73290" w:rsidRPr="00AF0457">
        <w:rPr>
          <w:rStyle w:val="EndnoteReference"/>
          <w:rFonts w:cstheme="minorHAnsi"/>
        </w:rPr>
        <w:endnoteReference w:id="48"/>
      </w:r>
      <w:bookmarkEnd w:id="39"/>
      <w:r w:rsidR="00205CB1">
        <w:rPr>
          <w:rStyle w:val="cf01"/>
          <w:rFonts w:asciiTheme="minorHAnsi" w:hAnsiTheme="minorHAnsi" w:cstheme="minorHAnsi"/>
          <w:sz w:val="22"/>
          <w:szCs w:val="22"/>
        </w:rPr>
        <w:t xml:space="preserve"> </w:t>
      </w:r>
      <w:bookmarkEnd w:id="22"/>
      <w:r w:rsidR="00536C27">
        <w:rPr>
          <w:rFonts w:cstheme="minorHAnsi"/>
          <w:bCs/>
        </w:rPr>
        <w:t>D</w:t>
      </w:r>
      <w:r w:rsidR="00E52155" w:rsidRPr="00E52155">
        <w:rPr>
          <w:rFonts w:cstheme="minorHAnsi"/>
          <w:bCs/>
        </w:rPr>
        <w:t xml:space="preserve">ifferences in thyroid profile </w:t>
      </w:r>
      <w:r w:rsidR="00C24634">
        <w:rPr>
          <w:rFonts w:cstheme="minorHAnsi"/>
          <w:bCs/>
        </w:rPr>
        <w:t xml:space="preserve">were demonstrated </w:t>
      </w:r>
      <w:r w:rsidR="00E52155" w:rsidRPr="00E52155">
        <w:rPr>
          <w:rFonts w:cstheme="minorHAnsi"/>
          <w:bCs/>
        </w:rPr>
        <w:t>by race-ethnicity</w:t>
      </w:r>
      <w:r w:rsidR="00C24634">
        <w:rPr>
          <w:rFonts w:cstheme="minorHAnsi"/>
          <w:bCs/>
        </w:rPr>
        <w:t xml:space="preserve"> in a representative sample of US adults</w:t>
      </w:r>
      <w:r w:rsidR="00C24634" w:rsidRPr="00C24634">
        <w:rPr>
          <w:rFonts w:cstheme="minorHAnsi"/>
          <w:bCs/>
        </w:rPr>
        <w:t xml:space="preserve"> using the National Health and Nutrition Examination Survey (NHANES)</w:t>
      </w:r>
      <w:r w:rsidR="00C24634">
        <w:rPr>
          <w:rFonts w:cstheme="minorHAnsi"/>
          <w:bCs/>
        </w:rPr>
        <w:t>.</w:t>
      </w:r>
      <w:bookmarkStart w:id="40" w:name="_Ref160032293"/>
      <w:r w:rsidR="00270AEC">
        <w:rPr>
          <w:rStyle w:val="EndnoteReference"/>
          <w:rFonts w:cstheme="minorHAnsi"/>
          <w:bCs/>
        </w:rPr>
        <w:endnoteReference w:id="49"/>
      </w:r>
      <w:bookmarkEnd w:id="40"/>
      <w:r w:rsidR="00270AEC" w:rsidRPr="00ED3148">
        <w:rPr>
          <w:rFonts w:cstheme="minorHAnsi"/>
          <w:bCs/>
          <w:vertAlign w:val="superscript"/>
        </w:rPr>
        <w:t>,</w:t>
      </w:r>
      <w:bookmarkStart w:id="41" w:name="_Ref160032296"/>
      <w:r w:rsidR="00270AEC">
        <w:rPr>
          <w:rStyle w:val="EndnoteReference"/>
          <w:rFonts w:cstheme="minorHAnsi"/>
          <w:bCs/>
        </w:rPr>
        <w:endnoteReference w:id="50"/>
      </w:r>
      <w:bookmarkEnd w:id="41"/>
      <w:r w:rsidR="00C24634" w:rsidRPr="00C24634">
        <w:rPr>
          <w:rFonts w:cstheme="minorHAnsi"/>
          <w:bCs/>
        </w:rPr>
        <w:t xml:space="preserve"> </w:t>
      </w:r>
      <w:r w:rsidR="00C24634">
        <w:rPr>
          <w:rFonts w:cstheme="minorHAnsi"/>
          <w:bCs/>
        </w:rPr>
        <w:t>H</w:t>
      </w:r>
      <w:r w:rsidR="00E52155" w:rsidRPr="00E52155">
        <w:rPr>
          <w:rFonts w:cstheme="minorHAnsi"/>
          <w:bCs/>
        </w:rPr>
        <w:t xml:space="preserve">igher total T4 and prevalence of hyperthyroidism, and lower TSH and prevalence of hypothyroidism </w:t>
      </w:r>
      <w:r w:rsidR="002B07E1">
        <w:rPr>
          <w:rFonts w:cstheme="minorHAnsi"/>
          <w:bCs/>
        </w:rPr>
        <w:t xml:space="preserve">were reported </w:t>
      </w:r>
      <w:r w:rsidR="00E52155" w:rsidRPr="00E52155">
        <w:rPr>
          <w:rFonts w:cstheme="minorHAnsi"/>
          <w:bCs/>
        </w:rPr>
        <w:t>among Mexican Americans compared to Non-Hispanic whites.</w:t>
      </w:r>
      <w:r w:rsidR="002373C2" w:rsidRPr="002373C2">
        <w:rPr>
          <w:rFonts w:cstheme="minorHAnsi"/>
          <w:bCs/>
          <w:vertAlign w:val="superscript"/>
        </w:rPr>
        <w:fldChar w:fldCharType="begin"/>
      </w:r>
      <w:r w:rsidR="002373C2" w:rsidRPr="002373C2">
        <w:rPr>
          <w:rFonts w:cstheme="minorHAnsi"/>
          <w:bCs/>
          <w:vertAlign w:val="superscript"/>
        </w:rPr>
        <w:instrText xml:space="preserve"> NOTEREF _Ref160032293 \h </w:instrText>
      </w:r>
      <w:r w:rsidR="002373C2" w:rsidRPr="002373C2">
        <w:rPr>
          <w:rFonts w:cstheme="minorHAnsi"/>
          <w:bCs/>
          <w:vertAlign w:val="superscript"/>
        </w:rPr>
      </w:r>
      <w:r w:rsidR="002373C2">
        <w:rPr>
          <w:rFonts w:cstheme="minorHAnsi"/>
          <w:bCs/>
          <w:vertAlign w:val="superscript"/>
        </w:rPr>
        <w:instrText xml:space="preserve"> \* MERGEFORMAT </w:instrText>
      </w:r>
      <w:r w:rsidR="002373C2" w:rsidRPr="002373C2">
        <w:rPr>
          <w:rFonts w:cstheme="minorHAnsi"/>
          <w:bCs/>
          <w:vertAlign w:val="superscript"/>
        </w:rPr>
        <w:fldChar w:fldCharType="separate"/>
      </w:r>
      <w:r w:rsidR="000F6C53">
        <w:rPr>
          <w:rFonts w:cstheme="minorHAnsi"/>
          <w:bCs/>
          <w:vertAlign w:val="superscript"/>
        </w:rPr>
        <w:t>48</w:t>
      </w:r>
      <w:r w:rsidR="002373C2" w:rsidRPr="002373C2">
        <w:rPr>
          <w:rFonts w:cstheme="minorHAnsi"/>
          <w:bCs/>
          <w:vertAlign w:val="superscript"/>
        </w:rPr>
        <w:fldChar w:fldCharType="end"/>
      </w:r>
      <w:r w:rsidR="002373C2" w:rsidRPr="002373C2">
        <w:rPr>
          <w:rFonts w:cstheme="minorHAnsi"/>
          <w:bCs/>
          <w:vertAlign w:val="superscript"/>
        </w:rPr>
        <w:t>,</w:t>
      </w:r>
      <w:r w:rsidR="002373C2" w:rsidRPr="002373C2">
        <w:rPr>
          <w:rFonts w:cstheme="minorHAnsi"/>
          <w:bCs/>
          <w:vertAlign w:val="superscript"/>
        </w:rPr>
        <w:fldChar w:fldCharType="begin"/>
      </w:r>
      <w:r w:rsidR="002373C2" w:rsidRPr="002373C2">
        <w:rPr>
          <w:rFonts w:cstheme="minorHAnsi"/>
          <w:bCs/>
          <w:vertAlign w:val="superscript"/>
        </w:rPr>
        <w:instrText xml:space="preserve"> NOTEREF _Ref160032296 \h </w:instrText>
      </w:r>
      <w:r w:rsidR="002373C2" w:rsidRPr="002373C2">
        <w:rPr>
          <w:rFonts w:cstheme="minorHAnsi"/>
          <w:bCs/>
          <w:vertAlign w:val="superscript"/>
        </w:rPr>
      </w:r>
      <w:r w:rsidR="002373C2">
        <w:rPr>
          <w:rFonts w:cstheme="minorHAnsi"/>
          <w:bCs/>
          <w:vertAlign w:val="superscript"/>
        </w:rPr>
        <w:instrText xml:space="preserve"> \* MERGEFORMAT </w:instrText>
      </w:r>
      <w:r w:rsidR="002373C2" w:rsidRPr="002373C2">
        <w:rPr>
          <w:rFonts w:cstheme="minorHAnsi"/>
          <w:bCs/>
          <w:vertAlign w:val="superscript"/>
        </w:rPr>
        <w:fldChar w:fldCharType="separate"/>
      </w:r>
      <w:r w:rsidR="000F6C53">
        <w:rPr>
          <w:rFonts w:cstheme="minorHAnsi"/>
          <w:bCs/>
          <w:vertAlign w:val="superscript"/>
        </w:rPr>
        <w:t>49</w:t>
      </w:r>
      <w:r w:rsidR="002373C2" w:rsidRPr="002373C2">
        <w:rPr>
          <w:rFonts w:cstheme="minorHAnsi"/>
          <w:bCs/>
          <w:vertAlign w:val="superscript"/>
        </w:rPr>
        <w:fldChar w:fldCharType="end"/>
      </w:r>
      <w:r w:rsidR="00E52155" w:rsidRPr="00E52155">
        <w:rPr>
          <w:rFonts w:cstheme="minorHAnsi"/>
          <w:bCs/>
        </w:rPr>
        <w:t xml:space="preserve"> In our sample of heterogenous Hispanic/Latino adults, thyroid hormone levels varied by Hispanic/Latino background.</w:t>
      </w:r>
      <w:bookmarkStart w:id="42" w:name="_Ref158720343"/>
      <w:r w:rsidR="003C74C9" w:rsidRPr="00AF0457">
        <w:rPr>
          <w:rStyle w:val="EndnoteReference"/>
          <w:rFonts w:cstheme="minorHAnsi"/>
          <w:bCs/>
        </w:rPr>
        <w:endnoteReference w:id="51"/>
      </w:r>
      <w:bookmarkEnd w:id="42"/>
      <w:r w:rsidR="00E52155" w:rsidRPr="00E52155">
        <w:rPr>
          <w:rFonts w:cstheme="minorHAnsi"/>
          <w:bCs/>
        </w:rPr>
        <w:t xml:space="preserve"> The present study is unique in evaluating associations of thyroid-related hormones with BP and hypertension in a heterogenous Hispanic/Latino population. </w:t>
      </w:r>
      <w:r w:rsidR="00F41ADA">
        <w:rPr>
          <w:rStyle w:val="cf01"/>
          <w:rFonts w:asciiTheme="minorHAnsi" w:hAnsiTheme="minorHAnsi" w:cstheme="minorHAnsi"/>
          <w:bCs/>
          <w:sz w:val="22"/>
          <w:szCs w:val="22"/>
        </w:rPr>
        <w:t>In addition</w:t>
      </w:r>
      <w:r w:rsidR="00D277CC" w:rsidRPr="00AF0457">
        <w:rPr>
          <w:rStyle w:val="cf01"/>
          <w:rFonts w:asciiTheme="minorHAnsi" w:hAnsiTheme="minorHAnsi" w:cstheme="minorHAnsi"/>
          <w:bCs/>
          <w:sz w:val="22"/>
          <w:szCs w:val="22"/>
        </w:rPr>
        <w:t xml:space="preserve">, </w:t>
      </w:r>
      <w:r w:rsidR="00B87701" w:rsidRPr="00AF0457">
        <w:rPr>
          <w:rStyle w:val="cf01"/>
          <w:rFonts w:asciiTheme="minorHAnsi" w:hAnsiTheme="minorHAnsi" w:cstheme="minorHAnsi"/>
          <w:bCs/>
          <w:sz w:val="22"/>
          <w:szCs w:val="22"/>
        </w:rPr>
        <w:t xml:space="preserve">the </w:t>
      </w:r>
      <w:r w:rsidR="00AF2BD2" w:rsidRPr="00AF0457">
        <w:rPr>
          <w:rStyle w:val="cf01"/>
          <w:rFonts w:asciiTheme="minorHAnsi" w:hAnsiTheme="minorHAnsi" w:cstheme="minorHAnsi"/>
          <w:bCs/>
          <w:sz w:val="22"/>
          <w:szCs w:val="22"/>
        </w:rPr>
        <w:t xml:space="preserve">majority of </w:t>
      </w:r>
      <w:r w:rsidR="006255DD" w:rsidRPr="00AF0457">
        <w:rPr>
          <w:rStyle w:val="cf01"/>
          <w:rFonts w:asciiTheme="minorHAnsi" w:hAnsiTheme="minorHAnsi" w:cstheme="minorHAnsi"/>
          <w:bCs/>
          <w:sz w:val="22"/>
          <w:szCs w:val="22"/>
        </w:rPr>
        <w:t xml:space="preserve">prior </w:t>
      </w:r>
      <w:r w:rsidR="00AF2BD2" w:rsidRPr="00AF0457">
        <w:rPr>
          <w:rStyle w:val="cf01"/>
          <w:rFonts w:asciiTheme="minorHAnsi" w:hAnsiTheme="minorHAnsi" w:cstheme="minorHAnsi"/>
          <w:bCs/>
          <w:sz w:val="22"/>
          <w:szCs w:val="22"/>
        </w:rPr>
        <w:t xml:space="preserve">studies </w:t>
      </w:r>
      <w:r w:rsidR="007807EE" w:rsidRPr="00AF0457">
        <w:rPr>
          <w:rStyle w:val="cf01"/>
          <w:rFonts w:asciiTheme="minorHAnsi" w:hAnsiTheme="minorHAnsi" w:cstheme="minorHAnsi"/>
          <w:bCs/>
          <w:sz w:val="22"/>
          <w:szCs w:val="22"/>
        </w:rPr>
        <w:t>were</w:t>
      </w:r>
      <w:r w:rsidR="00AF2BD2" w:rsidRPr="00AF0457">
        <w:rPr>
          <w:rStyle w:val="cf01"/>
          <w:rFonts w:asciiTheme="minorHAnsi" w:hAnsiTheme="minorHAnsi" w:cstheme="minorHAnsi"/>
          <w:bCs/>
          <w:sz w:val="22"/>
          <w:szCs w:val="22"/>
        </w:rPr>
        <w:t xml:space="preserve"> cross-sectional in design and may be impacted by reverse causality with existing hypertension altering thyroid homeostasis. </w:t>
      </w:r>
      <w:r w:rsidR="00E46C89" w:rsidRPr="00AF0457">
        <w:rPr>
          <w:rStyle w:val="cf01"/>
          <w:rFonts w:asciiTheme="minorHAnsi" w:hAnsiTheme="minorHAnsi" w:cstheme="minorHAnsi"/>
          <w:bCs/>
          <w:sz w:val="22"/>
          <w:szCs w:val="22"/>
        </w:rPr>
        <w:t>T</w:t>
      </w:r>
      <w:r w:rsidR="00800386" w:rsidRPr="00AF0457">
        <w:rPr>
          <w:rStyle w:val="cf01"/>
          <w:rFonts w:asciiTheme="minorHAnsi" w:hAnsiTheme="minorHAnsi" w:cstheme="minorHAnsi"/>
          <w:bCs/>
          <w:sz w:val="22"/>
          <w:szCs w:val="22"/>
        </w:rPr>
        <w:t xml:space="preserve">o the best of our knowledge, </w:t>
      </w:r>
      <w:r w:rsidR="00160B5D" w:rsidRPr="00AF0457">
        <w:rPr>
          <w:rStyle w:val="cf01"/>
          <w:rFonts w:asciiTheme="minorHAnsi" w:hAnsiTheme="minorHAnsi" w:cstheme="minorHAnsi"/>
          <w:bCs/>
          <w:sz w:val="22"/>
          <w:szCs w:val="22"/>
        </w:rPr>
        <w:t xml:space="preserve">sex-specific differences and </w:t>
      </w:r>
      <w:r w:rsidR="00800386" w:rsidRPr="00AF0457">
        <w:rPr>
          <w:rStyle w:val="cf01"/>
          <w:rFonts w:asciiTheme="minorHAnsi" w:hAnsiTheme="minorHAnsi" w:cstheme="minorHAnsi"/>
          <w:bCs/>
          <w:sz w:val="22"/>
          <w:szCs w:val="22"/>
        </w:rPr>
        <w:t>t</w:t>
      </w:r>
      <w:r w:rsidR="00986B9E" w:rsidRPr="00AF0457">
        <w:rPr>
          <w:rStyle w:val="cf01"/>
          <w:rFonts w:asciiTheme="minorHAnsi" w:hAnsiTheme="minorHAnsi" w:cstheme="minorHAnsi"/>
          <w:bCs/>
          <w:sz w:val="22"/>
          <w:szCs w:val="22"/>
        </w:rPr>
        <w:t xml:space="preserve">he influence of </w:t>
      </w:r>
      <w:r w:rsidR="00555512" w:rsidRPr="00AF0457">
        <w:rPr>
          <w:rStyle w:val="cf01"/>
          <w:rFonts w:asciiTheme="minorHAnsi" w:hAnsiTheme="minorHAnsi" w:cstheme="minorHAnsi"/>
          <w:bCs/>
          <w:sz w:val="22"/>
          <w:szCs w:val="22"/>
        </w:rPr>
        <w:t xml:space="preserve">thyroid </w:t>
      </w:r>
      <w:r w:rsidR="000F5E6D" w:rsidRPr="00AF0457">
        <w:rPr>
          <w:rStyle w:val="cf01"/>
          <w:rFonts w:asciiTheme="minorHAnsi" w:hAnsiTheme="minorHAnsi" w:cstheme="minorHAnsi"/>
          <w:bCs/>
          <w:sz w:val="22"/>
          <w:szCs w:val="22"/>
        </w:rPr>
        <w:t>axis</w:t>
      </w:r>
      <w:r w:rsidR="00555512" w:rsidRPr="00AF0457">
        <w:rPr>
          <w:rStyle w:val="cf01"/>
          <w:rFonts w:asciiTheme="minorHAnsi" w:hAnsiTheme="minorHAnsi" w:cstheme="minorHAnsi"/>
          <w:bCs/>
          <w:sz w:val="22"/>
          <w:szCs w:val="22"/>
        </w:rPr>
        <w:t xml:space="preserve"> regulation</w:t>
      </w:r>
      <w:r w:rsidR="008D5716" w:rsidRPr="00AF0457">
        <w:rPr>
          <w:rStyle w:val="cf01"/>
          <w:rFonts w:asciiTheme="minorHAnsi" w:hAnsiTheme="minorHAnsi" w:cstheme="minorHAnsi"/>
          <w:bCs/>
          <w:sz w:val="22"/>
          <w:szCs w:val="22"/>
        </w:rPr>
        <w:t xml:space="preserve">, including indices of pituitary sensitivity to </w:t>
      </w:r>
      <w:r w:rsidR="00800386" w:rsidRPr="00AF0457">
        <w:rPr>
          <w:rStyle w:val="cf01"/>
          <w:rFonts w:asciiTheme="minorHAnsi" w:hAnsiTheme="minorHAnsi" w:cstheme="minorHAnsi"/>
          <w:bCs/>
          <w:sz w:val="22"/>
          <w:szCs w:val="22"/>
        </w:rPr>
        <w:t>thyroid</w:t>
      </w:r>
      <w:r w:rsidR="008D5716" w:rsidRPr="00AF0457">
        <w:rPr>
          <w:rStyle w:val="cf01"/>
          <w:rFonts w:asciiTheme="minorHAnsi" w:hAnsiTheme="minorHAnsi" w:cstheme="minorHAnsi"/>
          <w:bCs/>
          <w:sz w:val="22"/>
          <w:szCs w:val="22"/>
        </w:rPr>
        <w:t xml:space="preserve"> hormones</w:t>
      </w:r>
      <w:r w:rsidR="00BE4F18" w:rsidRPr="00AF0457">
        <w:rPr>
          <w:rStyle w:val="cf01"/>
          <w:rFonts w:asciiTheme="minorHAnsi" w:hAnsiTheme="minorHAnsi" w:cstheme="minorHAnsi"/>
          <w:bCs/>
          <w:sz w:val="22"/>
          <w:szCs w:val="22"/>
        </w:rPr>
        <w:t xml:space="preserve"> </w:t>
      </w:r>
      <w:r w:rsidR="00AF2BD2" w:rsidRPr="00AF0457">
        <w:rPr>
          <w:rStyle w:val="cf01"/>
          <w:rFonts w:asciiTheme="minorHAnsi" w:hAnsiTheme="minorHAnsi" w:cstheme="minorHAnsi"/>
          <w:bCs/>
          <w:sz w:val="22"/>
          <w:szCs w:val="22"/>
        </w:rPr>
        <w:t>on the</w:t>
      </w:r>
      <w:r w:rsidR="0074700E" w:rsidRPr="00AF0457">
        <w:rPr>
          <w:rStyle w:val="cf01"/>
          <w:rFonts w:asciiTheme="minorHAnsi" w:hAnsiTheme="minorHAnsi" w:cstheme="minorHAnsi"/>
          <w:bCs/>
          <w:sz w:val="22"/>
          <w:szCs w:val="22"/>
        </w:rPr>
        <w:t xml:space="preserve"> stages of</w:t>
      </w:r>
      <w:r w:rsidR="00AF2BD2" w:rsidRPr="00AF0457">
        <w:rPr>
          <w:rStyle w:val="cf01"/>
          <w:rFonts w:asciiTheme="minorHAnsi" w:hAnsiTheme="minorHAnsi" w:cstheme="minorHAnsi"/>
          <w:bCs/>
          <w:sz w:val="22"/>
          <w:szCs w:val="22"/>
        </w:rPr>
        <w:t xml:space="preserve"> hypertension</w:t>
      </w:r>
      <w:r w:rsidR="0074700E" w:rsidRPr="00AF0457">
        <w:rPr>
          <w:rStyle w:val="cf01"/>
          <w:rFonts w:asciiTheme="minorHAnsi" w:hAnsiTheme="minorHAnsi" w:cstheme="minorHAnsi"/>
          <w:bCs/>
          <w:sz w:val="22"/>
          <w:szCs w:val="22"/>
        </w:rPr>
        <w:t xml:space="preserve"> development</w:t>
      </w:r>
      <w:r w:rsidR="00FE5F05" w:rsidRPr="00AF0457">
        <w:rPr>
          <w:rStyle w:val="cf01"/>
          <w:rFonts w:asciiTheme="minorHAnsi" w:hAnsiTheme="minorHAnsi" w:cstheme="minorHAnsi"/>
          <w:bCs/>
          <w:sz w:val="22"/>
          <w:szCs w:val="22"/>
        </w:rPr>
        <w:t xml:space="preserve"> and BP change</w:t>
      </w:r>
      <w:r w:rsidR="00A80418" w:rsidRPr="00AF0457">
        <w:rPr>
          <w:rStyle w:val="cf01"/>
          <w:rFonts w:asciiTheme="minorHAnsi" w:hAnsiTheme="minorHAnsi" w:cstheme="minorHAnsi"/>
          <w:bCs/>
          <w:sz w:val="22"/>
          <w:szCs w:val="22"/>
        </w:rPr>
        <w:t xml:space="preserve"> ha</w:t>
      </w:r>
      <w:r w:rsidR="00763DC6" w:rsidRPr="00AF0457">
        <w:rPr>
          <w:rStyle w:val="cf01"/>
          <w:rFonts w:asciiTheme="minorHAnsi" w:hAnsiTheme="minorHAnsi" w:cstheme="minorHAnsi"/>
          <w:bCs/>
          <w:sz w:val="22"/>
          <w:szCs w:val="22"/>
        </w:rPr>
        <w:t>ve</w:t>
      </w:r>
      <w:r w:rsidR="00A80418" w:rsidRPr="00AF0457">
        <w:rPr>
          <w:rStyle w:val="cf01"/>
          <w:rFonts w:asciiTheme="minorHAnsi" w:hAnsiTheme="minorHAnsi" w:cstheme="minorHAnsi"/>
          <w:bCs/>
          <w:sz w:val="22"/>
          <w:szCs w:val="22"/>
        </w:rPr>
        <w:t xml:space="preserve"> not been explored </w:t>
      </w:r>
      <w:r w:rsidR="00986B9E" w:rsidRPr="00AF0457">
        <w:rPr>
          <w:rStyle w:val="cf01"/>
          <w:rFonts w:asciiTheme="minorHAnsi" w:hAnsiTheme="minorHAnsi" w:cstheme="minorHAnsi"/>
          <w:bCs/>
          <w:sz w:val="22"/>
          <w:szCs w:val="22"/>
        </w:rPr>
        <w:t>in longitudinal investigations</w:t>
      </w:r>
      <w:r w:rsidR="00BE4F18" w:rsidRPr="00AF0457">
        <w:rPr>
          <w:rStyle w:val="cf01"/>
          <w:rFonts w:asciiTheme="minorHAnsi" w:hAnsiTheme="minorHAnsi" w:cstheme="minorHAnsi"/>
          <w:bCs/>
          <w:sz w:val="22"/>
          <w:szCs w:val="22"/>
        </w:rPr>
        <w:t>.</w:t>
      </w:r>
    </w:p>
    <w:p w14:paraId="78087D45" w14:textId="5BAF6EF2" w:rsidR="00DF72FF" w:rsidRPr="00AF0457" w:rsidRDefault="00CB382E" w:rsidP="00CC21FA">
      <w:pPr>
        <w:spacing w:after="40" w:line="480" w:lineRule="auto"/>
        <w:ind w:firstLine="720"/>
        <w:rPr>
          <w:rFonts w:cstheme="minorHAnsi"/>
          <w:bCs/>
        </w:rPr>
      </w:pPr>
      <w:r w:rsidRPr="00AF0457">
        <w:rPr>
          <w:rFonts w:cstheme="minorHAnsi"/>
        </w:rPr>
        <w:t>The Hispanic Community Health Study/Study of Latinos (HCHS/SOL)</w:t>
      </w:r>
      <w:r w:rsidRPr="00AF0457">
        <w:rPr>
          <w:rFonts w:cstheme="minorHAnsi"/>
          <w:bCs/>
        </w:rPr>
        <w:t xml:space="preserve"> is the largest longitudinal cohort of </w:t>
      </w:r>
      <w:r w:rsidR="00DC4B16" w:rsidRPr="00AF0457">
        <w:rPr>
          <w:rFonts w:cstheme="minorHAnsi"/>
          <w:bCs/>
        </w:rPr>
        <w:t xml:space="preserve">US </w:t>
      </w:r>
      <w:r w:rsidRPr="00AF0457">
        <w:rPr>
          <w:rFonts w:cstheme="minorHAnsi"/>
          <w:bCs/>
        </w:rPr>
        <w:t xml:space="preserve">Hispanic/Latino adults and was designed to </w:t>
      </w:r>
      <w:r w:rsidR="009E1509" w:rsidRPr="00AF0457">
        <w:rPr>
          <w:rFonts w:cstheme="minorHAnsi"/>
          <w:bCs/>
        </w:rPr>
        <w:t>assess</w:t>
      </w:r>
      <w:r w:rsidRPr="00AF0457">
        <w:rPr>
          <w:rFonts w:cstheme="minorHAnsi"/>
          <w:bCs/>
        </w:rPr>
        <w:t xml:space="preserve"> the prevalence and development of </w:t>
      </w:r>
      <w:r w:rsidR="004C6916" w:rsidRPr="00AF0457">
        <w:rPr>
          <w:rFonts w:cstheme="minorHAnsi"/>
          <w:bCs/>
        </w:rPr>
        <w:t xml:space="preserve">chronic </w:t>
      </w:r>
      <w:r w:rsidRPr="00AF0457">
        <w:rPr>
          <w:rFonts w:cstheme="minorHAnsi"/>
          <w:bCs/>
        </w:rPr>
        <w:t>disease</w:t>
      </w:r>
      <w:r w:rsidR="00564549" w:rsidRPr="00AF0457">
        <w:rPr>
          <w:rFonts w:cstheme="minorHAnsi"/>
          <w:bCs/>
        </w:rPr>
        <w:t>s</w:t>
      </w:r>
      <w:r w:rsidRPr="00AF0457">
        <w:rPr>
          <w:rFonts w:cstheme="minorHAnsi"/>
          <w:bCs/>
        </w:rPr>
        <w:t xml:space="preserve"> and to d</w:t>
      </w:r>
      <w:r w:rsidR="009E1509" w:rsidRPr="00AF0457">
        <w:rPr>
          <w:rFonts w:cstheme="minorHAnsi"/>
          <w:bCs/>
        </w:rPr>
        <w:t>istinguish between</w:t>
      </w:r>
      <w:r w:rsidRPr="00AF0457">
        <w:rPr>
          <w:rFonts w:cstheme="minorHAnsi"/>
          <w:bCs/>
        </w:rPr>
        <w:t xml:space="preserve"> protective or harmful factors that influence the health of Hispanic/Latino</w:t>
      </w:r>
      <w:r w:rsidR="00D21964" w:rsidRPr="00AF0457">
        <w:rPr>
          <w:rFonts w:cstheme="minorHAnsi"/>
          <w:bCs/>
        </w:rPr>
        <w:t xml:space="preserve"> adults</w:t>
      </w:r>
      <w:r w:rsidRPr="00AF0457">
        <w:rPr>
          <w:rFonts w:cstheme="minorHAnsi"/>
          <w:bCs/>
        </w:rPr>
        <w:t>.</w:t>
      </w:r>
      <w:bookmarkStart w:id="43" w:name="_Ref106557433"/>
      <w:r w:rsidR="00D56AB8" w:rsidRPr="00AF0457">
        <w:rPr>
          <w:rStyle w:val="EndnoteAnchor"/>
          <w:rFonts w:cstheme="minorHAnsi"/>
          <w:bCs/>
        </w:rPr>
        <w:endnoteReference w:id="52"/>
      </w:r>
      <w:bookmarkEnd w:id="43"/>
      <w:r w:rsidRPr="00AF0457">
        <w:rPr>
          <w:rFonts w:cstheme="minorHAnsi"/>
          <w:bCs/>
        </w:rPr>
        <w:t xml:space="preserve"> The </w:t>
      </w:r>
      <w:r w:rsidR="00977895" w:rsidRPr="00AF0457">
        <w:rPr>
          <w:rFonts w:cstheme="minorHAnsi"/>
          <w:bCs/>
        </w:rPr>
        <w:t>current</w:t>
      </w:r>
      <w:r w:rsidRPr="00AF0457">
        <w:rPr>
          <w:rFonts w:cstheme="minorHAnsi"/>
          <w:bCs/>
        </w:rPr>
        <w:t xml:space="preserve"> ancillary study is nested within the </w:t>
      </w:r>
      <w:r w:rsidRPr="00AF0457">
        <w:rPr>
          <w:rFonts w:cstheme="minorHAnsi"/>
        </w:rPr>
        <w:t xml:space="preserve">HCHS/SOL cohort </w:t>
      </w:r>
      <w:r w:rsidR="00763DC6" w:rsidRPr="00AF0457">
        <w:rPr>
          <w:rFonts w:cstheme="minorHAnsi"/>
        </w:rPr>
        <w:t xml:space="preserve">with the </w:t>
      </w:r>
      <w:r w:rsidRPr="00AF0457">
        <w:rPr>
          <w:rFonts w:cstheme="minorHAnsi"/>
        </w:rPr>
        <w:t>addition</w:t>
      </w:r>
      <w:r w:rsidR="00763DC6" w:rsidRPr="00AF0457">
        <w:rPr>
          <w:rFonts w:cstheme="minorHAnsi"/>
        </w:rPr>
        <w:t xml:space="preserve"> of</w:t>
      </w:r>
      <w:r w:rsidR="007C18D6" w:rsidRPr="00AF0457">
        <w:rPr>
          <w:rFonts w:cstheme="minorHAnsi"/>
        </w:rPr>
        <w:t xml:space="preserve"> sex and</w:t>
      </w:r>
      <w:r w:rsidRPr="00AF0457">
        <w:rPr>
          <w:rFonts w:cstheme="minorHAnsi"/>
        </w:rPr>
        <w:t xml:space="preserve"> thyroid-related hormones</w:t>
      </w:r>
      <w:r w:rsidR="00DF72FF" w:rsidRPr="00AF0457">
        <w:rPr>
          <w:rFonts w:cstheme="minorHAnsi"/>
        </w:rPr>
        <w:t>,</w:t>
      </w:r>
      <w:r w:rsidRPr="00AF0457">
        <w:rPr>
          <w:rFonts w:cstheme="minorHAnsi"/>
        </w:rPr>
        <w:t xml:space="preserve"> which were not </w:t>
      </w:r>
      <w:r w:rsidR="00DF72FF" w:rsidRPr="00AF0457">
        <w:rPr>
          <w:rFonts w:cstheme="minorHAnsi"/>
        </w:rPr>
        <w:t xml:space="preserve">initially </w:t>
      </w:r>
      <w:r w:rsidRPr="00AF0457">
        <w:rPr>
          <w:rFonts w:cstheme="minorHAnsi"/>
        </w:rPr>
        <w:t>assessed in the</w:t>
      </w:r>
      <w:r w:rsidR="00FD0560" w:rsidRPr="00AF0457">
        <w:rPr>
          <w:rFonts w:cstheme="minorHAnsi"/>
        </w:rPr>
        <w:t xml:space="preserve"> </w:t>
      </w:r>
      <w:r w:rsidRPr="00AF0457">
        <w:rPr>
          <w:rFonts w:cstheme="minorHAnsi"/>
        </w:rPr>
        <w:t>HCHS/SOL</w:t>
      </w:r>
      <w:r w:rsidR="0028637E" w:rsidRPr="00AF0457">
        <w:rPr>
          <w:rFonts w:cstheme="minorHAnsi"/>
        </w:rPr>
        <w:t xml:space="preserve"> cohort</w:t>
      </w:r>
      <w:r w:rsidRPr="00AF0457">
        <w:rPr>
          <w:rFonts w:cstheme="minorHAnsi"/>
        </w:rPr>
        <w:t xml:space="preserve"> baseline examination</w:t>
      </w:r>
      <w:r w:rsidR="001043E2" w:rsidRPr="00AF0457">
        <w:rPr>
          <w:rFonts w:cstheme="minorHAnsi"/>
        </w:rPr>
        <w:t xml:space="preserve"> </w:t>
      </w:r>
      <w:r w:rsidR="00B61C0C" w:rsidRPr="00AF0457">
        <w:rPr>
          <w:rFonts w:cstheme="minorHAnsi"/>
        </w:rPr>
        <w:t>(V1)</w:t>
      </w:r>
      <w:r w:rsidRPr="00AF0457">
        <w:rPr>
          <w:rFonts w:cstheme="minorHAnsi"/>
        </w:rPr>
        <w:t>.</w:t>
      </w:r>
      <w:bookmarkStart w:id="44" w:name="_Ref131504117"/>
      <w:r w:rsidR="000B7B2D" w:rsidRPr="00AF0457">
        <w:rPr>
          <w:rStyle w:val="EndnoteReference"/>
          <w:rFonts w:cstheme="minorHAnsi"/>
        </w:rPr>
        <w:endnoteReference w:id="53"/>
      </w:r>
      <w:bookmarkEnd w:id="44"/>
      <w:r w:rsidR="00E14E33" w:rsidRPr="00AF0457">
        <w:rPr>
          <w:rFonts w:cstheme="minorHAnsi"/>
          <w:bCs/>
        </w:rPr>
        <w:t xml:space="preserve"> </w:t>
      </w:r>
      <w:r w:rsidRPr="00AF0457">
        <w:rPr>
          <w:rFonts w:cstheme="minorHAnsi"/>
          <w:bCs/>
        </w:rPr>
        <w:t xml:space="preserve">We </w:t>
      </w:r>
      <w:r w:rsidR="0021656C" w:rsidRPr="00AF0457">
        <w:rPr>
          <w:rFonts w:cstheme="minorHAnsi"/>
          <w:bCs/>
        </w:rPr>
        <w:t>evaluated</w:t>
      </w:r>
      <w:r w:rsidR="00E14E33" w:rsidRPr="00AF0457">
        <w:rPr>
          <w:rFonts w:cstheme="minorHAnsi"/>
          <w:bCs/>
        </w:rPr>
        <w:t xml:space="preserve"> </w:t>
      </w:r>
      <w:r w:rsidR="00CD2B09" w:rsidRPr="00AF0457">
        <w:rPr>
          <w:rFonts w:cstheme="minorHAnsi"/>
          <w:bCs/>
          <w:i/>
          <w:iCs/>
        </w:rPr>
        <w:t>a priori</w:t>
      </w:r>
      <w:r w:rsidR="00CD2B09" w:rsidRPr="00AF0457">
        <w:rPr>
          <w:rFonts w:cstheme="minorHAnsi"/>
          <w:bCs/>
        </w:rPr>
        <w:t xml:space="preserve"> sex-specific</w:t>
      </w:r>
      <w:r w:rsidR="00157B41" w:rsidRPr="00AF0457">
        <w:rPr>
          <w:rFonts w:cstheme="minorHAnsi"/>
          <w:bCs/>
        </w:rPr>
        <w:t xml:space="preserve"> </w:t>
      </w:r>
      <w:r w:rsidR="00E14E33" w:rsidRPr="00AF0457">
        <w:rPr>
          <w:rFonts w:cstheme="minorHAnsi"/>
          <w:bCs/>
        </w:rPr>
        <w:t>association</w:t>
      </w:r>
      <w:r w:rsidR="00F71784" w:rsidRPr="00AF0457">
        <w:rPr>
          <w:rFonts w:cstheme="minorHAnsi"/>
          <w:bCs/>
        </w:rPr>
        <w:t>s</w:t>
      </w:r>
      <w:r w:rsidR="00E14E33" w:rsidRPr="00AF0457">
        <w:rPr>
          <w:rFonts w:cstheme="minorHAnsi"/>
          <w:bCs/>
        </w:rPr>
        <w:t xml:space="preserve"> </w:t>
      </w:r>
      <w:r w:rsidR="00F71784" w:rsidRPr="00AF0457">
        <w:rPr>
          <w:rFonts w:cstheme="minorHAnsi"/>
          <w:bCs/>
        </w:rPr>
        <w:t xml:space="preserve">of </w:t>
      </w:r>
      <w:r w:rsidR="00693253" w:rsidRPr="00AF0457">
        <w:rPr>
          <w:rFonts w:cstheme="minorHAnsi"/>
          <w:bCs/>
        </w:rPr>
        <w:t>thyroid-related</w:t>
      </w:r>
      <w:r w:rsidR="00E14E33" w:rsidRPr="00AF0457">
        <w:rPr>
          <w:rFonts w:cstheme="minorHAnsi"/>
          <w:bCs/>
        </w:rPr>
        <w:t xml:space="preserve"> hormones </w:t>
      </w:r>
      <w:r w:rsidR="00F71784" w:rsidRPr="00AF0457">
        <w:rPr>
          <w:rFonts w:cstheme="minorHAnsi"/>
          <w:bCs/>
        </w:rPr>
        <w:t xml:space="preserve">with </w:t>
      </w:r>
      <w:r w:rsidR="00A0276E" w:rsidRPr="00AF0457">
        <w:rPr>
          <w:rStyle w:val="cf01"/>
          <w:rFonts w:asciiTheme="minorHAnsi" w:hAnsiTheme="minorHAnsi" w:cstheme="minorHAnsi"/>
          <w:bCs/>
          <w:sz w:val="22"/>
          <w:szCs w:val="22"/>
        </w:rPr>
        <w:t xml:space="preserve">stages of hypertension development </w:t>
      </w:r>
      <w:r w:rsidR="000D3D38" w:rsidRPr="00AF0457">
        <w:rPr>
          <w:rFonts w:cstheme="minorHAnsi"/>
          <w:bCs/>
        </w:rPr>
        <w:t xml:space="preserve">and </w:t>
      </w:r>
      <w:r w:rsidR="00A0276E" w:rsidRPr="00AF0457">
        <w:rPr>
          <w:rFonts w:cstheme="minorHAnsi"/>
          <w:bCs/>
        </w:rPr>
        <w:t>BP change</w:t>
      </w:r>
      <w:r w:rsidR="00E27215" w:rsidRPr="00AF0457">
        <w:rPr>
          <w:rFonts w:cstheme="minorHAnsi"/>
          <w:bCs/>
        </w:rPr>
        <w:t xml:space="preserve"> </w:t>
      </w:r>
      <w:r w:rsidR="00E14E33" w:rsidRPr="00AF0457">
        <w:rPr>
          <w:rFonts w:cstheme="minorHAnsi"/>
          <w:bCs/>
        </w:rPr>
        <w:t>in</w:t>
      </w:r>
      <w:r w:rsidR="009E05E6" w:rsidRPr="00AF0457">
        <w:rPr>
          <w:rFonts w:cstheme="minorHAnsi"/>
          <w:bCs/>
        </w:rPr>
        <w:t xml:space="preserve"> </w:t>
      </w:r>
      <w:r w:rsidR="00E14E33" w:rsidRPr="00AF0457">
        <w:rPr>
          <w:rFonts w:cstheme="minorHAnsi"/>
          <w:bCs/>
        </w:rPr>
        <w:t>Hispanic/Latino</w:t>
      </w:r>
      <w:r w:rsidR="00483327" w:rsidRPr="00AF0457">
        <w:rPr>
          <w:rFonts w:cstheme="minorHAnsi"/>
          <w:bCs/>
        </w:rPr>
        <w:t xml:space="preserve"> adults</w:t>
      </w:r>
      <w:r w:rsidR="009275D0" w:rsidRPr="00AF0457">
        <w:rPr>
          <w:rFonts w:cstheme="minorHAnsi"/>
          <w:bCs/>
        </w:rPr>
        <w:t xml:space="preserve"> after 6 years of follow-up</w:t>
      </w:r>
      <w:r w:rsidR="00F71784" w:rsidRPr="00AF0457">
        <w:rPr>
          <w:rFonts w:cstheme="minorHAnsi"/>
          <w:bCs/>
        </w:rPr>
        <w:t>.</w:t>
      </w:r>
      <w:r w:rsidR="00B3602A" w:rsidRPr="00AF0457">
        <w:rPr>
          <w:rFonts w:cstheme="minorHAnsi"/>
          <w:bCs/>
        </w:rPr>
        <w:t xml:space="preserve"> </w:t>
      </w:r>
      <w:r w:rsidR="006B5F02" w:rsidRPr="006B5F02">
        <w:rPr>
          <w:rFonts w:cstheme="minorHAnsi"/>
          <w:bCs/>
        </w:rPr>
        <w:t xml:space="preserve">Stratification by sex was conducted </w:t>
      </w:r>
      <w:r w:rsidR="006B5F02" w:rsidRPr="00ED3148">
        <w:rPr>
          <w:rFonts w:cstheme="minorHAnsi"/>
          <w:bCs/>
          <w:i/>
          <w:iCs/>
        </w:rPr>
        <w:t>a priori</w:t>
      </w:r>
      <w:r w:rsidR="006B5F02" w:rsidRPr="006B5F02">
        <w:rPr>
          <w:rFonts w:cstheme="minorHAnsi"/>
          <w:bCs/>
        </w:rPr>
        <w:t xml:space="preserve"> based on biological evidence of sex-specific differences in thyroid axis</w:t>
      </w:r>
      <w:r w:rsidR="00C96537">
        <w:rPr>
          <w:rFonts w:cstheme="minorHAnsi"/>
          <w:bCs/>
        </w:rPr>
        <w:t xml:space="preserve"> and</w:t>
      </w:r>
      <w:r w:rsidR="006B5F02" w:rsidRPr="006B5F02">
        <w:rPr>
          <w:rFonts w:cstheme="minorHAnsi"/>
          <w:bCs/>
        </w:rPr>
        <w:t xml:space="preserve"> BP regulation</w:t>
      </w:r>
      <w:r w:rsidR="00AD1A1D">
        <w:rPr>
          <w:rFonts w:cstheme="minorHAnsi"/>
          <w:bCs/>
        </w:rPr>
        <w:t>,</w:t>
      </w:r>
      <w:r w:rsidR="006B5F02" w:rsidRPr="006B5F02">
        <w:rPr>
          <w:rFonts w:cstheme="minorHAnsi"/>
          <w:bCs/>
        </w:rPr>
        <w:t xml:space="preserve"> and hypertension development.</w:t>
      </w:r>
      <w:r w:rsidR="006B5F02">
        <w:rPr>
          <w:rFonts w:cstheme="minorHAnsi"/>
          <w:bCs/>
        </w:rPr>
        <w:t xml:space="preserve"> </w:t>
      </w:r>
      <w:r w:rsidR="00B3602A" w:rsidRPr="00AF0457">
        <w:rPr>
          <w:rFonts w:cstheme="minorHAnsi"/>
          <w:bCs/>
        </w:rPr>
        <w:lastRenderedPageBreak/>
        <w:t xml:space="preserve">We </w:t>
      </w:r>
      <w:r w:rsidR="00BE4F18" w:rsidRPr="00AF0457">
        <w:rPr>
          <w:rFonts w:cstheme="minorHAnsi"/>
          <w:bCs/>
        </w:rPr>
        <w:t xml:space="preserve">expanded </w:t>
      </w:r>
      <w:r w:rsidR="00B3602A" w:rsidRPr="00AF0457">
        <w:rPr>
          <w:rFonts w:cstheme="minorHAnsi"/>
          <w:bCs/>
        </w:rPr>
        <w:t xml:space="preserve">previously reported sex-specific associations and explored </w:t>
      </w:r>
      <w:r w:rsidR="006172CD" w:rsidRPr="00AF0457">
        <w:rPr>
          <w:rFonts w:cstheme="minorHAnsi"/>
          <w:bCs/>
        </w:rPr>
        <w:t xml:space="preserve">the relationship of </w:t>
      </w:r>
      <w:r w:rsidR="006172CD" w:rsidRPr="00AF0457">
        <w:rPr>
          <w:rStyle w:val="cf01"/>
          <w:rFonts w:asciiTheme="minorHAnsi" w:hAnsiTheme="minorHAnsi" w:cstheme="minorHAnsi"/>
          <w:bCs/>
          <w:sz w:val="22"/>
          <w:szCs w:val="22"/>
        </w:rPr>
        <w:t xml:space="preserve">thyroid </w:t>
      </w:r>
      <w:r w:rsidR="00046886" w:rsidRPr="00AF0457">
        <w:rPr>
          <w:rStyle w:val="cf01"/>
          <w:rFonts w:asciiTheme="minorHAnsi" w:hAnsiTheme="minorHAnsi" w:cstheme="minorHAnsi"/>
          <w:bCs/>
          <w:sz w:val="22"/>
          <w:szCs w:val="22"/>
        </w:rPr>
        <w:t>axis</w:t>
      </w:r>
      <w:r w:rsidR="006172CD" w:rsidRPr="00AF0457">
        <w:rPr>
          <w:rStyle w:val="cf01"/>
          <w:rFonts w:asciiTheme="minorHAnsi" w:hAnsiTheme="minorHAnsi" w:cstheme="minorHAnsi"/>
          <w:bCs/>
          <w:sz w:val="22"/>
          <w:szCs w:val="22"/>
        </w:rPr>
        <w:t xml:space="preserve"> regulation</w:t>
      </w:r>
      <w:r w:rsidR="00B3602A" w:rsidRPr="00AF0457">
        <w:rPr>
          <w:rFonts w:cstheme="minorHAnsi"/>
          <w:bCs/>
        </w:rPr>
        <w:t xml:space="preserve"> with</w:t>
      </w:r>
      <w:r w:rsidR="00060EFC" w:rsidRPr="00AF0457">
        <w:rPr>
          <w:rFonts w:cstheme="minorHAnsi"/>
          <w:bCs/>
        </w:rPr>
        <w:t xml:space="preserve"> BP change and </w:t>
      </w:r>
      <w:r w:rsidR="00B3602A" w:rsidRPr="00AF0457">
        <w:rPr>
          <w:rFonts w:cstheme="minorHAnsi"/>
          <w:bCs/>
        </w:rPr>
        <w:t>hypertension development.</w:t>
      </w:r>
    </w:p>
    <w:p w14:paraId="4811F2C7" w14:textId="01E2E219" w:rsidR="000207A5" w:rsidRPr="00AF0457" w:rsidRDefault="000207A5" w:rsidP="00CC21FA">
      <w:pPr>
        <w:spacing w:before="240" w:after="40" w:line="480" w:lineRule="auto"/>
        <w:rPr>
          <w:rFonts w:cstheme="minorHAnsi"/>
          <w:b/>
          <w:bCs/>
        </w:rPr>
      </w:pPr>
      <w:r w:rsidRPr="00AF0457">
        <w:rPr>
          <w:rFonts w:cstheme="minorHAnsi"/>
          <w:b/>
          <w:bCs/>
        </w:rPr>
        <w:t>Methods</w:t>
      </w:r>
    </w:p>
    <w:p w14:paraId="739BA557" w14:textId="098699FC" w:rsidR="000207A5" w:rsidRPr="00AF0457" w:rsidRDefault="000207A5" w:rsidP="00CC21FA">
      <w:pPr>
        <w:spacing w:after="40" w:line="480" w:lineRule="auto"/>
        <w:rPr>
          <w:rFonts w:cstheme="minorHAnsi"/>
          <w:b/>
          <w:bCs/>
        </w:rPr>
      </w:pPr>
      <w:r w:rsidRPr="00AF0457">
        <w:rPr>
          <w:rFonts w:cstheme="minorHAnsi"/>
          <w:b/>
          <w:bCs/>
        </w:rPr>
        <w:t xml:space="preserve">Study </w:t>
      </w:r>
      <w:r w:rsidR="0065007D" w:rsidRPr="00AF0457">
        <w:rPr>
          <w:rFonts w:cstheme="minorHAnsi"/>
          <w:b/>
          <w:bCs/>
        </w:rPr>
        <w:t>p</w:t>
      </w:r>
      <w:r w:rsidRPr="00AF0457">
        <w:rPr>
          <w:rFonts w:cstheme="minorHAnsi"/>
          <w:b/>
          <w:bCs/>
        </w:rPr>
        <w:t>opulation</w:t>
      </w:r>
    </w:p>
    <w:p w14:paraId="1FE47B87" w14:textId="167F13C5" w:rsidR="008072DD" w:rsidRPr="00AF0457" w:rsidRDefault="009442A0" w:rsidP="00CC21FA">
      <w:pPr>
        <w:spacing w:after="40" w:line="480" w:lineRule="auto"/>
        <w:rPr>
          <w:rFonts w:cstheme="minorHAnsi"/>
        </w:rPr>
      </w:pPr>
      <w:r w:rsidRPr="00AF0457">
        <w:rPr>
          <w:rFonts w:cstheme="minorHAnsi"/>
        </w:rPr>
        <w:t xml:space="preserve">Our study analyzed a subsample of the HCHS/SOL from the ancillary study “Persistent Organic Pollutants, Endogenous Hormones, and Diabetes in Latinos.” </w:t>
      </w:r>
      <w:r w:rsidR="000207A5" w:rsidRPr="00AF0457">
        <w:rPr>
          <w:rFonts w:cstheme="minorHAnsi"/>
        </w:rPr>
        <w:t>A full description of the HCHS/SOL study methods and details of the database has been described elsew</w:t>
      </w:r>
      <w:r w:rsidR="0039568F" w:rsidRPr="00AF0457">
        <w:rPr>
          <w:rFonts w:cstheme="minorHAnsi"/>
        </w:rPr>
        <w:t>here.</w:t>
      </w:r>
      <w:r w:rsidR="00D56AB8" w:rsidRPr="00AF0457">
        <w:rPr>
          <w:rFonts w:cstheme="minorHAnsi"/>
          <w:vertAlign w:val="superscript"/>
        </w:rPr>
        <w:fldChar w:fldCharType="begin"/>
      </w:r>
      <w:r w:rsidR="00D56AB8" w:rsidRPr="00AF0457">
        <w:rPr>
          <w:rFonts w:cstheme="minorHAnsi"/>
          <w:vertAlign w:val="superscript"/>
        </w:rPr>
        <w:instrText xml:space="preserve"> NOTEREF _Ref106557433 \h  \* MERGEFORMAT </w:instrText>
      </w:r>
      <w:r w:rsidR="00D56AB8" w:rsidRPr="00AF0457">
        <w:rPr>
          <w:rFonts w:cstheme="minorHAnsi"/>
          <w:vertAlign w:val="superscript"/>
        </w:rPr>
      </w:r>
      <w:r w:rsidR="00D56AB8" w:rsidRPr="00AF0457">
        <w:rPr>
          <w:rFonts w:cstheme="minorHAnsi"/>
          <w:vertAlign w:val="superscript"/>
        </w:rPr>
        <w:fldChar w:fldCharType="separate"/>
      </w:r>
      <w:r w:rsidR="000F6C53">
        <w:rPr>
          <w:rFonts w:cstheme="minorHAnsi"/>
          <w:vertAlign w:val="superscript"/>
        </w:rPr>
        <w:t>51</w:t>
      </w:r>
      <w:r w:rsidR="00D56AB8" w:rsidRPr="00AF0457">
        <w:rPr>
          <w:rFonts w:cstheme="minorHAnsi"/>
          <w:vertAlign w:val="superscript"/>
        </w:rPr>
        <w:fldChar w:fldCharType="end"/>
      </w:r>
      <w:r w:rsidR="000207A5" w:rsidRPr="00AF0457">
        <w:rPr>
          <w:rFonts w:cstheme="minorHAnsi"/>
        </w:rPr>
        <w:t xml:space="preserve"> Briefly, HCHS/SOL is a multicenter community-based cohort study</w:t>
      </w:r>
      <w:r w:rsidR="00256AA6" w:rsidRPr="00AF0457">
        <w:rPr>
          <w:rFonts w:cstheme="minorHAnsi"/>
        </w:rPr>
        <w:t xml:space="preserve"> that recruited</w:t>
      </w:r>
      <w:r w:rsidR="000207A5" w:rsidRPr="00AF0457">
        <w:rPr>
          <w:rFonts w:cstheme="minorHAnsi"/>
        </w:rPr>
        <w:t xml:space="preserve"> 16,145 Hispanic/Latino </w:t>
      </w:r>
      <w:r w:rsidR="00256AA6" w:rsidRPr="00AF0457">
        <w:rPr>
          <w:rFonts w:cstheme="minorHAnsi"/>
        </w:rPr>
        <w:t xml:space="preserve">individuals </w:t>
      </w:r>
      <w:r w:rsidR="000207A5" w:rsidRPr="00AF0457">
        <w:rPr>
          <w:rFonts w:cstheme="minorHAnsi"/>
        </w:rPr>
        <w:t xml:space="preserve">from four US urban areas </w:t>
      </w:r>
      <w:r w:rsidR="001B5B21" w:rsidRPr="00AF0457">
        <w:rPr>
          <w:rFonts w:cstheme="minorHAnsi"/>
        </w:rPr>
        <w:t>(Bronx</w:t>
      </w:r>
      <w:r w:rsidR="001B5B21">
        <w:rPr>
          <w:rFonts w:cstheme="minorHAnsi"/>
        </w:rPr>
        <w:t>,</w:t>
      </w:r>
      <w:r w:rsidR="001B5B21" w:rsidRPr="00AF0457">
        <w:rPr>
          <w:rFonts w:cstheme="minorHAnsi"/>
        </w:rPr>
        <w:t xml:space="preserve"> N</w:t>
      </w:r>
      <w:r w:rsidR="001B5B21">
        <w:rPr>
          <w:rFonts w:cstheme="minorHAnsi"/>
        </w:rPr>
        <w:t xml:space="preserve">ew </w:t>
      </w:r>
      <w:r w:rsidR="001B5B21" w:rsidRPr="00AF0457">
        <w:rPr>
          <w:rFonts w:cstheme="minorHAnsi"/>
        </w:rPr>
        <w:t>Y</w:t>
      </w:r>
      <w:r w:rsidR="001B5B21">
        <w:rPr>
          <w:rFonts w:cstheme="minorHAnsi"/>
        </w:rPr>
        <w:t>ork (NY);</w:t>
      </w:r>
      <w:r w:rsidR="001B5B21" w:rsidRPr="00AF0457">
        <w:rPr>
          <w:rFonts w:cstheme="minorHAnsi"/>
        </w:rPr>
        <w:t xml:space="preserve"> Miami</w:t>
      </w:r>
      <w:r w:rsidR="001B5B21">
        <w:rPr>
          <w:rFonts w:cstheme="minorHAnsi"/>
        </w:rPr>
        <w:t>,</w:t>
      </w:r>
      <w:r w:rsidR="001B5B21" w:rsidRPr="00AF0457">
        <w:rPr>
          <w:rFonts w:cstheme="minorHAnsi"/>
        </w:rPr>
        <w:t xml:space="preserve"> F</w:t>
      </w:r>
      <w:r w:rsidR="001B5B21">
        <w:rPr>
          <w:rFonts w:cstheme="minorHAnsi"/>
        </w:rPr>
        <w:t>lorida (FL);</w:t>
      </w:r>
      <w:r w:rsidR="001B5B21" w:rsidRPr="00AF0457">
        <w:rPr>
          <w:rFonts w:cstheme="minorHAnsi"/>
        </w:rPr>
        <w:t xml:space="preserve"> Chicago</w:t>
      </w:r>
      <w:r w:rsidR="001B5B21">
        <w:rPr>
          <w:rFonts w:cstheme="minorHAnsi"/>
        </w:rPr>
        <w:t>,</w:t>
      </w:r>
      <w:r w:rsidR="001B5B21" w:rsidRPr="00AF0457">
        <w:rPr>
          <w:rFonts w:cstheme="minorHAnsi"/>
        </w:rPr>
        <w:t xml:space="preserve"> I</w:t>
      </w:r>
      <w:r w:rsidR="001B5B21">
        <w:rPr>
          <w:rFonts w:cstheme="minorHAnsi"/>
        </w:rPr>
        <w:t>llinois (IL);</w:t>
      </w:r>
      <w:r w:rsidR="001B5B21" w:rsidRPr="00AF0457">
        <w:rPr>
          <w:rFonts w:cstheme="minorHAnsi"/>
        </w:rPr>
        <w:t xml:space="preserve"> and San Diego</w:t>
      </w:r>
      <w:r w:rsidR="001B5B21">
        <w:rPr>
          <w:rFonts w:cstheme="minorHAnsi"/>
        </w:rPr>
        <w:t>,</w:t>
      </w:r>
      <w:r w:rsidR="001B5B21" w:rsidRPr="00AF0457">
        <w:rPr>
          <w:rFonts w:cstheme="minorHAnsi"/>
        </w:rPr>
        <w:t xml:space="preserve"> C</w:t>
      </w:r>
      <w:r w:rsidR="001B5B21">
        <w:rPr>
          <w:rFonts w:cstheme="minorHAnsi"/>
        </w:rPr>
        <w:t>alifornia (CA)</w:t>
      </w:r>
      <w:r w:rsidR="001B5B21" w:rsidRPr="00AF0457">
        <w:rPr>
          <w:rFonts w:cstheme="minorHAnsi"/>
        </w:rPr>
        <w:t>)</w:t>
      </w:r>
      <w:r w:rsidR="001B5B21">
        <w:rPr>
          <w:rFonts w:cstheme="minorHAnsi"/>
        </w:rPr>
        <w:t xml:space="preserve"> </w:t>
      </w:r>
      <w:r w:rsidR="002873A7" w:rsidRPr="00AF0457">
        <w:rPr>
          <w:rFonts w:cstheme="minorHAnsi"/>
        </w:rPr>
        <w:t>through a multi-stage complex survey sampling design</w:t>
      </w:r>
      <w:r w:rsidR="00256AA6" w:rsidRPr="00AF0457">
        <w:rPr>
          <w:rFonts w:cstheme="minorHAnsi"/>
        </w:rPr>
        <w:t>.</w:t>
      </w:r>
      <w:r w:rsidR="000207A5" w:rsidRPr="00AF0457">
        <w:rPr>
          <w:rFonts w:cstheme="minorHAnsi"/>
        </w:rPr>
        <w:t xml:space="preserve"> </w:t>
      </w:r>
      <w:r w:rsidR="00765DFE" w:rsidRPr="00AF0457">
        <w:rPr>
          <w:rFonts w:cstheme="minorHAnsi"/>
        </w:rPr>
        <w:t>B</w:t>
      </w:r>
      <w:r w:rsidR="000207A5" w:rsidRPr="00AF0457">
        <w:rPr>
          <w:rFonts w:cstheme="minorHAnsi"/>
        </w:rPr>
        <w:t>aseline examination</w:t>
      </w:r>
      <w:r w:rsidR="00765DFE" w:rsidRPr="00AF0457">
        <w:rPr>
          <w:rFonts w:cstheme="minorHAnsi"/>
        </w:rPr>
        <w:t xml:space="preserve"> conducted</w:t>
      </w:r>
      <w:r w:rsidR="000207A5" w:rsidRPr="00AF0457">
        <w:rPr>
          <w:rFonts w:cstheme="minorHAnsi"/>
        </w:rPr>
        <w:t xml:space="preserve"> between 2008 – 2011 collected information on socio-demographic characteristics, lifestyle and clinical factors, and medical history of participants. The first re-examination with an average follow-up of 6 years occurred between 2014 – 2017 and collected information on</w:t>
      </w:r>
      <w:r w:rsidR="00281CFF" w:rsidRPr="00AF0457">
        <w:rPr>
          <w:rFonts w:cstheme="minorHAnsi"/>
        </w:rPr>
        <w:t xml:space="preserve"> sociodemographic characteristics,</w:t>
      </w:r>
      <w:r w:rsidR="000207A5" w:rsidRPr="00AF0457">
        <w:rPr>
          <w:rFonts w:cstheme="minorHAnsi"/>
        </w:rPr>
        <w:t xml:space="preserve"> repeat lifestyle and clinical factors,</w:t>
      </w:r>
      <w:r w:rsidR="00281CFF" w:rsidRPr="00AF0457">
        <w:rPr>
          <w:rFonts w:cstheme="minorHAnsi"/>
        </w:rPr>
        <w:t xml:space="preserve"> and</w:t>
      </w:r>
      <w:r w:rsidR="000207A5" w:rsidRPr="00AF0457">
        <w:rPr>
          <w:rFonts w:cstheme="minorHAnsi"/>
        </w:rPr>
        <w:t xml:space="preserve"> medical history.</w:t>
      </w:r>
      <w:r w:rsidR="00617710" w:rsidRPr="00AF0457">
        <w:rPr>
          <w:rFonts w:cstheme="minorHAnsi"/>
        </w:rPr>
        <w:t xml:space="preserve"> I</w:t>
      </w:r>
      <w:r w:rsidR="00765DFE" w:rsidRPr="00AF0457">
        <w:rPr>
          <w:rFonts w:cstheme="minorHAnsi"/>
        </w:rPr>
        <w:t xml:space="preserve">nformed consent and </w:t>
      </w:r>
      <w:r w:rsidR="00143168" w:rsidRPr="00AF0457">
        <w:rPr>
          <w:rFonts w:cstheme="minorHAnsi"/>
        </w:rPr>
        <w:t>I</w:t>
      </w:r>
      <w:r w:rsidR="00617710" w:rsidRPr="00AF0457">
        <w:rPr>
          <w:rFonts w:cstheme="minorHAnsi"/>
        </w:rPr>
        <w:t>nstitutional Review Board approval was obtained at each field center, the coordinating center and the central laboratory</w:t>
      </w:r>
      <w:r w:rsidR="00B250F9" w:rsidRPr="00AF0457">
        <w:rPr>
          <w:rFonts w:cstheme="minorHAnsi"/>
        </w:rPr>
        <w:t xml:space="preserve"> of the HCHS/SOL study</w:t>
      </w:r>
      <w:r w:rsidR="00617710" w:rsidRPr="00AF0457">
        <w:rPr>
          <w:rFonts w:cstheme="minorHAnsi"/>
        </w:rPr>
        <w:t>.</w:t>
      </w:r>
    </w:p>
    <w:p w14:paraId="22873733" w14:textId="55CE5979" w:rsidR="00C57B56" w:rsidRPr="00AF0457" w:rsidRDefault="009D4F8C" w:rsidP="00CC21FA">
      <w:pPr>
        <w:spacing w:after="40" w:line="480" w:lineRule="auto"/>
        <w:ind w:firstLine="720"/>
        <w:rPr>
          <w:rFonts w:cstheme="minorHAnsi"/>
          <w:b/>
          <w:bCs/>
        </w:rPr>
      </w:pPr>
      <w:r w:rsidRPr="00AF0457">
        <w:rPr>
          <w:rFonts w:cstheme="minorHAnsi"/>
        </w:rPr>
        <w:t>Details of t</w:t>
      </w:r>
      <w:r w:rsidR="000207A5" w:rsidRPr="00AF0457">
        <w:rPr>
          <w:rFonts w:cstheme="minorHAnsi"/>
        </w:rPr>
        <w:t>he ancillary study</w:t>
      </w:r>
      <w:r w:rsidRPr="00AF0457">
        <w:rPr>
          <w:rFonts w:cstheme="minorHAnsi"/>
        </w:rPr>
        <w:t xml:space="preserve"> ha</w:t>
      </w:r>
      <w:r w:rsidR="00435D6B" w:rsidRPr="00AF0457">
        <w:rPr>
          <w:rFonts w:cstheme="minorHAnsi"/>
        </w:rPr>
        <w:t>s</w:t>
      </w:r>
      <w:r w:rsidRPr="00AF0457">
        <w:rPr>
          <w:rFonts w:cstheme="minorHAnsi"/>
        </w:rPr>
        <w:t xml:space="preserve"> been</w:t>
      </w:r>
      <w:r w:rsidR="00435D6B" w:rsidRPr="00AF0457">
        <w:rPr>
          <w:rFonts w:cstheme="minorHAnsi"/>
        </w:rPr>
        <w:t xml:space="preserve"> previously</w:t>
      </w:r>
      <w:r w:rsidRPr="00AF0457">
        <w:rPr>
          <w:rFonts w:cstheme="minorHAnsi"/>
        </w:rPr>
        <w:t xml:space="preserve"> described.</w:t>
      </w:r>
      <w:r w:rsidR="000B7B2D" w:rsidRPr="00AF0457">
        <w:rPr>
          <w:rFonts w:cstheme="minorHAnsi"/>
          <w:vertAlign w:val="superscript"/>
        </w:rPr>
        <w:fldChar w:fldCharType="begin"/>
      </w:r>
      <w:r w:rsidR="000B7B2D" w:rsidRPr="00AF0457">
        <w:rPr>
          <w:rFonts w:cstheme="minorHAnsi"/>
          <w:vertAlign w:val="superscript"/>
        </w:rPr>
        <w:instrText xml:space="preserve"> NOTEREF _Ref131504117 \h  \* MERGEFORMAT </w:instrText>
      </w:r>
      <w:r w:rsidR="000B7B2D" w:rsidRPr="00AF0457">
        <w:rPr>
          <w:rFonts w:cstheme="minorHAnsi"/>
          <w:vertAlign w:val="superscript"/>
        </w:rPr>
      </w:r>
      <w:r w:rsidR="000B7B2D" w:rsidRPr="00AF0457">
        <w:rPr>
          <w:rFonts w:cstheme="minorHAnsi"/>
          <w:vertAlign w:val="superscript"/>
        </w:rPr>
        <w:fldChar w:fldCharType="separate"/>
      </w:r>
      <w:r w:rsidR="000F6C53">
        <w:rPr>
          <w:rFonts w:cstheme="minorHAnsi"/>
          <w:vertAlign w:val="superscript"/>
        </w:rPr>
        <w:t>52</w:t>
      </w:r>
      <w:r w:rsidR="000B7B2D" w:rsidRPr="00AF0457">
        <w:rPr>
          <w:rFonts w:cstheme="minorHAnsi"/>
          <w:vertAlign w:val="superscript"/>
        </w:rPr>
        <w:fldChar w:fldCharType="end"/>
      </w:r>
      <w:r w:rsidR="003B0198" w:rsidRPr="00AF0457">
        <w:rPr>
          <w:rFonts w:cstheme="minorHAnsi"/>
        </w:rPr>
        <w:t xml:space="preserve"> </w:t>
      </w:r>
      <w:r w:rsidR="00DE589C" w:rsidRPr="00AF0457">
        <w:rPr>
          <w:rFonts w:cstheme="minorHAnsi"/>
        </w:rPr>
        <w:t xml:space="preserve">The ancillary study selected </w:t>
      </w:r>
      <w:r w:rsidR="000207A5" w:rsidRPr="00AF0457">
        <w:rPr>
          <w:rFonts w:cstheme="minorHAnsi"/>
        </w:rPr>
        <w:t>2,350 participants age</w:t>
      </w:r>
      <w:r w:rsidR="002C2D01" w:rsidRPr="00AF0457">
        <w:rPr>
          <w:rFonts w:cstheme="minorHAnsi"/>
        </w:rPr>
        <w:t xml:space="preserve">s </w:t>
      </w:r>
      <w:r w:rsidR="000207A5" w:rsidRPr="00AF0457">
        <w:rPr>
          <w:rFonts w:cstheme="minorHAnsi"/>
        </w:rPr>
        <w:t>45-74 years</w:t>
      </w:r>
      <w:r w:rsidR="00DE589C" w:rsidRPr="00AF0457">
        <w:rPr>
          <w:rFonts w:cstheme="minorHAnsi"/>
        </w:rPr>
        <w:t xml:space="preserve"> </w:t>
      </w:r>
      <w:r w:rsidR="00D23EA8" w:rsidRPr="00AF0457">
        <w:rPr>
          <w:rFonts w:cstheme="minorHAnsi"/>
        </w:rPr>
        <w:t>returning for the first 6-year follow-up reexamination (V2)</w:t>
      </w:r>
      <w:r w:rsidR="003A579D" w:rsidRPr="00AF0457">
        <w:rPr>
          <w:rFonts w:cstheme="minorHAnsi"/>
        </w:rPr>
        <w:t xml:space="preserve"> </w:t>
      </w:r>
      <w:r w:rsidR="002873A7" w:rsidRPr="00AF0457">
        <w:rPr>
          <w:rFonts w:cstheme="minorHAnsi"/>
        </w:rPr>
        <w:t>with stratification conducted based on sex and glucose levels at V1</w:t>
      </w:r>
      <w:r w:rsidR="00C67C64" w:rsidRPr="00AF0457">
        <w:rPr>
          <w:rFonts w:cstheme="minorHAnsi"/>
        </w:rPr>
        <w:t>,</w:t>
      </w:r>
      <w:r w:rsidR="00D946A3" w:rsidRPr="00AF0457">
        <w:rPr>
          <w:rFonts w:cstheme="minorHAnsi"/>
        </w:rPr>
        <w:t xml:space="preserve"> and progression to diabetes at V2 from prediabetes at V1 as described in our previous paper</w:t>
      </w:r>
      <w:r w:rsidR="002873A7" w:rsidRPr="00AF0457">
        <w:rPr>
          <w:rFonts w:cstheme="minorHAnsi"/>
        </w:rPr>
        <w:t>.</w:t>
      </w:r>
      <w:r w:rsidR="00046C7B">
        <w:rPr>
          <w:rFonts w:cstheme="minorHAnsi"/>
        </w:rPr>
        <w:t xml:space="preserve"> </w:t>
      </w:r>
      <w:r w:rsidR="001D74BB" w:rsidRPr="00AF0457">
        <w:rPr>
          <w:rFonts w:cstheme="minorHAnsi"/>
        </w:rPr>
        <w:t xml:space="preserve">The exclusion criteria for </w:t>
      </w:r>
      <w:r w:rsidR="000207A5" w:rsidRPr="00AF0457">
        <w:rPr>
          <w:rFonts w:cstheme="minorHAnsi"/>
        </w:rPr>
        <w:t xml:space="preserve">the ancillary study </w:t>
      </w:r>
      <w:r w:rsidR="001D74BB" w:rsidRPr="00AF0457">
        <w:rPr>
          <w:rFonts w:cstheme="minorHAnsi"/>
        </w:rPr>
        <w:t>included: participants who did</w:t>
      </w:r>
      <w:r w:rsidR="000207A5" w:rsidRPr="00AF0457">
        <w:rPr>
          <w:rFonts w:cstheme="minorHAnsi"/>
        </w:rPr>
        <w:t xml:space="preserve"> not provide consent, had diabetes at V1, had no lipid measurements at V1, or were &lt; 45 or &gt; 74 years.</w:t>
      </w:r>
      <w:r w:rsidR="007422A6" w:rsidRPr="00ED3148">
        <w:rPr>
          <w:rFonts w:cstheme="minorHAnsi"/>
          <w:vertAlign w:val="superscript"/>
        </w:rPr>
        <w:fldChar w:fldCharType="begin"/>
      </w:r>
      <w:r w:rsidR="007422A6" w:rsidRPr="00ED3148">
        <w:rPr>
          <w:rFonts w:cstheme="minorHAnsi"/>
          <w:vertAlign w:val="superscript"/>
        </w:rPr>
        <w:instrText xml:space="preserve"> NOTEREF _Ref158720343 \h </w:instrText>
      </w:r>
      <w:r w:rsidR="007422A6">
        <w:rPr>
          <w:rFonts w:cstheme="minorHAnsi"/>
          <w:vertAlign w:val="superscript"/>
        </w:rPr>
        <w:instrText xml:space="preserve"> \* MERGEFORMAT </w:instrText>
      </w:r>
      <w:r w:rsidR="007422A6" w:rsidRPr="00ED3148">
        <w:rPr>
          <w:rFonts w:cstheme="minorHAnsi"/>
          <w:vertAlign w:val="superscript"/>
        </w:rPr>
      </w:r>
      <w:r w:rsidR="007422A6" w:rsidRPr="00ED3148">
        <w:rPr>
          <w:rFonts w:cstheme="minorHAnsi"/>
          <w:vertAlign w:val="superscript"/>
        </w:rPr>
        <w:fldChar w:fldCharType="separate"/>
      </w:r>
      <w:r w:rsidR="000F6C53">
        <w:rPr>
          <w:rFonts w:cstheme="minorHAnsi"/>
          <w:vertAlign w:val="superscript"/>
        </w:rPr>
        <w:t>50</w:t>
      </w:r>
      <w:r w:rsidR="007422A6" w:rsidRPr="00ED3148">
        <w:rPr>
          <w:rFonts w:cstheme="minorHAnsi"/>
          <w:vertAlign w:val="superscript"/>
        </w:rPr>
        <w:fldChar w:fldCharType="end"/>
      </w:r>
      <w:r w:rsidR="007422A6" w:rsidRPr="00ED3148">
        <w:rPr>
          <w:rFonts w:cstheme="minorHAnsi"/>
          <w:vertAlign w:val="superscript"/>
        </w:rPr>
        <w:t>,</w:t>
      </w:r>
      <w:r w:rsidR="00E21684" w:rsidRPr="00AF0457">
        <w:rPr>
          <w:rFonts w:cstheme="minorHAnsi"/>
          <w:vertAlign w:val="superscript"/>
        </w:rPr>
        <w:fldChar w:fldCharType="begin"/>
      </w:r>
      <w:r w:rsidR="00E21684" w:rsidRPr="00AF0457">
        <w:rPr>
          <w:rFonts w:cstheme="minorHAnsi"/>
          <w:vertAlign w:val="superscript"/>
        </w:rPr>
        <w:instrText xml:space="preserve"> NOTEREF _Ref131504117 \h  \* MERGEFORMAT </w:instrText>
      </w:r>
      <w:r w:rsidR="00E21684" w:rsidRPr="00AF0457">
        <w:rPr>
          <w:rFonts w:cstheme="minorHAnsi"/>
          <w:vertAlign w:val="superscript"/>
        </w:rPr>
      </w:r>
      <w:r w:rsidR="00E21684" w:rsidRPr="00AF0457">
        <w:rPr>
          <w:rFonts w:cstheme="minorHAnsi"/>
          <w:vertAlign w:val="superscript"/>
        </w:rPr>
        <w:fldChar w:fldCharType="separate"/>
      </w:r>
      <w:r w:rsidR="000F6C53">
        <w:rPr>
          <w:rFonts w:cstheme="minorHAnsi"/>
          <w:vertAlign w:val="superscript"/>
        </w:rPr>
        <w:t>52</w:t>
      </w:r>
      <w:r w:rsidR="00E21684" w:rsidRPr="00AF0457">
        <w:rPr>
          <w:rFonts w:cstheme="minorHAnsi"/>
          <w:vertAlign w:val="superscript"/>
        </w:rPr>
        <w:fldChar w:fldCharType="end"/>
      </w:r>
      <w:r w:rsidR="00E21684" w:rsidRPr="00AF0457">
        <w:rPr>
          <w:rFonts w:cstheme="minorHAnsi"/>
        </w:rPr>
        <w:t xml:space="preserve"> </w:t>
      </w:r>
      <w:r w:rsidR="00917099">
        <w:rPr>
          <w:rFonts w:cstheme="minorHAnsi"/>
        </w:rPr>
        <w:t>W</w:t>
      </w:r>
      <w:r w:rsidR="00E21684" w:rsidRPr="00AF0457">
        <w:rPr>
          <w:rFonts w:cstheme="minorHAnsi"/>
        </w:rPr>
        <w:t>e</w:t>
      </w:r>
      <w:r w:rsidR="002779A7" w:rsidRPr="00AF0457">
        <w:rPr>
          <w:rFonts w:cstheme="minorHAnsi"/>
        </w:rPr>
        <w:t xml:space="preserve"> excluded</w:t>
      </w:r>
      <w:r w:rsidR="006D250C" w:rsidRPr="00AF0457">
        <w:rPr>
          <w:rFonts w:cstheme="minorHAnsi"/>
        </w:rPr>
        <w:t xml:space="preserve"> peri/pre-menopausal women</w:t>
      </w:r>
      <w:r w:rsidR="00EE1D01" w:rsidRPr="00AF0457">
        <w:rPr>
          <w:rFonts w:cstheme="minorHAnsi"/>
        </w:rPr>
        <w:t xml:space="preserve"> (n=363) </w:t>
      </w:r>
      <w:r w:rsidR="00ED240A" w:rsidRPr="00ED240A">
        <w:rPr>
          <w:rFonts w:cstheme="minorHAnsi"/>
        </w:rPr>
        <w:t>focusing on high-risk postmenopausal women to provide a clearer understanding of the pathways influencing the development of hypertension within this high-risk group</w:t>
      </w:r>
      <w:r w:rsidR="00EF6EC3">
        <w:rPr>
          <w:rFonts w:cstheme="minorHAnsi"/>
        </w:rPr>
        <w:t xml:space="preserve"> and </w:t>
      </w:r>
      <w:r w:rsidR="00E40FC9">
        <w:rPr>
          <w:rFonts w:cstheme="minorHAnsi"/>
        </w:rPr>
        <w:t xml:space="preserve">to </w:t>
      </w:r>
      <w:r w:rsidR="00EF6EC3">
        <w:rPr>
          <w:rFonts w:cstheme="minorHAnsi"/>
        </w:rPr>
        <w:t>limit</w:t>
      </w:r>
      <w:r w:rsidR="00E40FC9">
        <w:rPr>
          <w:rFonts w:cstheme="minorHAnsi"/>
        </w:rPr>
        <w:t xml:space="preserve"> the</w:t>
      </w:r>
      <w:r w:rsidR="00EF6EC3">
        <w:rPr>
          <w:rFonts w:cstheme="minorHAnsi"/>
        </w:rPr>
        <w:t xml:space="preserve"> confounding </w:t>
      </w:r>
      <w:r w:rsidR="00E40FC9">
        <w:rPr>
          <w:rFonts w:cstheme="minorHAnsi"/>
        </w:rPr>
        <w:t>effect of</w:t>
      </w:r>
      <w:r w:rsidR="00EF6EC3">
        <w:rPr>
          <w:rFonts w:cstheme="minorHAnsi"/>
        </w:rPr>
        <w:t xml:space="preserve"> estrogen secretion on thyroid hormone measures</w:t>
      </w:r>
      <w:r w:rsidR="00ED240A">
        <w:rPr>
          <w:rFonts w:cstheme="minorHAnsi"/>
        </w:rPr>
        <w:t>.</w:t>
      </w:r>
      <w:r w:rsidR="00083BF4" w:rsidRPr="00ED3148">
        <w:rPr>
          <w:rFonts w:cstheme="minorHAnsi"/>
          <w:vertAlign w:val="superscript"/>
        </w:rPr>
        <w:fldChar w:fldCharType="begin"/>
      </w:r>
      <w:r w:rsidR="00083BF4" w:rsidRPr="00ED3148">
        <w:rPr>
          <w:rFonts w:cstheme="minorHAnsi"/>
          <w:vertAlign w:val="superscript"/>
        </w:rPr>
        <w:instrText xml:space="preserve"> NOTEREF _Ref158654080 \h </w:instrText>
      </w:r>
      <w:r w:rsidR="00083BF4">
        <w:rPr>
          <w:rFonts w:cstheme="minorHAnsi"/>
          <w:vertAlign w:val="superscript"/>
        </w:rPr>
        <w:instrText xml:space="preserve"> \* MERGEFORMAT </w:instrText>
      </w:r>
      <w:r w:rsidR="00083BF4" w:rsidRPr="00ED3148">
        <w:rPr>
          <w:rFonts w:cstheme="minorHAnsi"/>
          <w:vertAlign w:val="superscript"/>
        </w:rPr>
      </w:r>
      <w:r w:rsidR="00083BF4" w:rsidRPr="00ED3148">
        <w:rPr>
          <w:rFonts w:cstheme="minorHAnsi"/>
          <w:vertAlign w:val="superscript"/>
        </w:rPr>
        <w:fldChar w:fldCharType="separate"/>
      </w:r>
      <w:r w:rsidR="000F6C53">
        <w:rPr>
          <w:rFonts w:cstheme="minorHAnsi"/>
          <w:vertAlign w:val="superscript"/>
        </w:rPr>
        <w:t>15</w:t>
      </w:r>
      <w:r w:rsidR="00083BF4" w:rsidRPr="00ED3148">
        <w:rPr>
          <w:rFonts w:cstheme="minorHAnsi"/>
          <w:vertAlign w:val="superscript"/>
        </w:rPr>
        <w:fldChar w:fldCharType="end"/>
      </w:r>
      <w:r w:rsidR="00083BF4" w:rsidRPr="00ED3148">
        <w:rPr>
          <w:rFonts w:cstheme="minorHAnsi"/>
          <w:vertAlign w:val="superscript"/>
        </w:rPr>
        <w:t>,</w:t>
      </w:r>
      <w:r w:rsidR="0085762A">
        <w:rPr>
          <w:rStyle w:val="EndnoteReference"/>
          <w:rFonts w:cstheme="minorHAnsi"/>
        </w:rPr>
        <w:endnoteReference w:id="54"/>
      </w:r>
      <w:r w:rsidR="00ED240A">
        <w:rPr>
          <w:rFonts w:cstheme="minorHAnsi"/>
        </w:rPr>
        <w:t xml:space="preserve"> We also excluded </w:t>
      </w:r>
      <w:r w:rsidR="00132B3F" w:rsidRPr="00AF0457">
        <w:rPr>
          <w:rFonts w:cstheme="minorHAnsi"/>
        </w:rPr>
        <w:lastRenderedPageBreak/>
        <w:t>participants</w:t>
      </w:r>
      <w:r w:rsidR="00667874" w:rsidRPr="00AF0457">
        <w:rPr>
          <w:rFonts w:cstheme="minorHAnsi"/>
        </w:rPr>
        <w:t xml:space="preserve"> based on</w:t>
      </w:r>
      <w:r w:rsidR="009145FC" w:rsidRPr="00AF0457">
        <w:rPr>
          <w:rFonts w:cstheme="minorHAnsi"/>
        </w:rPr>
        <w:t xml:space="preserve"> use of</w:t>
      </w:r>
      <w:r w:rsidR="00667874" w:rsidRPr="00AF0457">
        <w:rPr>
          <w:rFonts w:cstheme="minorHAnsi"/>
        </w:rPr>
        <w:t xml:space="preserve"> medication</w:t>
      </w:r>
      <w:r w:rsidR="002F1FE2" w:rsidRPr="00AF0457">
        <w:rPr>
          <w:rFonts w:cstheme="minorHAnsi"/>
        </w:rPr>
        <w:t>s</w:t>
      </w:r>
      <w:r w:rsidR="00667874" w:rsidRPr="00AF0457">
        <w:rPr>
          <w:rFonts w:cstheme="minorHAnsi"/>
        </w:rPr>
        <w:t xml:space="preserve"> </w:t>
      </w:r>
      <w:r w:rsidR="009145FC" w:rsidRPr="00AF0457">
        <w:rPr>
          <w:rFonts w:cstheme="minorHAnsi"/>
        </w:rPr>
        <w:t>related to hormones an</w:t>
      </w:r>
      <w:r w:rsidR="00015D71" w:rsidRPr="00AF0457">
        <w:rPr>
          <w:rFonts w:cstheme="minorHAnsi"/>
        </w:rPr>
        <w:t xml:space="preserve">d </w:t>
      </w:r>
      <w:r w:rsidR="00B87A75" w:rsidRPr="00AF0457">
        <w:rPr>
          <w:rFonts w:cstheme="minorHAnsi"/>
        </w:rPr>
        <w:t>BP</w:t>
      </w:r>
      <w:r w:rsidR="00015D71" w:rsidRPr="00AF0457">
        <w:rPr>
          <w:rFonts w:cstheme="minorHAnsi"/>
        </w:rPr>
        <w:t xml:space="preserve"> dysregulation </w:t>
      </w:r>
      <w:r w:rsidR="00667874" w:rsidRPr="00AF0457">
        <w:rPr>
          <w:rFonts w:cstheme="minorHAnsi"/>
        </w:rPr>
        <w:t>(</w:t>
      </w:r>
      <w:r w:rsidR="003416F9" w:rsidRPr="00AF0457">
        <w:rPr>
          <w:rFonts w:cstheme="minorHAnsi"/>
        </w:rPr>
        <w:t>n=191</w:t>
      </w:r>
      <w:r w:rsidR="007A4C2D" w:rsidRPr="00AF0457">
        <w:rPr>
          <w:rFonts w:cstheme="minorHAnsi"/>
        </w:rPr>
        <w:t>; Table S1)</w:t>
      </w:r>
      <w:bookmarkStart w:id="45" w:name="_Ref147074474"/>
      <w:r w:rsidR="002D2AE4">
        <w:rPr>
          <w:rStyle w:val="EndnoteReference"/>
          <w:rFonts w:cstheme="minorHAnsi"/>
        </w:rPr>
        <w:endnoteReference w:id="55"/>
      </w:r>
      <w:bookmarkEnd w:id="45"/>
      <w:r w:rsidR="002F6D5F" w:rsidRPr="00AF0457">
        <w:rPr>
          <w:rFonts w:cstheme="minorHAnsi"/>
        </w:rPr>
        <w:t xml:space="preserve"> resulting in a study population of 1,789 adults (1,073 men and 716 postmenopausal women) ages 45-74 years</w:t>
      </w:r>
      <w:r w:rsidR="001A2054" w:rsidRPr="00AF0457">
        <w:rPr>
          <w:rFonts w:cstheme="minorHAnsi"/>
        </w:rPr>
        <w:t>.</w:t>
      </w:r>
      <w:r w:rsidR="0011476C" w:rsidRPr="00AF0457">
        <w:rPr>
          <w:rFonts w:cstheme="minorHAnsi"/>
        </w:rPr>
        <w:t xml:space="preserve"> </w:t>
      </w:r>
      <w:r w:rsidR="00243184" w:rsidRPr="00AF0457">
        <w:rPr>
          <w:rFonts w:cstheme="minorHAnsi"/>
        </w:rPr>
        <w:t>Our</w:t>
      </w:r>
      <w:r w:rsidR="000207A5" w:rsidRPr="00AF0457">
        <w:rPr>
          <w:rFonts w:cstheme="minorHAnsi"/>
        </w:rPr>
        <w:t xml:space="preserve"> analysis </w:t>
      </w:r>
      <w:r w:rsidR="00D140D7" w:rsidRPr="00AF0457">
        <w:rPr>
          <w:rFonts w:cstheme="minorHAnsi"/>
        </w:rPr>
        <w:t>assessing</w:t>
      </w:r>
      <w:r w:rsidR="00FB2733" w:rsidRPr="00AF0457">
        <w:rPr>
          <w:rFonts w:cstheme="minorHAnsi"/>
        </w:rPr>
        <w:t xml:space="preserve"> </w:t>
      </w:r>
      <w:r w:rsidR="0060794D" w:rsidRPr="00AF0457">
        <w:rPr>
          <w:rFonts w:cstheme="minorHAnsi"/>
        </w:rPr>
        <w:t>stages in the</w:t>
      </w:r>
      <w:r w:rsidR="00FB2733" w:rsidRPr="00AF0457">
        <w:rPr>
          <w:rFonts w:cstheme="minorHAnsi"/>
        </w:rPr>
        <w:t xml:space="preserve"> development of</w:t>
      </w:r>
      <w:r w:rsidR="000207A5" w:rsidRPr="00AF0457">
        <w:rPr>
          <w:rFonts w:cstheme="minorHAnsi"/>
        </w:rPr>
        <w:t xml:space="preserve"> hypertension </w:t>
      </w:r>
      <w:r w:rsidR="00D140D7" w:rsidRPr="00AF0457">
        <w:rPr>
          <w:rFonts w:cstheme="minorHAnsi"/>
        </w:rPr>
        <w:t>further</w:t>
      </w:r>
      <w:r w:rsidR="000207A5" w:rsidRPr="00AF0457">
        <w:rPr>
          <w:rFonts w:cstheme="minorHAnsi"/>
        </w:rPr>
        <w:t xml:space="preserve"> excluded hypertensi</w:t>
      </w:r>
      <w:r w:rsidR="00E91A6E" w:rsidRPr="00AF0457">
        <w:rPr>
          <w:rFonts w:cstheme="minorHAnsi"/>
        </w:rPr>
        <w:t>ve</w:t>
      </w:r>
      <w:r w:rsidR="003E330E" w:rsidRPr="00AF0457">
        <w:rPr>
          <w:rFonts w:cstheme="minorHAnsi"/>
        </w:rPr>
        <w:t xml:space="preserve"> individuals</w:t>
      </w:r>
      <w:r w:rsidR="00E91A6E" w:rsidRPr="00AF0457">
        <w:rPr>
          <w:rFonts w:cstheme="minorHAnsi"/>
        </w:rPr>
        <w:t xml:space="preserve"> at V1</w:t>
      </w:r>
      <w:r w:rsidR="000207A5" w:rsidRPr="00AF0457">
        <w:rPr>
          <w:rFonts w:cstheme="minorHAnsi"/>
        </w:rPr>
        <w:t xml:space="preserve"> </w:t>
      </w:r>
      <w:r w:rsidR="00044196" w:rsidRPr="00AF0457">
        <w:rPr>
          <w:rFonts w:cstheme="minorHAnsi"/>
        </w:rPr>
        <w:t>resulting in a study population of</w:t>
      </w:r>
      <w:r w:rsidR="00565C71" w:rsidRPr="00AF0457">
        <w:rPr>
          <w:rFonts w:cstheme="minorHAnsi"/>
        </w:rPr>
        <w:t xml:space="preserve"> 798 adults</w:t>
      </w:r>
      <w:r w:rsidR="00044196" w:rsidRPr="00AF0457">
        <w:rPr>
          <w:rFonts w:cstheme="minorHAnsi"/>
        </w:rPr>
        <w:t xml:space="preserve"> </w:t>
      </w:r>
      <w:r w:rsidR="00565C71" w:rsidRPr="00AF0457">
        <w:rPr>
          <w:rFonts w:cstheme="minorHAnsi"/>
        </w:rPr>
        <w:t>(</w:t>
      </w:r>
      <w:r w:rsidR="002C36FC" w:rsidRPr="00AF0457">
        <w:rPr>
          <w:rFonts w:cstheme="minorHAnsi"/>
        </w:rPr>
        <w:t>484</w:t>
      </w:r>
      <w:r w:rsidR="00044196" w:rsidRPr="00AF0457">
        <w:rPr>
          <w:rFonts w:cstheme="minorHAnsi"/>
        </w:rPr>
        <w:t xml:space="preserve"> men and </w:t>
      </w:r>
      <w:r w:rsidR="002C36FC" w:rsidRPr="00AF0457">
        <w:rPr>
          <w:rFonts w:cstheme="minorHAnsi"/>
        </w:rPr>
        <w:t>314</w:t>
      </w:r>
      <w:r w:rsidR="00162B17" w:rsidRPr="00AF0457">
        <w:rPr>
          <w:rFonts w:cstheme="minorHAnsi"/>
        </w:rPr>
        <w:t xml:space="preserve"> </w:t>
      </w:r>
      <w:r w:rsidR="00044196" w:rsidRPr="00AF0457">
        <w:rPr>
          <w:rFonts w:cstheme="minorHAnsi"/>
        </w:rPr>
        <w:t>postmenopausal women</w:t>
      </w:r>
      <w:r w:rsidR="0023719D">
        <w:rPr>
          <w:rFonts w:cstheme="minorHAnsi"/>
        </w:rPr>
        <w:t>;</w:t>
      </w:r>
      <w:r w:rsidR="00044196" w:rsidRPr="00AF0457">
        <w:rPr>
          <w:rFonts w:cstheme="minorHAnsi"/>
        </w:rPr>
        <w:t xml:space="preserve"> </w:t>
      </w:r>
      <w:r w:rsidR="000207A5" w:rsidRPr="00AF0457">
        <w:rPr>
          <w:rFonts w:cstheme="minorHAnsi"/>
        </w:rPr>
        <w:t>(</w:t>
      </w:r>
      <w:r w:rsidR="0084142F" w:rsidRPr="00AF0457">
        <w:rPr>
          <w:rFonts w:cstheme="minorHAnsi"/>
        </w:rPr>
        <w:t>Table</w:t>
      </w:r>
      <w:r w:rsidR="000207A5" w:rsidRPr="00AF0457">
        <w:rPr>
          <w:rFonts w:cstheme="minorHAnsi"/>
        </w:rPr>
        <w:t xml:space="preserve"> </w:t>
      </w:r>
      <w:r w:rsidR="00537667" w:rsidRPr="00AF0457">
        <w:rPr>
          <w:rFonts w:cstheme="minorHAnsi"/>
        </w:rPr>
        <w:t>S</w:t>
      </w:r>
      <w:r w:rsidR="00BB5CB4" w:rsidRPr="00AF0457">
        <w:rPr>
          <w:rFonts w:cstheme="minorHAnsi"/>
        </w:rPr>
        <w:t>1</w:t>
      </w:r>
      <w:r w:rsidR="000207A5" w:rsidRPr="00AF0457">
        <w:rPr>
          <w:rFonts w:cstheme="minorHAnsi"/>
        </w:rPr>
        <w:t>)</w:t>
      </w:r>
      <w:r w:rsidR="00565C71" w:rsidRPr="00AF0457">
        <w:rPr>
          <w:rFonts w:cstheme="minorHAnsi"/>
        </w:rPr>
        <w:t>)</w:t>
      </w:r>
      <w:r w:rsidR="000207A5" w:rsidRPr="00AF0457">
        <w:rPr>
          <w:rFonts w:cstheme="minorHAnsi"/>
        </w:rPr>
        <w:t>.</w:t>
      </w:r>
      <w:r w:rsidR="00A85A6E" w:rsidRPr="00A85A6E">
        <w:rPr>
          <w:rFonts w:cstheme="minorHAnsi"/>
          <w:vertAlign w:val="superscript"/>
        </w:rPr>
        <w:fldChar w:fldCharType="begin"/>
      </w:r>
      <w:r w:rsidR="00A85A6E" w:rsidRPr="00A85A6E">
        <w:rPr>
          <w:rFonts w:cstheme="minorHAnsi"/>
          <w:vertAlign w:val="superscript"/>
        </w:rPr>
        <w:instrText xml:space="preserve"> NOTEREF _Ref147074474 \h </w:instrText>
      </w:r>
      <w:r w:rsidR="00A85A6E">
        <w:rPr>
          <w:rFonts w:cstheme="minorHAnsi"/>
          <w:vertAlign w:val="superscript"/>
        </w:rPr>
        <w:instrText xml:space="preserve"> \* MERGEFORMAT </w:instrText>
      </w:r>
      <w:r w:rsidR="00A85A6E" w:rsidRPr="00A85A6E">
        <w:rPr>
          <w:rFonts w:cstheme="minorHAnsi"/>
          <w:vertAlign w:val="superscript"/>
        </w:rPr>
      </w:r>
      <w:r w:rsidR="00A85A6E" w:rsidRPr="00A85A6E">
        <w:rPr>
          <w:rFonts w:cstheme="minorHAnsi"/>
          <w:vertAlign w:val="superscript"/>
        </w:rPr>
        <w:fldChar w:fldCharType="separate"/>
      </w:r>
      <w:r w:rsidR="000F6C53">
        <w:rPr>
          <w:rFonts w:cstheme="minorHAnsi"/>
          <w:vertAlign w:val="superscript"/>
        </w:rPr>
        <w:t>54</w:t>
      </w:r>
      <w:r w:rsidR="00A85A6E" w:rsidRPr="00A85A6E">
        <w:rPr>
          <w:rFonts w:cstheme="minorHAnsi"/>
          <w:vertAlign w:val="superscript"/>
        </w:rPr>
        <w:fldChar w:fldCharType="end"/>
      </w:r>
    </w:p>
    <w:p w14:paraId="50D2C040" w14:textId="770C00CA" w:rsidR="000207A5" w:rsidRPr="00AF0457" w:rsidRDefault="000207A5" w:rsidP="00CC21FA">
      <w:pPr>
        <w:spacing w:before="240" w:after="40" w:line="480" w:lineRule="auto"/>
        <w:rPr>
          <w:rFonts w:cstheme="minorHAnsi"/>
          <w:b/>
          <w:bCs/>
        </w:rPr>
      </w:pPr>
      <w:r w:rsidRPr="00AF0457">
        <w:rPr>
          <w:rFonts w:cstheme="minorHAnsi"/>
          <w:b/>
          <w:bCs/>
        </w:rPr>
        <w:t>Hypertension and blood pressure measures</w:t>
      </w:r>
    </w:p>
    <w:p w14:paraId="7C306279" w14:textId="0570203A" w:rsidR="009B254F" w:rsidRPr="00AF0457" w:rsidRDefault="004A3B53" w:rsidP="00CC21FA">
      <w:pPr>
        <w:spacing w:after="40" w:line="480" w:lineRule="auto"/>
        <w:rPr>
          <w:rFonts w:cstheme="minorHAnsi"/>
        </w:rPr>
      </w:pPr>
      <w:r w:rsidRPr="00AF0457">
        <w:rPr>
          <w:rFonts w:cstheme="minorHAnsi"/>
        </w:rPr>
        <w:t>A</w:t>
      </w:r>
      <w:r w:rsidR="000207A5" w:rsidRPr="00AF0457">
        <w:rPr>
          <w:rFonts w:cstheme="minorHAnsi"/>
        </w:rPr>
        <w:t xml:space="preserve"> team of trained HCHS/SOL study staff collected </w:t>
      </w:r>
      <w:r w:rsidR="00AF2541" w:rsidRPr="00AF0457">
        <w:rPr>
          <w:rFonts w:cstheme="minorHAnsi"/>
        </w:rPr>
        <w:t xml:space="preserve">information on </w:t>
      </w:r>
      <w:r w:rsidR="00323C27" w:rsidRPr="00AF0457">
        <w:rPr>
          <w:rFonts w:cstheme="minorHAnsi"/>
          <w:bCs/>
        </w:rPr>
        <w:t xml:space="preserve">blood pressure </w:t>
      </w:r>
      <w:r w:rsidR="00AA354F" w:rsidRPr="00AF0457">
        <w:rPr>
          <w:rFonts w:cstheme="minorHAnsi"/>
        </w:rPr>
        <w:t>and BP</w:t>
      </w:r>
      <w:r w:rsidR="000207A5" w:rsidRPr="00AF0457">
        <w:rPr>
          <w:rFonts w:cstheme="minorHAnsi"/>
        </w:rPr>
        <w:t xml:space="preserve"> medication use</w:t>
      </w:r>
      <w:r w:rsidRPr="00AF0457">
        <w:rPr>
          <w:rFonts w:cstheme="minorHAnsi"/>
        </w:rPr>
        <w:t xml:space="preserve"> at </w:t>
      </w:r>
      <w:r w:rsidR="00900F51" w:rsidRPr="00AF0457">
        <w:rPr>
          <w:rFonts w:cstheme="minorHAnsi"/>
        </w:rPr>
        <w:t>V1</w:t>
      </w:r>
      <w:r w:rsidRPr="00AF0457">
        <w:rPr>
          <w:rFonts w:cstheme="minorHAnsi"/>
        </w:rPr>
        <w:t xml:space="preserve"> and </w:t>
      </w:r>
      <w:r w:rsidR="00900F51" w:rsidRPr="00AF0457">
        <w:rPr>
          <w:rFonts w:cstheme="minorHAnsi"/>
        </w:rPr>
        <w:t>V</w:t>
      </w:r>
      <w:r w:rsidRPr="00AF0457">
        <w:rPr>
          <w:rFonts w:cstheme="minorHAnsi"/>
        </w:rPr>
        <w:t>2</w:t>
      </w:r>
      <w:r w:rsidR="000207A5" w:rsidRPr="00AF0457">
        <w:rPr>
          <w:rFonts w:cstheme="minorHAnsi"/>
        </w:rPr>
        <w:t>.</w:t>
      </w:r>
      <w:r w:rsidR="00EF6BFA" w:rsidRPr="00AF0457">
        <w:rPr>
          <w:rFonts w:cstheme="minorHAnsi"/>
        </w:rPr>
        <w:t xml:space="preserve"> </w:t>
      </w:r>
      <w:r w:rsidR="00FF1F7D" w:rsidRPr="00AF0457">
        <w:rPr>
          <w:rFonts w:cstheme="minorHAnsi"/>
        </w:rPr>
        <w:t>A</w:t>
      </w:r>
      <w:r w:rsidR="000207A5" w:rsidRPr="00AF0457">
        <w:rPr>
          <w:rFonts w:cstheme="minorHAnsi"/>
        </w:rPr>
        <w:t xml:space="preserve"> trained technician measured BP after a 5-minute rest period</w:t>
      </w:r>
      <w:r w:rsidR="00332513" w:rsidRPr="00AF0457">
        <w:rPr>
          <w:rFonts w:cstheme="minorHAnsi"/>
        </w:rPr>
        <w:t xml:space="preserve"> </w:t>
      </w:r>
      <w:r w:rsidR="000207A5" w:rsidRPr="00AF0457">
        <w:rPr>
          <w:rFonts w:cstheme="minorHAnsi"/>
        </w:rPr>
        <w:t xml:space="preserve">using an OMRON HEM-907 XL automated sphygmomanometer (Omron Healthcare, Inc., Lake Forest, IL). Three </w:t>
      </w:r>
      <w:r w:rsidR="00CA5862" w:rsidRPr="00AF0457">
        <w:rPr>
          <w:rFonts w:cstheme="minorHAnsi"/>
        </w:rPr>
        <w:t>BP</w:t>
      </w:r>
      <w:r w:rsidR="007A7747" w:rsidRPr="00AF0457">
        <w:rPr>
          <w:rFonts w:cstheme="minorHAnsi"/>
        </w:rPr>
        <w:t xml:space="preserve"> </w:t>
      </w:r>
      <w:r w:rsidR="000207A5" w:rsidRPr="00AF0457">
        <w:rPr>
          <w:rFonts w:cstheme="minorHAnsi"/>
        </w:rPr>
        <w:t>measurements were taken on the right arm of seated participants using a cuff which was sized to the upper right arm circumference.</w:t>
      </w:r>
      <w:r w:rsidR="009E5E83" w:rsidRPr="00AF0457">
        <w:rPr>
          <w:rFonts w:cstheme="minorHAnsi"/>
          <w:vertAlign w:val="superscript"/>
        </w:rPr>
        <w:fldChar w:fldCharType="begin"/>
      </w:r>
      <w:r w:rsidR="009E5E83" w:rsidRPr="00AF0457">
        <w:rPr>
          <w:rFonts w:cstheme="minorHAnsi"/>
          <w:vertAlign w:val="superscript"/>
        </w:rPr>
        <w:instrText xml:space="preserve"> NOTEREF _Ref140483162 \h  \* MERGEFORMAT </w:instrText>
      </w:r>
      <w:r w:rsidR="009E5E83" w:rsidRPr="00AF0457">
        <w:rPr>
          <w:rFonts w:cstheme="minorHAnsi"/>
          <w:vertAlign w:val="superscript"/>
        </w:rPr>
      </w:r>
      <w:r w:rsidR="009E5E83" w:rsidRPr="00AF0457">
        <w:rPr>
          <w:rFonts w:cstheme="minorHAnsi"/>
          <w:vertAlign w:val="superscript"/>
        </w:rPr>
        <w:fldChar w:fldCharType="separate"/>
      </w:r>
      <w:r w:rsidR="000F6C53">
        <w:rPr>
          <w:rFonts w:cstheme="minorHAnsi"/>
          <w:vertAlign w:val="superscript"/>
        </w:rPr>
        <w:t>5</w:t>
      </w:r>
      <w:r w:rsidR="009E5E83" w:rsidRPr="00AF0457">
        <w:rPr>
          <w:rFonts w:cstheme="minorHAnsi"/>
          <w:vertAlign w:val="superscript"/>
        </w:rPr>
        <w:fldChar w:fldCharType="end"/>
      </w:r>
      <w:r w:rsidR="009E5E83" w:rsidRPr="00AF0457">
        <w:rPr>
          <w:rFonts w:cstheme="minorHAnsi"/>
          <w:vertAlign w:val="superscript"/>
        </w:rPr>
        <w:t>,</w:t>
      </w:r>
      <w:r w:rsidR="009E5E83" w:rsidRPr="00AF0457">
        <w:rPr>
          <w:rFonts w:cstheme="minorHAnsi"/>
          <w:vertAlign w:val="superscript"/>
        </w:rPr>
        <w:fldChar w:fldCharType="begin"/>
      </w:r>
      <w:r w:rsidR="009E5E83" w:rsidRPr="00AF0457">
        <w:rPr>
          <w:rFonts w:cstheme="minorHAnsi"/>
          <w:vertAlign w:val="superscript"/>
        </w:rPr>
        <w:instrText xml:space="preserve"> NOTEREF _Ref140483164 \h  \* MERGEFORMAT </w:instrText>
      </w:r>
      <w:r w:rsidR="009E5E83" w:rsidRPr="00AF0457">
        <w:rPr>
          <w:rFonts w:cstheme="minorHAnsi"/>
          <w:vertAlign w:val="superscript"/>
        </w:rPr>
      </w:r>
      <w:r w:rsidR="009E5E83" w:rsidRPr="00AF0457">
        <w:rPr>
          <w:rFonts w:cstheme="minorHAnsi"/>
          <w:vertAlign w:val="superscript"/>
        </w:rPr>
        <w:fldChar w:fldCharType="separate"/>
      </w:r>
      <w:r w:rsidR="000F6C53">
        <w:rPr>
          <w:rFonts w:cstheme="minorHAnsi"/>
          <w:vertAlign w:val="superscript"/>
        </w:rPr>
        <w:t>6</w:t>
      </w:r>
      <w:r w:rsidR="009E5E83" w:rsidRPr="00AF0457">
        <w:rPr>
          <w:rFonts w:cstheme="minorHAnsi"/>
          <w:vertAlign w:val="superscript"/>
        </w:rPr>
        <w:fldChar w:fldCharType="end"/>
      </w:r>
      <w:r w:rsidR="000207A5" w:rsidRPr="00AF0457">
        <w:rPr>
          <w:rFonts w:cstheme="minorHAnsi"/>
        </w:rPr>
        <w:t xml:space="preserve"> Blood pressure measurements were spaced </w:t>
      </w:r>
      <w:r w:rsidR="00FC6EDE" w:rsidRPr="00AF0457">
        <w:rPr>
          <w:rFonts w:cstheme="minorHAnsi"/>
        </w:rPr>
        <w:t>one</w:t>
      </w:r>
      <w:r w:rsidR="000207A5" w:rsidRPr="00AF0457">
        <w:rPr>
          <w:rFonts w:cstheme="minorHAnsi"/>
        </w:rPr>
        <w:t xml:space="preserve"> minute apart and the average </w:t>
      </w:r>
      <w:r w:rsidR="005307A3" w:rsidRPr="00AF0457">
        <w:rPr>
          <w:rFonts w:cstheme="minorHAnsi"/>
        </w:rPr>
        <w:t>S</w:t>
      </w:r>
      <w:r w:rsidR="000207A5" w:rsidRPr="00AF0457">
        <w:rPr>
          <w:rFonts w:cstheme="minorHAnsi"/>
        </w:rPr>
        <w:t xml:space="preserve">BP (mmHg), and </w:t>
      </w:r>
      <w:r w:rsidR="005307A3" w:rsidRPr="00AF0457">
        <w:rPr>
          <w:rFonts w:cstheme="minorHAnsi"/>
        </w:rPr>
        <w:t>D</w:t>
      </w:r>
      <w:r w:rsidR="000207A5" w:rsidRPr="00AF0457">
        <w:rPr>
          <w:rFonts w:cstheme="minorHAnsi"/>
        </w:rPr>
        <w:t>BP (mmHg) were obtained. Our primary outcome</w:t>
      </w:r>
      <w:r w:rsidR="00CF50BF" w:rsidRPr="00AF0457">
        <w:rPr>
          <w:rFonts w:cstheme="minorHAnsi"/>
        </w:rPr>
        <w:t xml:space="preserve">, </w:t>
      </w:r>
      <w:r w:rsidR="000207A5" w:rsidRPr="00AF0457">
        <w:rPr>
          <w:rFonts w:cstheme="minorHAnsi"/>
        </w:rPr>
        <w:t>hypertension</w:t>
      </w:r>
      <w:r w:rsidR="00CF50BF" w:rsidRPr="00AF0457">
        <w:rPr>
          <w:rFonts w:cstheme="minorHAnsi"/>
        </w:rPr>
        <w:t>,</w:t>
      </w:r>
      <w:r w:rsidR="000207A5" w:rsidRPr="00AF0457">
        <w:rPr>
          <w:rFonts w:cstheme="minorHAnsi"/>
        </w:rPr>
        <w:t xml:space="preserve"> was defined using the </w:t>
      </w:r>
      <w:r w:rsidR="006A6BD9" w:rsidRPr="00AF0457">
        <w:rPr>
          <w:rFonts w:cstheme="minorHAnsi"/>
        </w:rPr>
        <w:t>American College of Cardiology/American Heart Association (</w:t>
      </w:r>
      <w:r w:rsidR="000207A5" w:rsidRPr="00AF0457">
        <w:rPr>
          <w:rFonts w:cstheme="minorHAnsi"/>
        </w:rPr>
        <w:t>ACC/AHA</w:t>
      </w:r>
      <w:r w:rsidR="006A6BD9" w:rsidRPr="00AF0457">
        <w:rPr>
          <w:rFonts w:cstheme="minorHAnsi"/>
        </w:rPr>
        <w:t>)</w:t>
      </w:r>
      <w:r w:rsidR="000207A5" w:rsidRPr="00AF0457">
        <w:rPr>
          <w:rFonts w:cstheme="minorHAnsi"/>
        </w:rPr>
        <w:t xml:space="preserve"> guidelines.</w:t>
      </w:r>
      <w:r w:rsidR="00211431" w:rsidRPr="00AF0457">
        <w:rPr>
          <w:rFonts w:cstheme="minorHAnsi"/>
          <w:vertAlign w:val="superscript"/>
        </w:rPr>
        <w:fldChar w:fldCharType="begin"/>
      </w:r>
      <w:r w:rsidR="00211431" w:rsidRPr="00AF0457">
        <w:rPr>
          <w:rFonts w:cstheme="minorHAnsi"/>
          <w:vertAlign w:val="superscript"/>
        </w:rPr>
        <w:instrText xml:space="preserve"> NOTEREF _Ref107151798 \h  \* MERGEFORMAT </w:instrText>
      </w:r>
      <w:r w:rsidR="00211431" w:rsidRPr="00AF0457">
        <w:rPr>
          <w:rFonts w:cstheme="minorHAnsi"/>
          <w:vertAlign w:val="superscript"/>
        </w:rPr>
      </w:r>
      <w:r w:rsidR="00211431" w:rsidRPr="00AF0457">
        <w:rPr>
          <w:rFonts w:cstheme="minorHAnsi"/>
          <w:vertAlign w:val="superscript"/>
        </w:rPr>
        <w:fldChar w:fldCharType="separate"/>
      </w:r>
      <w:r w:rsidR="000F6C53">
        <w:rPr>
          <w:rFonts w:cstheme="minorHAnsi"/>
          <w:vertAlign w:val="superscript"/>
        </w:rPr>
        <w:t>9</w:t>
      </w:r>
      <w:r w:rsidR="00211431" w:rsidRPr="00AF0457">
        <w:rPr>
          <w:rFonts w:cstheme="minorHAnsi"/>
          <w:vertAlign w:val="superscript"/>
        </w:rPr>
        <w:fldChar w:fldCharType="end"/>
      </w:r>
      <w:r w:rsidR="000207A5" w:rsidRPr="00AF0457">
        <w:rPr>
          <w:rFonts w:cstheme="minorHAnsi"/>
        </w:rPr>
        <w:t xml:space="preserve"> </w:t>
      </w:r>
      <w:r w:rsidR="00211431" w:rsidRPr="00AF0457">
        <w:rPr>
          <w:rFonts w:cstheme="minorHAnsi"/>
        </w:rPr>
        <w:t xml:space="preserve">Participants were classified into three </w:t>
      </w:r>
      <w:r w:rsidR="00F919BF" w:rsidRPr="00AF0457">
        <w:rPr>
          <w:rFonts w:cstheme="minorHAnsi"/>
        </w:rPr>
        <w:t>states</w:t>
      </w:r>
      <w:r w:rsidR="00211431" w:rsidRPr="00AF0457">
        <w:rPr>
          <w:rFonts w:cstheme="minorHAnsi"/>
        </w:rPr>
        <w:t xml:space="preserve"> namely normotension (SBP &lt;120 mmHg and DBP &lt;80 mmHg), elevated blood pressure or prehypertension (SBP ≥120 and ≤129 mmHg and DBP &lt;80 mmHg) and hypertension (SBP ≥130 mmHg or DBP </w:t>
      </w:r>
      <w:r w:rsidR="00211431" w:rsidRPr="00AF0457">
        <w:rPr>
          <w:rFonts w:cstheme="minorHAnsi"/>
          <w:u w:val="single"/>
        </w:rPr>
        <w:t>&gt;</w:t>
      </w:r>
      <w:r w:rsidR="00211431" w:rsidRPr="00AF0457">
        <w:rPr>
          <w:rFonts w:cstheme="minorHAnsi"/>
        </w:rPr>
        <w:t>80 mmHg or self-reported use of hypertension medication</w:t>
      </w:r>
      <w:r w:rsidR="005307A3" w:rsidRPr="00AF0457">
        <w:rPr>
          <w:rFonts w:cstheme="minorHAnsi"/>
        </w:rPr>
        <w:t>)</w:t>
      </w:r>
      <w:r w:rsidR="00211431" w:rsidRPr="00AF0457">
        <w:rPr>
          <w:rFonts w:cstheme="minorHAnsi"/>
        </w:rPr>
        <w:t>.</w:t>
      </w:r>
      <w:r w:rsidR="00013436" w:rsidRPr="00AF0457">
        <w:rPr>
          <w:rFonts w:cstheme="minorHAnsi"/>
        </w:rPr>
        <w:t xml:space="preserve"> </w:t>
      </w:r>
      <w:r w:rsidR="000207A5" w:rsidRPr="00AF0457">
        <w:rPr>
          <w:rFonts w:cstheme="minorHAnsi"/>
        </w:rPr>
        <w:t>The secondary outcome</w:t>
      </w:r>
      <w:r w:rsidR="00845B36" w:rsidRPr="00AF0457">
        <w:rPr>
          <w:rFonts w:cstheme="minorHAnsi"/>
        </w:rPr>
        <w:t>s</w:t>
      </w:r>
      <w:r w:rsidR="000207A5" w:rsidRPr="00AF0457">
        <w:rPr>
          <w:rFonts w:cstheme="minorHAnsi"/>
        </w:rPr>
        <w:t xml:space="preserve"> for </w:t>
      </w:r>
      <w:r w:rsidR="00C7192B" w:rsidRPr="00AF0457">
        <w:rPr>
          <w:rFonts w:cstheme="minorHAnsi"/>
        </w:rPr>
        <w:t>our</w:t>
      </w:r>
      <w:r w:rsidR="000207A5" w:rsidRPr="00AF0457">
        <w:rPr>
          <w:rFonts w:cstheme="minorHAnsi"/>
        </w:rPr>
        <w:t xml:space="preserve"> study included the following</w:t>
      </w:r>
      <w:r w:rsidR="00706D38" w:rsidRPr="00AF0457">
        <w:rPr>
          <w:rFonts w:cstheme="minorHAnsi"/>
        </w:rPr>
        <w:t xml:space="preserve"> </w:t>
      </w:r>
      <w:r w:rsidR="009E5BF8" w:rsidRPr="00AF0457">
        <w:rPr>
          <w:rFonts w:cstheme="minorHAnsi"/>
        </w:rPr>
        <w:t>BP</w:t>
      </w:r>
      <w:r w:rsidR="000207A5" w:rsidRPr="00AF0457">
        <w:rPr>
          <w:rFonts w:cstheme="minorHAnsi"/>
        </w:rPr>
        <w:t xml:space="preserve"> measures: SBP, DBP and pulse pressure defined as SBP</w:t>
      </w:r>
      <w:r w:rsidR="0014336E" w:rsidRPr="00AF0457">
        <w:rPr>
          <w:rFonts w:cstheme="minorHAnsi"/>
        </w:rPr>
        <w:t xml:space="preserve"> (mmHg)</w:t>
      </w:r>
      <w:r w:rsidR="000207A5" w:rsidRPr="00AF0457">
        <w:rPr>
          <w:rFonts w:cstheme="minorHAnsi"/>
        </w:rPr>
        <w:t xml:space="preserve"> minus DBP</w:t>
      </w:r>
      <w:r w:rsidR="0014336E" w:rsidRPr="00AF0457">
        <w:rPr>
          <w:rFonts w:cstheme="minorHAnsi"/>
        </w:rPr>
        <w:t xml:space="preserve"> (mmHg)</w:t>
      </w:r>
      <w:r w:rsidR="000207A5" w:rsidRPr="00AF0457">
        <w:rPr>
          <w:rFonts w:cstheme="minorHAnsi"/>
        </w:rPr>
        <w:t xml:space="preserve">. </w:t>
      </w:r>
      <w:r w:rsidR="00715171" w:rsidRPr="00AF0457">
        <w:rPr>
          <w:rFonts w:cstheme="minorHAnsi"/>
        </w:rPr>
        <w:t xml:space="preserve">When applicable, </w:t>
      </w:r>
      <w:r w:rsidR="003D4242" w:rsidRPr="00AF0457">
        <w:rPr>
          <w:rFonts w:cstheme="minorHAnsi"/>
        </w:rPr>
        <w:t xml:space="preserve">our </w:t>
      </w:r>
      <w:r w:rsidR="004B25A4" w:rsidRPr="00AF0457">
        <w:rPr>
          <w:rFonts w:cstheme="minorHAnsi"/>
        </w:rPr>
        <w:t xml:space="preserve">secondary </w:t>
      </w:r>
      <w:r w:rsidR="003D4242" w:rsidRPr="00AF0457">
        <w:rPr>
          <w:rFonts w:cstheme="minorHAnsi"/>
        </w:rPr>
        <w:t xml:space="preserve">analysis of </w:t>
      </w:r>
      <w:r w:rsidR="00C86785" w:rsidRPr="00AF0457">
        <w:rPr>
          <w:rFonts w:cstheme="minorHAnsi"/>
        </w:rPr>
        <w:t>BP</w:t>
      </w:r>
      <w:r w:rsidR="000207A5" w:rsidRPr="00AF0457">
        <w:rPr>
          <w:rFonts w:cstheme="minorHAnsi"/>
        </w:rPr>
        <w:t xml:space="preserve"> measures adjusted for </w:t>
      </w:r>
      <w:r w:rsidR="00361471" w:rsidRPr="00AF0457">
        <w:rPr>
          <w:rFonts w:cstheme="minorHAnsi"/>
        </w:rPr>
        <w:t xml:space="preserve">BP medication </w:t>
      </w:r>
      <w:r w:rsidR="000207A5" w:rsidRPr="00AF0457">
        <w:rPr>
          <w:rFonts w:cstheme="minorHAnsi"/>
        </w:rPr>
        <w:t xml:space="preserve">use to account for the size of potential treatment effect attributed to medication use. To accomplish this, for participants who reported </w:t>
      </w:r>
      <w:r w:rsidR="00163E78" w:rsidRPr="00AF0457">
        <w:rPr>
          <w:rFonts w:cstheme="minorHAnsi"/>
        </w:rPr>
        <w:t>BP</w:t>
      </w:r>
      <w:r w:rsidR="000C16F6" w:rsidRPr="00AF0457">
        <w:rPr>
          <w:rFonts w:cstheme="minorHAnsi"/>
        </w:rPr>
        <w:t xml:space="preserve"> </w:t>
      </w:r>
      <w:r w:rsidR="000207A5" w:rsidRPr="00AF0457">
        <w:rPr>
          <w:rFonts w:cstheme="minorHAnsi"/>
        </w:rPr>
        <w:t>medication use</w:t>
      </w:r>
      <w:r w:rsidR="00763DC6" w:rsidRPr="00AF0457">
        <w:rPr>
          <w:rFonts w:cstheme="minorHAnsi"/>
        </w:rPr>
        <w:t xml:space="preserve">, </w:t>
      </w:r>
      <w:r w:rsidR="00582D28" w:rsidRPr="00AF0457">
        <w:rPr>
          <w:rFonts w:cstheme="minorHAnsi"/>
        </w:rPr>
        <w:t>including multiple</w:t>
      </w:r>
      <w:r w:rsidR="006E7168" w:rsidRPr="00AF0457">
        <w:rPr>
          <w:rFonts w:cstheme="minorHAnsi"/>
        </w:rPr>
        <w:t xml:space="preserve"> drugs</w:t>
      </w:r>
      <w:r w:rsidR="000207A5" w:rsidRPr="00AF0457">
        <w:rPr>
          <w:rFonts w:cstheme="minorHAnsi"/>
        </w:rPr>
        <w:t>, we added a constant value of 10 mmHg and 5 mmHg to observed SBP and DBP measures, respectively.</w:t>
      </w:r>
      <w:r w:rsidR="000207A5" w:rsidRPr="00AF0457">
        <w:rPr>
          <w:rStyle w:val="EndnoteReference"/>
          <w:rFonts w:cstheme="minorHAnsi"/>
        </w:rPr>
        <w:endnoteReference w:id="56"/>
      </w:r>
      <w:r w:rsidR="000207A5" w:rsidRPr="00AF0457">
        <w:rPr>
          <w:rFonts w:cstheme="minorHAnsi"/>
          <w:vertAlign w:val="superscript"/>
        </w:rPr>
        <w:t>,</w:t>
      </w:r>
      <w:r w:rsidR="000207A5" w:rsidRPr="00AF0457">
        <w:rPr>
          <w:rStyle w:val="EndnoteReference"/>
          <w:rFonts w:cstheme="minorHAnsi"/>
        </w:rPr>
        <w:endnoteReference w:id="57"/>
      </w:r>
      <w:r w:rsidR="004756D0" w:rsidRPr="00AF0457">
        <w:rPr>
          <w:rFonts w:cstheme="minorHAnsi"/>
        </w:rPr>
        <w:t xml:space="preserve"> We also conducted a sensitivity analysis</w:t>
      </w:r>
      <w:r w:rsidR="00713889" w:rsidRPr="00AF0457">
        <w:rPr>
          <w:rFonts w:cstheme="minorHAnsi"/>
        </w:rPr>
        <w:t xml:space="preserve"> of BP measures</w:t>
      </w:r>
      <w:r w:rsidR="00C358BB" w:rsidRPr="00AF0457">
        <w:rPr>
          <w:rFonts w:cstheme="minorHAnsi"/>
        </w:rPr>
        <w:t xml:space="preserve"> </w:t>
      </w:r>
      <w:r w:rsidR="004756D0" w:rsidRPr="00AF0457">
        <w:rPr>
          <w:rFonts w:cstheme="minorHAnsi"/>
        </w:rPr>
        <w:t>excluding individuals who reported BP medication use.</w:t>
      </w:r>
    </w:p>
    <w:p w14:paraId="29DC5E7E" w14:textId="65DA20FC" w:rsidR="000207A5" w:rsidRPr="00AF0457" w:rsidRDefault="000207A5" w:rsidP="00CC21FA">
      <w:pPr>
        <w:spacing w:before="240" w:after="40" w:line="480" w:lineRule="auto"/>
        <w:rPr>
          <w:rFonts w:cstheme="minorHAnsi"/>
          <w:b/>
          <w:bCs/>
        </w:rPr>
      </w:pPr>
      <w:r w:rsidRPr="00AF0457">
        <w:rPr>
          <w:rFonts w:cstheme="minorHAnsi"/>
          <w:b/>
          <w:bCs/>
        </w:rPr>
        <w:fldChar w:fldCharType="begin"/>
      </w:r>
      <w:r w:rsidRPr="00AF0457">
        <w:rPr>
          <w:rFonts w:cstheme="minorHAnsi"/>
          <w:b/>
          <w:bCs/>
        </w:rPr>
        <w:instrText>ADDIN REFMGR.CITE &lt;Refman&gt;&lt;Cite&gt;&lt;Author&gt;Schisterman&lt;/Author&gt;&lt;Year&gt;2005&lt;/Year&gt;&lt;RecNum&gt;2511&lt;/RecNum&gt;&lt;IDText&gt;Lipid adjustment in the analysis of environmental contaminants and human health risks&lt;/IDText&gt;&lt;MDL Ref_Type="Journal"&gt;&lt;Ref_Type&gt;Journal&lt;/Ref_Type&gt;&lt;Ref_ID&gt;2511&lt;/Ref_ID&gt;&lt;Title_Primary&gt;Lipid adjustment in the analysis of environmental contaminants and human health risks&lt;/Title_Primary&gt;&lt;Authors_Primary&gt;Schisterman,E.F.&lt;/Authors_Primary&gt;&lt;Authors_Primary&gt;Whitcomb,B.W.&lt;/Authors_Primary&gt;&lt;Authors_Primary&gt;Louis,G.M.&lt;/Authors_Primary&gt;&lt;Authors_Primary&gt;Louis,T.A.&lt;/Authors_Primary&gt;&lt;Date_Primary&gt;2005&lt;/Date_Primary&gt;&lt;Keywords&gt;Bias (Epidemiology) Computer Simulation Environmental Exposure Environmental Monitoring Environmental Pollutants&lt;/Keywords&gt;&lt;Keywords&gt;blood&lt;/Keywords&gt;&lt;Keywords&gt;toxicity Lipids&lt;/Keywords&gt;&lt;Keywords&gt;blood Models,Biological Models,Statistical Polychlorinated Biphenyls&lt;/Keywords&gt;&lt;Keywords&gt;blood&lt;/Keywords&gt;&lt;Keywords&gt;toxicity&lt;/Keywords&gt;&lt;Reprint&gt;Not in File&lt;/Reprint&gt;&lt;Start_Page&gt;853&lt;/Start_Page&gt;&lt;End_Page&gt;857&lt;/End_Page&gt;&lt;Periodical&gt;Environ Health Perspect&lt;/Periodical&gt;&lt;Volume&gt;113&lt;/Volume&gt;&lt;Issue&gt;7&lt;/Issue&gt;&lt;ISSN_ISBN&gt;0091-6765 (Print)&lt;/ISSN_ISBN&gt;&lt;Address&gt;Division of Epidemiology, Statistics and Prevention Research, National Institute of Child Health and Human Development, National Institutes of Health, Department of Health and Human Services, Rockville, Maryland 20852, USA. schistee@mail.nih.gov&lt;/Address&gt;&lt;ZZ_JournalFull&gt;&lt;f name="System"&gt;Environ Health Perspect&lt;/f&gt;&lt;/ZZ_JournalFull&gt;&lt;ZZ_WorkformID&gt;1&lt;/ZZ_WorkformID&gt;&lt;/MDL&gt;&lt;/Cite&gt;&lt;/Refman&gt;</w:instrText>
      </w:r>
      <w:r w:rsidRPr="00AF0457">
        <w:rPr>
          <w:rFonts w:cstheme="minorHAnsi"/>
          <w:b/>
          <w:bCs/>
        </w:rPr>
        <w:fldChar w:fldCharType="end"/>
      </w:r>
      <w:r w:rsidR="00CA5862" w:rsidRPr="00AF0457">
        <w:rPr>
          <w:rFonts w:cstheme="minorHAnsi"/>
          <w:b/>
          <w:bCs/>
        </w:rPr>
        <w:t>Thyroid-related</w:t>
      </w:r>
      <w:r w:rsidRPr="00AF0457">
        <w:rPr>
          <w:rFonts w:cstheme="minorHAnsi"/>
          <w:b/>
          <w:bCs/>
        </w:rPr>
        <w:t xml:space="preserve"> hormones</w:t>
      </w:r>
    </w:p>
    <w:p w14:paraId="3C9464F9" w14:textId="0A35D400" w:rsidR="00276D5F" w:rsidRPr="00AF0457" w:rsidRDefault="0086623E" w:rsidP="00CC21FA">
      <w:pPr>
        <w:spacing w:after="40" w:line="480" w:lineRule="auto"/>
        <w:ind w:left="-4" w:right="58"/>
        <w:rPr>
          <w:rFonts w:cstheme="minorHAnsi"/>
        </w:rPr>
      </w:pPr>
      <w:r w:rsidRPr="00AF0457">
        <w:rPr>
          <w:rFonts w:cstheme="minorHAnsi"/>
        </w:rPr>
        <w:t xml:space="preserve">Our </w:t>
      </w:r>
      <w:r w:rsidR="00EE3302" w:rsidRPr="00AF0457">
        <w:rPr>
          <w:rFonts w:cstheme="minorHAnsi"/>
        </w:rPr>
        <w:t>study</w:t>
      </w:r>
      <w:r w:rsidRPr="00AF0457">
        <w:rPr>
          <w:rFonts w:cstheme="minorHAnsi"/>
        </w:rPr>
        <w:t xml:space="preserve"> examined</w:t>
      </w:r>
      <w:r w:rsidR="00BC685E" w:rsidRPr="00AF0457">
        <w:rPr>
          <w:rFonts w:cstheme="minorHAnsi"/>
        </w:rPr>
        <w:t xml:space="preserve"> three </w:t>
      </w:r>
      <w:r w:rsidR="00693253" w:rsidRPr="00AF0457">
        <w:rPr>
          <w:rFonts w:cstheme="minorHAnsi"/>
        </w:rPr>
        <w:t>thyroid-related</w:t>
      </w:r>
      <w:r w:rsidR="00BC685E" w:rsidRPr="00AF0457">
        <w:rPr>
          <w:rFonts w:cstheme="minorHAnsi"/>
        </w:rPr>
        <w:t xml:space="preserve"> hormones</w:t>
      </w:r>
      <w:r w:rsidR="009B254F" w:rsidRPr="00AF0457">
        <w:rPr>
          <w:rFonts w:cstheme="minorHAnsi"/>
        </w:rPr>
        <w:t>, namely</w:t>
      </w:r>
      <w:r w:rsidRPr="00AF0457">
        <w:rPr>
          <w:rFonts w:cstheme="minorHAnsi"/>
        </w:rPr>
        <w:t xml:space="preserve"> </w:t>
      </w:r>
      <w:r w:rsidR="00D21085" w:rsidRPr="00AF0457">
        <w:rPr>
          <w:rFonts w:cstheme="minorHAnsi"/>
        </w:rPr>
        <w:t xml:space="preserve">TSH, </w:t>
      </w:r>
      <w:r w:rsidR="00300556">
        <w:rPr>
          <w:rFonts w:cstheme="minorHAnsi"/>
        </w:rPr>
        <w:t>free T4 (</w:t>
      </w:r>
      <w:r w:rsidR="00300556" w:rsidRPr="00AF0457">
        <w:rPr>
          <w:rFonts w:cstheme="minorHAnsi"/>
        </w:rPr>
        <w:t>FT4</w:t>
      </w:r>
      <w:r w:rsidR="00300556">
        <w:rPr>
          <w:rFonts w:cstheme="minorHAnsi"/>
        </w:rPr>
        <w:t>)</w:t>
      </w:r>
      <w:r w:rsidR="009B254F" w:rsidRPr="00AF0457">
        <w:rPr>
          <w:rFonts w:cstheme="minorHAnsi"/>
        </w:rPr>
        <w:t>,</w:t>
      </w:r>
      <w:r w:rsidRPr="00AF0457">
        <w:rPr>
          <w:rFonts w:cstheme="minorHAnsi"/>
        </w:rPr>
        <w:t xml:space="preserve"> and T3</w:t>
      </w:r>
      <w:r w:rsidR="009B254F" w:rsidRPr="00AF0457">
        <w:rPr>
          <w:rFonts w:cstheme="minorHAnsi"/>
        </w:rPr>
        <w:t>,</w:t>
      </w:r>
      <w:r w:rsidR="00D750E9" w:rsidRPr="00AF0457">
        <w:rPr>
          <w:rFonts w:cstheme="minorHAnsi"/>
        </w:rPr>
        <w:t xml:space="preserve"> collected at </w:t>
      </w:r>
      <w:r w:rsidR="00792829" w:rsidRPr="00AF0457">
        <w:rPr>
          <w:rFonts w:cstheme="minorHAnsi"/>
        </w:rPr>
        <w:t>V1</w:t>
      </w:r>
      <w:r w:rsidR="00E87166" w:rsidRPr="00AF0457">
        <w:rPr>
          <w:rFonts w:cstheme="minorHAnsi"/>
        </w:rPr>
        <w:t xml:space="preserve"> in men and postmenopausal women.</w:t>
      </w:r>
      <w:r w:rsidRPr="00AF0457">
        <w:rPr>
          <w:rFonts w:cstheme="minorHAnsi"/>
        </w:rPr>
        <w:t xml:space="preserve"> </w:t>
      </w:r>
      <w:r w:rsidR="00EE51E0" w:rsidRPr="00AF0457">
        <w:rPr>
          <w:rFonts w:cstheme="minorHAnsi"/>
        </w:rPr>
        <w:t>Details of the laboratory assay</w:t>
      </w:r>
      <w:r w:rsidR="009B254F" w:rsidRPr="00AF0457">
        <w:rPr>
          <w:rFonts w:cstheme="minorHAnsi"/>
        </w:rPr>
        <w:t>s</w:t>
      </w:r>
      <w:r w:rsidR="00EE51E0" w:rsidRPr="00AF0457">
        <w:rPr>
          <w:rFonts w:cstheme="minorHAnsi"/>
        </w:rPr>
        <w:t xml:space="preserve">, </w:t>
      </w:r>
      <w:r w:rsidR="000A46BF" w:rsidRPr="00AF0457">
        <w:rPr>
          <w:rFonts w:cstheme="minorHAnsi"/>
        </w:rPr>
        <w:t>limit</w:t>
      </w:r>
      <w:r w:rsidR="009B254F" w:rsidRPr="00AF0457">
        <w:rPr>
          <w:rFonts w:cstheme="minorHAnsi"/>
        </w:rPr>
        <w:t>s</w:t>
      </w:r>
      <w:r w:rsidR="000A46BF" w:rsidRPr="00AF0457">
        <w:rPr>
          <w:rFonts w:cstheme="minorHAnsi"/>
        </w:rPr>
        <w:t xml:space="preserve"> of detection</w:t>
      </w:r>
      <w:r w:rsidR="00EE51E0" w:rsidRPr="00AF0457">
        <w:rPr>
          <w:rFonts w:cstheme="minorHAnsi"/>
        </w:rPr>
        <w:t xml:space="preserve">, and </w:t>
      </w:r>
      <w:r w:rsidR="00E5677F" w:rsidRPr="00AF0457">
        <w:rPr>
          <w:rFonts w:cstheme="minorHAnsi"/>
        </w:rPr>
        <w:t xml:space="preserve">inter-assay </w:t>
      </w:r>
      <w:r w:rsidR="000A46BF" w:rsidRPr="00AF0457">
        <w:rPr>
          <w:rFonts w:cstheme="minorHAnsi"/>
        </w:rPr>
        <w:t>coefficient</w:t>
      </w:r>
      <w:r w:rsidR="009B254F" w:rsidRPr="00AF0457">
        <w:rPr>
          <w:rFonts w:cstheme="minorHAnsi"/>
        </w:rPr>
        <w:t>s</w:t>
      </w:r>
      <w:r w:rsidR="000A46BF" w:rsidRPr="00AF0457">
        <w:rPr>
          <w:rFonts w:cstheme="minorHAnsi"/>
        </w:rPr>
        <w:t xml:space="preserve"> of </w:t>
      </w:r>
      <w:r w:rsidR="000A46BF" w:rsidRPr="00AF0457">
        <w:rPr>
          <w:rFonts w:cstheme="minorHAnsi"/>
        </w:rPr>
        <w:lastRenderedPageBreak/>
        <w:t xml:space="preserve">variation </w:t>
      </w:r>
      <w:r w:rsidR="00EE51E0" w:rsidRPr="00AF0457">
        <w:rPr>
          <w:rFonts w:cstheme="minorHAnsi"/>
        </w:rPr>
        <w:t>for individual thyroid</w:t>
      </w:r>
      <w:r w:rsidR="00B40280" w:rsidRPr="00AF0457">
        <w:rPr>
          <w:rFonts w:cstheme="minorHAnsi"/>
        </w:rPr>
        <w:t xml:space="preserve">-related </w:t>
      </w:r>
      <w:r w:rsidR="00EE51E0" w:rsidRPr="00AF0457">
        <w:rPr>
          <w:rFonts w:cstheme="minorHAnsi"/>
        </w:rPr>
        <w:t>hormones ha</w:t>
      </w:r>
      <w:r w:rsidR="00F40BC2" w:rsidRPr="00AF0457">
        <w:rPr>
          <w:rFonts w:cstheme="minorHAnsi"/>
        </w:rPr>
        <w:t>ve</w:t>
      </w:r>
      <w:r w:rsidR="00EE51E0" w:rsidRPr="00AF0457">
        <w:rPr>
          <w:rFonts w:cstheme="minorHAnsi"/>
        </w:rPr>
        <w:t xml:space="preserve"> been </w:t>
      </w:r>
      <w:r w:rsidR="00F40BC2" w:rsidRPr="00AF0457">
        <w:rPr>
          <w:rFonts w:cstheme="minorHAnsi"/>
        </w:rPr>
        <w:t xml:space="preserve">previously </w:t>
      </w:r>
      <w:r w:rsidR="00EE51E0" w:rsidRPr="00AF0457">
        <w:rPr>
          <w:rFonts w:cstheme="minorHAnsi"/>
        </w:rPr>
        <w:t>described</w:t>
      </w:r>
      <w:r w:rsidR="007F5043">
        <w:rPr>
          <w:rFonts w:cstheme="minorHAnsi"/>
        </w:rPr>
        <w:t>.</w:t>
      </w:r>
      <w:r w:rsidR="006322F6" w:rsidRPr="006322F6">
        <w:rPr>
          <w:rFonts w:cstheme="minorHAnsi"/>
          <w:vertAlign w:val="superscript"/>
        </w:rPr>
        <w:fldChar w:fldCharType="begin"/>
      </w:r>
      <w:r w:rsidR="006322F6" w:rsidRPr="006322F6">
        <w:rPr>
          <w:rFonts w:cstheme="minorHAnsi"/>
          <w:vertAlign w:val="superscript"/>
        </w:rPr>
        <w:instrText xml:space="preserve"> NOTEREF _Ref158720343 \h </w:instrText>
      </w:r>
      <w:r w:rsidR="006322F6" w:rsidRPr="006322F6">
        <w:rPr>
          <w:rFonts w:cstheme="minorHAnsi"/>
          <w:vertAlign w:val="superscript"/>
        </w:rPr>
      </w:r>
      <w:r w:rsidR="006322F6">
        <w:rPr>
          <w:rFonts w:cstheme="minorHAnsi"/>
          <w:vertAlign w:val="superscript"/>
        </w:rPr>
        <w:instrText xml:space="preserve"> \* MERGEFORMAT </w:instrText>
      </w:r>
      <w:r w:rsidR="006322F6" w:rsidRPr="006322F6">
        <w:rPr>
          <w:rFonts w:cstheme="minorHAnsi"/>
          <w:vertAlign w:val="superscript"/>
        </w:rPr>
        <w:fldChar w:fldCharType="separate"/>
      </w:r>
      <w:r w:rsidR="000F6C53">
        <w:rPr>
          <w:rFonts w:cstheme="minorHAnsi"/>
          <w:vertAlign w:val="superscript"/>
        </w:rPr>
        <w:t>50</w:t>
      </w:r>
      <w:r w:rsidR="006322F6" w:rsidRPr="006322F6">
        <w:rPr>
          <w:rFonts w:cstheme="minorHAnsi"/>
          <w:vertAlign w:val="superscript"/>
        </w:rPr>
        <w:fldChar w:fldCharType="end"/>
      </w:r>
      <w:r w:rsidR="00EE51E0" w:rsidRPr="00AF0457">
        <w:rPr>
          <w:rFonts w:cstheme="minorHAnsi"/>
        </w:rPr>
        <w:t xml:space="preserve"> </w:t>
      </w:r>
      <w:r w:rsidR="000F28DC" w:rsidRPr="00AF0457">
        <w:rPr>
          <w:rFonts w:cstheme="minorHAnsi"/>
        </w:rPr>
        <w:t xml:space="preserve">Briefly, </w:t>
      </w:r>
      <w:r w:rsidR="0075287E" w:rsidRPr="00AF0457">
        <w:rPr>
          <w:rFonts w:cstheme="minorHAnsi"/>
        </w:rPr>
        <w:t>we</w:t>
      </w:r>
      <w:r w:rsidR="00EF4B2C" w:rsidRPr="00AF0457">
        <w:rPr>
          <w:rFonts w:cstheme="minorHAnsi"/>
        </w:rPr>
        <w:t xml:space="preserve"> analyzed stored s</w:t>
      </w:r>
      <w:r w:rsidR="000207A5" w:rsidRPr="00AF0457">
        <w:rPr>
          <w:rFonts w:cstheme="minorHAnsi"/>
        </w:rPr>
        <w:t>erum samples for</w:t>
      </w:r>
      <w:r w:rsidR="00EF4B2C" w:rsidRPr="00AF0457">
        <w:rPr>
          <w:rFonts w:cstheme="minorHAnsi"/>
        </w:rPr>
        <w:t xml:space="preserve"> </w:t>
      </w:r>
      <w:r w:rsidR="00693253" w:rsidRPr="00AF0457">
        <w:rPr>
          <w:rFonts w:cstheme="minorHAnsi"/>
        </w:rPr>
        <w:t>thyroid-related</w:t>
      </w:r>
      <w:r w:rsidR="000207A5" w:rsidRPr="00AF0457">
        <w:rPr>
          <w:rFonts w:cstheme="minorHAnsi"/>
        </w:rPr>
        <w:t xml:space="preserve"> hormone</w:t>
      </w:r>
      <w:r w:rsidR="00EF4B2C" w:rsidRPr="00AF0457">
        <w:rPr>
          <w:rFonts w:cstheme="minorHAnsi"/>
        </w:rPr>
        <w:t>s</w:t>
      </w:r>
      <w:r w:rsidR="000F28DC" w:rsidRPr="00AF0457">
        <w:rPr>
          <w:rFonts w:cstheme="minorHAnsi"/>
        </w:rPr>
        <w:t xml:space="preserve"> </w:t>
      </w:r>
      <w:r w:rsidR="000207A5" w:rsidRPr="00AF0457">
        <w:rPr>
          <w:rFonts w:cstheme="minorHAnsi"/>
        </w:rPr>
        <w:t xml:space="preserve">using a Roche COBAS 6000 chemistry analyzer (Roche Diagnostics, Indianapolis, </w:t>
      </w:r>
      <w:r w:rsidR="00FB3BF4" w:rsidRPr="00AF0457">
        <w:rPr>
          <w:rFonts w:cstheme="minorHAnsi"/>
        </w:rPr>
        <w:t>I</w:t>
      </w:r>
      <w:r w:rsidR="00FB3BF4">
        <w:rPr>
          <w:rFonts w:cstheme="minorHAnsi"/>
        </w:rPr>
        <w:t>ndiana</w:t>
      </w:r>
      <w:r w:rsidR="000207A5" w:rsidRPr="00AF0457">
        <w:rPr>
          <w:rFonts w:cstheme="minorHAnsi"/>
        </w:rPr>
        <w:t>)</w:t>
      </w:r>
      <w:r w:rsidR="000F28DC" w:rsidRPr="00AF0457">
        <w:rPr>
          <w:rFonts w:cstheme="minorHAnsi"/>
        </w:rPr>
        <w:t>.</w:t>
      </w:r>
      <w:r w:rsidR="00696AD4" w:rsidRPr="00AF0457">
        <w:rPr>
          <w:rFonts w:cstheme="minorHAnsi"/>
        </w:rPr>
        <w:t xml:space="preserve"> </w:t>
      </w:r>
      <w:r w:rsidR="004B5BCB" w:rsidRPr="00AF0457">
        <w:rPr>
          <w:rFonts w:cstheme="minorHAnsi"/>
        </w:rPr>
        <w:t>Various</w:t>
      </w:r>
      <w:r w:rsidR="00F95E5B" w:rsidRPr="00AF0457">
        <w:rPr>
          <w:rFonts w:cstheme="minorHAnsi"/>
        </w:rPr>
        <w:t xml:space="preserve"> methods have been utilized in prior studies to examine thyroid </w:t>
      </w:r>
      <w:r w:rsidR="009B254F" w:rsidRPr="00AF0457">
        <w:rPr>
          <w:rFonts w:cstheme="minorHAnsi"/>
        </w:rPr>
        <w:t xml:space="preserve">axis </w:t>
      </w:r>
      <w:r w:rsidR="00F95E5B" w:rsidRPr="00AF0457">
        <w:rPr>
          <w:rFonts w:cstheme="minorHAnsi"/>
        </w:rPr>
        <w:t>regulation.</w:t>
      </w:r>
      <w:r w:rsidR="004F7754" w:rsidRPr="00ED3148">
        <w:rPr>
          <w:rFonts w:cstheme="minorHAnsi"/>
          <w:vertAlign w:val="superscript"/>
        </w:rPr>
        <w:fldChar w:fldCharType="begin"/>
      </w:r>
      <w:r w:rsidR="004F7754" w:rsidRPr="00ED3148">
        <w:rPr>
          <w:rFonts w:cstheme="minorHAnsi"/>
          <w:vertAlign w:val="superscript"/>
        </w:rPr>
        <w:instrText xml:space="preserve"> NOTEREF _Ref158637900 \h </w:instrText>
      </w:r>
      <w:r w:rsidR="004F7754">
        <w:rPr>
          <w:rFonts w:cstheme="minorHAnsi"/>
          <w:vertAlign w:val="superscript"/>
        </w:rPr>
        <w:instrText xml:space="preserve"> \* MERGEFORMAT </w:instrText>
      </w:r>
      <w:r w:rsidR="004F7754" w:rsidRPr="00ED3148">
        <w:rPr>
          <w:rFonts w:cstheme="minorHAnsi"/>
          <w:vertAlign w:val="superscript"/>
        </w:rPr>
      </w:r>
      <w:r w:rsidR="004F7754" w:rsidRPr="00ED3148">
        <w:rPr>
          <w:rFonts w:cstheme="minorHAnsi"/>
          <w:vertAlign w:val="superscript"/>
        </w:rPr>
        <w:fldChar w:fldCharType="separate"/>
      </w:r>
      <w:r w:rsidR="000F6C53">
        <w:rPr>
          <w:rFonts w:cstheme="minorHAnsi"/>
          <w:vertAlign w:val="superscript"/>
        </w:rPr>
        <w:t>19</w:t>
      </w:r>
      <w:r w:rsidR="004F7754" w:rsidRPr="00ED3148">
        <w:rPr>
          <w:rFonts w:cstheme="minorHAnsi"/>
          <w:vertAlign w:val="superscript"/>
        </w:rPr>
        <w:fldChar w:fldCharType="end"/>
      </w:r>
      <w:r w:rsidR="004F7754" w:rsidRPr="00ED3148">
        <w:rPr>
          <w:rFonts w:cstheme="minorHAnsi"/>
          <w:vertAlign w:val="superscript"/>
        </w:rPr>
        <w:t>,</w:t>
      </w:r>
      <w:r w:rsidR="004F7754" w:rsidRPr="00ED3148">
        <w:rPr>
          <w:rFonts w:cstheme="minorHAnsi"/>
          <w:vertAlign w:val="superscript"/>
        </w:rPr>
        <w:fldChar w:fldCharType="begin"/>
      </w:r>
      <w:r w:rsidR="004F7754" w:rsidRPr="00ED3148">
        <w:rPr>
          <w:rFonts w:cstheme="minorHAnsi"/>
          <w:vertAlign w:val="superscript"/>
        </w:rPr>
        <w:instrText xml:space="preserve"> NOTEREF _Ref158637897 \h </w:instrText>
      </w:r>
      <w:r w:rsidR="004F7754">
        <w:rPr>
          <w:rFonts w:cstheme="minorHAnsi"/>
          <w:vertAlign w:val="superscript"/>
        </w:rPr>
        <w:instrText xml:space="preserve"> \* MERGEFORMAT </w:instrText>
      </w:r>
      <w:r w:rsidR="004F7754" w:rsidRPr="00ED3148">
        <w:rPr>
          <w:rFonts w:cstheme="minorHAnsi"/>
          <w:vertAlign w:val="superscript"/>
        </w:rPr>
      </w:r>
      <w:r w:rsidR="004F7754" w:rsidRPr="00ED3148">
        <w:rPr>
          <w:rFonts w:cstheme="minorHAnsi"/>
          <w:vertAlign w:val="superscript"/>
        </w:rPr>
        <w:fldChar w:fldCharType="separate"/>
      </w:r>
      <w:r w:rsidR="000F6C53">
        <w:rPr>
          <w:rFonts w:cstheme="minorHAnsi"/>
          <w:vertAlign w:val="superscript"/>
        </w:rPr>
        <w:t>20</w:t>
      </w:r>
      <w:r w:rsidR="004F7754" w:rsidRPr="00ED3148">
        <w:rPr>
          <w:rFonts w:cstheme="minorHAnsi"/>
          <w:vertAlign w:val="superscript"/>
        </w:rPr>
        <w:fldChar w:fldCharType="end"/>
      </w:r>
      <w:r w:rsidR="004F7754" w:rsidRPr="00ED3148">
        <w:rPr>
          <w:rFonts w:cstheme="minorHAnsi"/>
          <w:vertAlign w:val="superscript"/>
        </w:rPr>
        <w:t>,</w:t>
      </w:r>
      <w:r w:rsidR="004F7754" w:rsidRPr="00ED3148">
        <w:rPr>
          <w:rFonts w:cstheme="minorHAnsi"/>
          <w:vertAlign w:val="superscript"/>
        </w:rPr>
        <w:fldChar w:fldCharType="begin"/>
      </w:r>
      <w:r w:rsidR="004F7754" w:rsidRPr="00ED3148">
        <w:rPr>
          <w:rFonts w:cstheme="minorHAnsi"/>
          <w:vertAlign w:val="superscript"/>
        </w:rPr>
        <w:instrText xml:space="preserve"> NOTEREF _Ref158638025 \h </w:instrText>
      </w:r>
      <w:r w:rsidR="004F7754">
        <w:rPr>
          <w:rFonts w:cstheme="minorHAnsi"/>
          <w:vertAlign w:val="superscript"/>
        </w:rPr>
        <w:instrText xml:space="preserve"> \* MERGEFORMAT </w:instrText>
      </w:r>
      <w:r w:rsidR="004F7754" w:rsidRPr="00ED3148">
        <w:rPr>
          <w:rFonts w:cstheme="minorHAnsi"/>
          <w:vertAlign w:val="superscript"/>
        </w:rPr>
      </w:r>
      <w:r w:rsidR="004F7754" w:rsidRPr="00ED3148">
        <w:rPr>
          <w:rFonts w:cstheme="minorHAnsi"/>
          <w:vertAlign w:val="superscript"/>
        </w:rPr>
        <w:fldChar w:fldCharType="separate"/>
      </w:r>
      <w:r w:rsidR="000F6C53">
        <w:rPr>
          <w:rFonts w:cstheme="minorHAnsi"/>
          <w:vertAlign w:val="superscript"/>
        </w:rPr>
        <w:t>21</w:t>
      </w:r>
      <w:r w:rsidR="004F7754" w:rsidRPr="00ED3148">
        <w:rPr>
          <w:rFonts w:cstheme="minorHAnsi"/>
          <w:vertAlign w:val="superscript"/>
        </w:rPr>
        <w:fldChar w:fldCharType="end"/>
      </w:r>
      <w:r w:rsidR="004F7754" w:rsidRPr="00ED3148">
        <w:rPr>
          <w:rFonts w:cstheme="minorHAnsi"/>
          <w:vertAlign w:val="superscript"/>
        </w:rPr>
        <w:t>,</w:t>
      </w:r>
      <w:r w:rsidR="004F7754" w:rsidRPr="00ED3148">
        <w:rPr>
          <w:rFonts w:cstheme="minorHAnsi"/>
          <w:vertAlign w:val="superscript"/>
        </w:rPr>
        <w:fldChar w:fldCharType="begin"/>
      </w:r>
      <w:r w:rsidR="004F7754" w:rsidRPr="00ED3148">
        <w:rPr>
          <w:rFonts w:cstheme="minorHAnsi"/>
          <w:vertAlign w:val="superscript"/>
        </w:rPr>
        <w:instrText xml:space="preserve"> NOTEREF _Ref158638028 \h </w:instrText>
      </w:r>
      <w:r w:rsidR="004F7754">
        <w:rPr>
          <w:rFonts w:cstheme="minorHAnsi"/>
          <w:vertAlign w:val="superscript"/>
        </w:rPr>
        <w:instrText xml:space="preserve"> \* MERGEFORMAT </w:instrText>
      </w:r>
      <w:r w:rsidR="004F7754" w:rsidRPr="00ED3148">
        <w:rPr>
          <w:rFonts w:cstheme="minorHAnsi"/>
          <w:vertAlign w:val="superscript"/>
        </w:rPr>
      </w:r>
      <w:r w:rsidR="004F7754" w:rsidRPr="00ED3148">
        <w:rPr>
          <w:rFonts w:cstheme="minorHAnsi"/>
          <w:vertAlign w:val="superscript"/>
        </w:rPr>
        <w:fldChar w:fldCharType="separate"/>
      </w:r>
      <w:r w:rsidR="000F6C53">
        <w:rPr>
          <w:rFonts w:cstheme="minorHAnsi"/>
          <w:vertAlign w:val="superscript"/>
        </w:rPr>
        <w:t>22</w:t>
      </w:r>
      <w:r w:rsidR="004F7754" w:rsidRPr="00ED3148">
        <w:rPr>
          <w:rFonts w:cstheme="minorHAnsi"/>
          <w:vertAlign w:val="superscript"/>
        </w:rPr>
        <w:fldChar w:fldCharType="end"/>
      </w:r>
      <w:r w:rsidR="007144EC" w:rsidRPr="00AF0457">
        <w:rPr>
          <w:rStyle w:val="EndnoteReference"/>
          <w:rFonts w:cstheme="minorHAnsi"/>
        </w:rPr>
        <w:t xml:space="preserve"> </w:t>
      </w:r>
      <w:r w:rsidR="00F95E5B" w:rsidRPr="00AF0457">
        <w:rPr>
          <w:rFonts w:cstheme="minorHAnsi"/>
        </w:rPr>
        <w:t xml:space="preserve"> </w:t>
      </w:r>
      <w:r w:rsidR="004B5BCB" w:rsidRPr="00AF0457">
        <w:rPr>
          <w:rFonts w:cstheme="minorHAnsi"/>
        </w:rPr>
        <w:t>First,</w:t>
      </w:r>
      <w:r w:rsidR="00B17A56" w:rsidRPr="00AF0457">
        <w:rPr>
          <w:rFonts w:cstheme="minorHAnsi"/>
        </w:rPr>
        <w:t xml:space="preserve"> </w:t>
      </w:r>
      <w:r w:rsidR="00843E01" w:rsidRPr="00AF0457">
        <w:rPr>
          <w:rFonts w:cstheme="minorHAnsi"/>
        </w:rPr>
        <w:t>ratios of</w:t>
      </w:r>
      <w:r w:rsidR="009312BF" w:rsidRPr="00AF0457">
        <w:rPr>
          <w:rFonts w:cstheme="minorHAnsi"/>
        </w:rPr>
        <w:t xml:space="preserve"> </w:t>
      </w:r>
      <w:r w:rsidR="00914EAA" w:rsidRPr="00AF0457">
        <w:rPr>
          <w:rFonts w:cstheme="minorHAnsi"/>
        </w:rPr>
        <w:t>hormone</w:t>
      </w:r>
      <w:r w:rsidR="002C2442" w:rsidRPr="00AF0457">
        <w:rPr>
          <w:rFonts w:cstheme="minorHAnsi"/>
        </w:rPr>
        <w:t>s</w:t>
      </w:r>
      <w:r w:rsidR="00B17A56" w:rsidRPr="00AF0457">
        <w:rPr>
          <w:rFonts w:cstheme="minorHAnsi"/>
        </w:rPr>
        <w:t xml:space="preserve"> are used</w:t>
      </w:r>
      <w:r w:rsidR="00914EAA" w:rsidRPr="00AF0457">
        <w:rPr>
          <w:rFonts w:cstheme="minorHAnsi"/>
        </w:rPr>
        <w:t xml:space="preserve"> </w:t>
      </w:r>
      <w:r w:rsidR="006217CD" w:rsidRPr="00AF0457">
        <w:rPr>
          <w:rFonts w:cstheme="minorHAnsi"/>
        </w:rPr>
        <w:t>with the aim of</w:t>
      </w:r>
      <w:r w:rsidR="002C2442" w:rsidRPr="00AF0457">
        <w:rPr>
          <w:rFonts w:cstheme="minorHAnsi"/>
        </w:rPr>
        <w:t xml:space="preserve"> </w:t>
      </w:r>
      <w:r w:rsidR="009C5197" w:rsidRPr="00AF0457">
        <w:rPr>
          <w:rFonts w:cstheme="minorHAnsi"/>
        </w:rPr>
        <w:t>simultaneously assess</w:t>
      </w:r>
      <w:r w:rsidR="006217CD" w:rsidRPr="00AF0457">
        <w:rPr>
          <w:rFonts w:cstheme="minorHAnsi"/>
        </w:rPr>
        <w:t>ing</w:t>
      </w:r>
      <w:r w:rsidR="009C5197" w:rsidRPr="00AF0457">
        <w:rPr>
          <w:rFonts w:cstheme="minorHAnsi"/>
        </w:rPr>
        <w:t xml:space="preserve"> interdependent hormones and investigat</w:t>
      </w:r>
      <w:r w:rsidR="006217CD" w:rsidRPr="00AF0457">
        <w:rPr>
          <w:rFonts w:cstheme="minorHAnsi"/>
        </w:rPr>
        <w:t>ing</w:t>
      </w:r>
      <w:r w:rsidR="009C5197" w:rsidRPr="00AF0457">
        <w:rPr>
          <w:rFonts w:cstheme="minorHAnsi"/>
        </w:rPr>
        <w:t xml:space="preserve"> complex hormonal interactions.</w:t>
      </w:r>
      <w:r w:rsidR="004207C3" w:rsidRPr="00AF0457">
        <w:rPr>
          <w:rStyle w:val="EndnoteReference"/>
          <w:rFonts w:cstheme="minorHAnsi"/>
        </w:rPr>
        <w:endnoteReference w:id="58"/>
      </w:r>
      <w:r w:rsidR="00A70A06" w:rsidRPr="00AF0457">
        <w:rPr>
          <w:rFonts w:cstheme="minorHAnsi"/>
        </w:rPr>
        <w:t xml:space="preserve"> </w:t>
      </w:r>
      <w:r w:rsidR="003D2DEE" w:rsidRPr="00AF0457">
        <w:rPr>
          <w:rFonts w:cstheme="minorHAnsi"/>
        </w:rPr>
        <w:t>O</w:t>
      </w:r>
      <w:r w:rsidR="00406A19" w:rsidRPr="00AF0457">
        <w:rPr>
          <w:rFonts w:cstheme="minorHAnsi"/>
        </w:rPr>
        <w:t>ur study</w:t>
      </w:r>
      <w:r w:rsidR="009D2FB4" w:rsidRPr="00AF0457">
        <w:rPr>
          <w:rFonts w:cstheme="minorHAnsi"/>
        </w:rPr>
        <w:t xml:space="preserve"> examined </w:t>
      </w:r>
      <w:r w:rsidR="00F72705" w:rsidRPr="00AF0457">
        <w:rPr>
          <w:rFonts w:cstheme="minorHAnsi"/>
        </w:rPr>
        <w:t xml:space="preserve">pituitary response to thyroid hormone feedback </w:t>
      </w:r>
      <w:r w:rsidR="00784CE7" w:rsidRPr="00AF0457">
        <w:rPr>
          <w:rFonts w:cstheme="minorHAnsi"/>
        </w:rPr>
        <w:t>and deiodination</w:t>
      </w:r>
      <w:r w:rsidR="00FE6F39" w:rsidRPr="00AF0457">
        <w:rPr>
          <w:rFonts w:cstheme="minorHAnsi"/>
        </w:rPr>
        <w:t xml:space="preserve"> </w:t>
      </w:r>
      <w:r w:rsidR="009D2FB4" w:rsidRPr="00AF0457">
        <w:rPr>
          <w:rFonts w:cstheme="minorHAnsi"/>
        </w:rPr>
        <w:t>using</w:t>
      </w:r>
      <w:r w:rsidR="008A01AD" w:rsidRPr="00AF0457">
        <w:rPr>
          <w:rFonts w:cstheme="minorHAnsi"/>
        </w:rPr>
        <w:t xml:space="preserve"> ratios of</w:t>
      </w:r>
      <w:r w:rsidR="009D2FB4" w:rsidRPr="00AF0457">
        <w:rPr>
          <w:rFonts w:cstheme="minorHAnsi"/>
        </w:rPr>
        <w:t xml:space="preserve"> TSH</w:t>
      </w:r>
      <w:r w:rsidR="006407C2" w:rsidRPr="00AF0457">
        <w:rPr>
          <w:rFonts w:cstheme="minorHAnsi"/>
        </w:rPr>
        <w:t xml:space="preserve"> to </w:t>
      </w:r>
      <w:r w:rsidR="001C1864" w:rsidRPr="00AF0457">
        <w:rPr>
          <w:rFonts w:cstheme="minorHAnsi"/>
        </w:rPr>
        <w:t>F</w:t>
      </w:r>
      <w:r w:rsidR="009D2FB4" w:rsidRPr="00AF0457">
        <w:rPr>
          <w:rFonts w:cstheme="minorHAnsi"/>
        </w:rPr>
        <w:t xml:space="preserve">T4 </w:t>
      </w:r>
      <w:r w:rsidR="00B974A3" w:rsidRPr="00AF0457">
        <w:rPr>
          <w:rFonts w:cstheme="minorHAnsi"/>
        </w:rPr>
        <w:t>and TSH</w:t>
      </w:r>
      <w:r w:rsidR="006407C2" w:rsidRPr="00AF0457">
        <w:rPr>
          <w:rFonts w:cstheme="minorHAnsi"/>
        </w:rPr>
        <w:t xml:space="preserve"> to </w:t>
      </w:r>
      <w:r w:rsidR="00B974A3" w:rsidRPr="00AF0457">
        <w:rPr>
          <w:rFonts w:cstheme="minorHAnsi"/>
        </w:rPr>
        <w:t>T3,</w:t>
      </w:r>
      <w:r w:rsidR="009D2FB4" w:rsidRPr="00AF0457">
        <w:rPr>
          <w:rFonts w:cstheme="minorHAnsi"/>
        </w:rPr>
        <w:t xml:space="preserve"> and T3/</w:t>
      </w:r>
      <w:r w:rsidR="001C1864" w:rsidRPr="00AF0457">
        <w:rPr>
          <w:rFonts w:cstheme="minorHAnsi"/>
        </w:rPr>
        <w:t>F</w:t>
      </w:r>
      <w:r w:rsidR="009D2FB4" w:rsidRPr="00AF0457">
        <w:rPr>
          <w:rFonts w:cstheme="minorHAnsi"/>
        </w:rPr>
        <w:t>T4 ratio</w:t>
      </w:r>
      <w:r w:rsidR="00C56D0B" w:rsidRPr="00AF0457">
        <w:rPr>
          <w:rFonts w:cstheme="minorHAnsi"/>
        </w:rPr>
        <w:t>, respectively</w:t>
      </w:r>
      <w:r w:rsidR="009D2FB4" w:rsidRPr="00AF0457">
        <w:rPr>
          <w:rFonts w:cstheme="minorHAnsi"/>
        </w:rPr>
        <w:t>.</w:t>
      </w:r>
      <w:r w:rsidR="00287F15" w:rsidRPr="00AF0457">
        <w:rPr>
          <w:rFonts w:cstheme="minorHAnsi"/>
        </w:rPr>
        <w:t xml:space="preserve"> </w:t>
      </w:r>
      <w:r w:rsidR="000B3662" w:rsidRPr="00AF0457">
        <w:rPr>
          <w:rFonts w:cstheme="minorHAnsi"/>
        </w:rPr>
        <w:t>Higher levels of T3</w:t>
      </w:r>
      <w:r w:rsidR="0097652F" w:rsidRPr="00AF0457">
        <w:rPr>
          <w:rFonts w:cstheme="minorHAnsi"/>
        </w:rPr>
        <w:t xml:space="preserve"> to </w:t>
      </w:r>
      <w:r w:rsidR="000B3662" w:rsidRPr="00AF0457">
        <w:rPr>
          <w:rFonts w:cstheme="minorHAnsi"/>
        </w:rPr>
        <w:t xml:space="preserve">FT4 </w:t>
      </w:r>
      <w:r w:rsidR="00BE4F18" w:rsidRPr="00AF0457">
        <w:rPr>
          <w:rFonts w:cstheme="minorHAnsi"/>
        </w:rPr>
        <w:t>are consistent with</w:t>
      </w:r>
      <w:r w:rsidR="000B3662" w:rsidRPr="00AF0457">
        <w:rPr>
          <w:rFonts w:cstheme="minorHAnsi"/>
        </w:rPr>
        <w:t xml:space="preserve"> greater </w:t>
      </w:r>
      <w:r w:rsidR="00986DAA" w:rsidRPr="00AF0457">
        <w:rPr>
          <w:rFonts w:cstheme="minorHAnsi"/>
        </w:rPr>
        <w:t xml:space="preserve">deiodination </w:t>
      </w:r>
      <w:r w:rsidR="000B3662" w:rsidRPr="00AF0457">
        <w:rPr>
          <w:rFonts w:cstheme="minorHAnsi"/>
        </w:rPr>
        <w:t>while higher TSH</w:t>
      </w:r>
      <w:r w:rsidR="0097652F" w:rsidRPr="00AF0457">
        <w:rPr>
          <w:rFonts w:cstheme="minorHAnsi"/>
        </w:rPr>
        <w:t xml:space="preserve"> to </w:t>
      </w:r>
      <w:r w:rsidR="000B3662" w:rsidRPr="00AF0457">
        <w:rPr>
          <w:rFonts w:cstheme="minorHAnsi"/>
        </w:rPr>
        <w:t>FT4 and TSH</w:t>
      </w:r>
      <w:r w:rsidR="0097652F" w:rsidRPr="00AF0457">
        <w:rPr>
          <w:rFonts w:cstheme="minorHAnsi"/>
        </w:rPr>
        <w:t xml:space="preserve"> to </w:t>
      </w:r>
      <w:r w:rsidR="000B3662" w:rsidRPr="00AF0457">
        <w:rPr>
          <w:rFonts w:cstheme="minorHAnsi"/>
        </w:rPr>
        <w:t xml:space="preserve">T3 </w:t>
      </w:r>
      <w:r w:rsidR="003D2DEE" w:rsidRPr="00AF0457">
        <w:rPr>
          <w:rFonts w:cstheme="minorHAnsi"/>
        </w:rPr>
        <w:t xml:space="preserve">ratios </w:t>
      </w:r>
      <w:r w:rsidR="00BE4F18" w:rsidRPr="00AF0457">
        <w:rPr>
          <w:rFonts w:cstheme="minorHAnsi"/>
        </w:rPr>
        <w:t xml:space="preserve">are consistent with </w:t>
      </w:r>
      <w:r w:rsidR="0068160B" w:rsidRPr="00AF0457">
        <w:rPr>
          <w:rFonts w:cstheme="minorHAnsi"/>
        </w:rPr>
        <w:t xml:space="preserve">decreased </w:t>
      </w:r>
      <w:r w:rsidR="00E37C10" w:rsidRPr="00AF0457">
        <w:rPr>
          <w:rFonts w:cstheme="minorHAnsi"/>
        </w:rPr>
        <w:t>pituitary</w:t>
      </w:r>
      <w:r w:rsidR="009E6F50" w:rsidRPr="00AF0457">
        <w:rPr>
          <w:rFonts w:cstheme="minorHAnsi"/>
        </w:rPr>
        <w:t xml:space="preserve"> (TSH) </w:t>
      </w:r>
      <w:r w:rsidR="00F72705" w:rsidRPr="00AF0457">
        <w:rPr>
          <w:rFonts w:cstheme="minorHAnsi"/>
        </w:rPr>
        <w:t>response</w:t>
      </w:r>
      <w:r w:rsidR="00E37C10" w:rsidRPr="00AF0457">
        <w:rPr>
          <w:rFonts w:cstheme="minorHAnsi"/>
        </w:rPr>
        <w:t xml:space="preserve"> </w:t>
      </w:r>
      <w:r w:rsidR="0068160B" w:rsidRPr="00AF0457">
        <w:rPr>
          <w:rFonts w:cstheme="minorHAnsi"/>
        </w:rPr>
        <w:t>to thyroid hormones</w:t>
      </w:r>
      <w:r w:rsidR="00816EF7" w:rsidRPr="00AF0457">
        <w:rPr>
          <w:rFonts w:cstheme="minorHAnsi"/>
        </w:rPr>
        <w:t>.</w:t>
      </w:r>
      <w:r w:rsidR="00AD5C2F" w:rsidRPr="00AD5C2F">
        <w:rPr>
          <w:rFonts w:cstheme="minorHAnsi"/>
          <w:vertAlign w:val="superscript"/>
        </w:rPr>
        <w:fldChar w:fldCharType="begin"/>
      </w:r>
      <w:r w:rsidR="00AD5C2F" w:rsidRPr="00AD5C2F">
        <w:rPr>
          <w:rFonts w:cstheme="minorHAnsi"/>
          <w:vertAlign w:val="superscript"/>
        </w:rPr>
        <w:instrText xml:space="preserve"> NOTEREF _Ref158638025 \h </w:instrText>
      </w:r>
      <w:r w:rsidR="00AD5C2F" w:rsidRPr="00AD5C2F">
        <w:rPr>
          <w:rFonts w:cstheme="minorHAnsi"/>
          <w:vertAlign w:val="superscript"/>
        </w:rPr>
      </w:r>
      <w:r w:rsidR="00AD5C2F">
        <w:rPr>
          <w:rFonts w:cstheme="minorHAnsi"/>
          <w:vertAlign w:val="superscript"/>
        </w:rPr>
        <w:instrText xml:space="preserve"> \* MERGEFORMAT </w:instrText>
      </w:r>
      <w:r w:rsidR="00AD5C2F" w:rsidRPr="00AD5C2F">
        <w:rPr>
          <w:rFonts w:cstheme="minorHAnsi"/>
          <w:vertAlign w:val="superscript"/>
        </w:rPr>
        <w:fldChar w:fldCharType="separate"/>
      </w:r>
      <w:r w:rsidR="000F6C53">
        <w:rPr>
          <w:rFonts w:cstheme="minorHAnsi"/>
          <w:vertAlign w:val="superscript"/>
        </w:rPr>
        <w:t>21</w:t>
      </w:r>
      <w:r w:rsidR="00AD5C2F" w:rsidRPr="00AD5C2F">
        <w:rPr>
          <w:rFonts w:cstheme="minorHAnsi"/>
          <w:vertAlign w:val="superscript"/>
        </w:rPr>
        <w:fldChar w:fldCharType="end"/>
      </w:r>
      <w:r w:rsidR="00AD5C2F" w:rsidRPr="00AF0457">
        <w:rPr>
          <w:rFonts w:cstheme="minorHAnsi"/>
        </w:rPr>
        <w:t xml:space="preserve"> </w:t>
      </w:r>
    </w:p>
    <w:p w14:paraId="1620D188" w14:textId="48BA0557" w:rsidR="007A32EF" w:rsidRPr="00AF0457" w:rsidRDefault="005440D5" w:rsidP="00CC21FA">
      <w:pPr>
        <w:spacing w:after="40" w:line="480" w:lineRule="auto"/>
        <w:ind w:left="-4" w:right="58" w:firstLine="724"/>
        <w:rPr>
          <w:rFonts w:cstheme="minorHAnsi"/>
        </w:rPr>
      </w:pPr>
      <w:r w:rsidRPr="00AF0457">
        <w:rPr>
          <w:rFonts w:cstheme="minorHAnsi"/>
        </w:rPr>
        <w:t>Second, w</w:t>
      </w:r>
      <w:r w:rsidR="002D12B3" w:rsidRPr="00AF0457">
        <w:rPr>
          <w:rFonts w:cstheme="minorHAnsi"/>
        </w:rPr>
        <w:t>e assessed</w:t>
      </w:r>
      <w:r w:rsidR="00072281" w:rsidRPr="00AF0457">
        <w:rPr>
          <w:rFonts w:cstheme="minorHAnsi"/>
        </w:rPr>
        <w:t xml:space="preserve"> additional indicators of </w:t>
      </w:r>
      <w:r w:rsidR="00D41123" w:rsidRPr="00AF0457">
        <w:rPr>
          <w:rFonts w:cstheme="minorHAnsi"/>
        </w:rPr>
        <w:t>pituitary</w:t>
      </w:r>
      <w:r w:rsidR="00F563BF" w:rsidRPr="00AF0457">
        <w:rPr>
          <w:rFonts w:cstheme="minorHAnsi"/>
        </w:rPr>
        <w:t xml:space="preserve"> </w:t>
      </w:r>
      <w:r w:rsidR="00072281" w:rsidRPr="00AF0457">
        <w:rPr>
          <w:rFonts w:cstheme="minorHAnsi"/>
        </w:rPr>
        <w:t>sensitivity</w:t>
      </w:r>
      <w:r w:rsidR="00AF410F" w:rsidRPr="00AF0457">
        <w:rPr>
          <w:rFonts w:cstheme="minorHAnsi"/>
        </w:rPr>
        <w:t xml:space="preserve"> to thyroid hormones</w:t>
      </w:r>
      <w:r w:rsidR="00072281" w:rsidRPr="00AF0457">
        <w:rPr>
          <w:rFonts w:cstheme="minorHAnsi"/>
        </w:rPr>
        <w:t xml:space="preserve"> </w:t>
      </w:r>
      <w:r w:rsidR="009760BA" w:rsidRPr="00AF0457">
        <w:rPr>
          <w:rFonts w:cstheme="minorHAnsi"/>
        </w:rPr>
        <w:t>using four</w:t>
      </w:r>
      <w:r w:rsidR="0006542A" w:rsidRPr="00AF0457">
        <w:rPr>
          <w:rFonts w:cstheme="minorHAnsi"/>
        </w:rPr>
        <w:t xml:space="preserve"> </w:t>
      </w:r>
      <w:r w:rsidR="009760BA" w:rsidRPr="00AF0457">
        <w:rPr>
          <w:rFonts w:cstheme="minorHAnsi"/>
        </w:rPr>
        <w:t>indices: Thyrotroph T4 Resistance Index (TT4RI), TSH Index (TSHI), Thyroid Feedback Quantile-based Index (TFQI)</w:t>
      </w:r>
      <w:r w:rsidR="003D2DEE" w:rsidRPr="00AF0457">
        <w:rPr>
          <w:rFonts w:cstheme="minorHAnsi"/>
        </w:rPr>
        <w:t>,</w:t>
      </w:r>
      <w:r w:rsidR="009760BA" w:rsidRPr="00AF0457">
        <w:rPr>
          <w:rFonts w:cstheme="minorHAnsi"/>
        </w:rPr>
        <w:t xml:space="preserve"> and Parametric Thyroid Feedback Quantile</w:t>
      </w:r>
      <w:r w:rsidR="00306641" w:rsidRPr="00AF0457">
        <w:rPr>
          <w:rFonts w:cstheme="minorHAnsi"/>
        </w:rPr>
        <w:t>-</w:t>
      </w:r>
      <w:r w:rsidR="009760BA" w:rsidRPr="00AF0457">
        <w:rPr>
          <w:rFonts w:cstheme="minorHAnsi"/>
        </w:rPr>
        <w:t>based Index (PTFQI).</w:t>
      </w:r>
      <w:r w:rsidR="00E25D53" w:rsidRPr="00AF0457">
        <w:rPr>
          <w:rFonts w:cstheme="minorHAnsi"/>
        </w:rPr>
        <w:t xml:space="preserve"> Details</w:t>
      </w:r>
      <w:r w:rsidR="0089532A" w:rsidRPr="00AF0457">
        <w:rPr>
          <w:rFonts w:cstheme="minorHAnsi"/>
        </w:rPr>
        <w:t xml:space="preserve"> </w:t>
      </w:r>
      <w:r w:rsidR="00E25D53" w:rsidRPr="00AF0457">
        <w:rPr>
          <w:rFonts w:cstheme="minorHAnsi"/>
        </w:rPr>
        <w:t>and</w:t>
      </w:r>
      <w:r w:rsidR="00962F5A" w:rsidRPr="00AF0457">
        <w:rPr>
          <w:rFonts w:cstheme="minorHAnsi"/>
        </w:rPr>
        <w:t xml:space="preserve"> methods to</w:t>
      </w:r>
      <w:r w:rsidR="00E25D53" w:rsidRPr="00AF0457">
        <w:rPr>
          <w:rFonts w:cstheme="minorHAnsi"/>
        </w:rPr>
        <w:t xml:space="preserve"> calculat</w:t>
      </w:r>
      <w:r w:rsidR="00962F5A" w:rsidRPr="00AF0457">
        <w:rPr>
          <w:rFonts w:cstheme="minorHAnsi"/>
        </w:rPr>
        <w:t>e</w:t>
      </w:r>
      <w:r w:rsidR="00A03685" w:rsidRPr="00AF0457">
        <w:rPr>
          <w:rFonts w:cstheme="minorHAnsi"/>
        </w:rPr>
        <w:t xml:space="preserve"> these indices </w:t>
      </w:r>
      <w:r w:rsidR="00E25D53" w:rsidRPr="00AF0457">
        <w:rPr>
          <w:rFonts w:cstheme="minorHAnsi"/>
        </w:rPr>
        <w:t>have been described</w:t>
      </w:r>
      <w:r w:rsidR="00CD4C0C" w:rsidRPr="00AF0457">
        <w:rPr>
          <w:rFonts w:cstheme="minorHAnsi"/>
        </w:rPr>
        <w:t xml:space="preserve"> in </w:t>
      </w:r>
      <w:r w:rsidR="00007031" w:rsidRPr="00AF0457">
        <w:rPr>
          <w:rFonts w:cstheme="minorHAnsi"/>
        </w:rPr>
        <w:t>previous</w:t>
      </w:r>
      <w:r w:rsidR="00CD4C0C" w:rsidRPr="00AF0457">
        <w:rPr>
          <w:rFonts w:cstheme="minorHAnsi"/>
        </w:rPr>
        <w:t xml:space="preserve"> studies</w:t>
      </w:r>
      <w:r w:rsidR="00E25D53" w:rsidRPr="00AF0457">
        <w:rPr>
          <w:rFonts w:cstheme="minorHAnsi"/>
        </w:rPr>
        <w:t>.</w:t>
      </w:r>
      <w:r w:rsidR="00341236" w:rsidRPr="00ED3148">
        <w:rPr>
          <w:rFonts w:cstheme="minorHAnsi"/>
          <w:vertAlign w:val="superscript"/>
        </w:rPr>
        <w:fldChar w:fldCharType="begin"/>
      </w:r>
      <w:r w:rsidR="00341236" w:rsidRPr="00ED3148">
        <w:rPr>
          <w:rFonts w:cstheme="minorHAnsi"/>
          <w:vertAlign w:val="superscript"/>
        </w:rPr>
        <w:instrText xml:space="preserve"> NOTEREF _Ref158637900 \h </w:instrText>
      </w:r>
      <w:r w:rsidR="00341236">
        <w:rPr>
          <w:rFonts w:cstheme="minorHAnsi"/>
          <w:vertAlign w:val="superscript"/>
        </w:rPr>
        <w:instrText xml:space="preserve"> \* MERGEFORMAT </w:instrText>
      </w:r>
      <w:r w:rsidR="00341236" w:rsidRPr="00ED3148">
        <w:rPr>
          <w:rFonts w:cstheme="minorHAnsi"/>
          <w:vertAlign w:val="superscript"/>
        </w:rPr>
      </w:r>
      <w:r w:rsidR="00341236" w:rsidRPr="00ED3148">
        <w:rPr>
          <w:rFonts w:cstheme="minorHAnsi"/>
          <w:vertAlign w:val="superscript"/>
        </w:rPr>
        <w:fldChar w:fldCharType="separate"/>
      </w:r>
      <w:r w:rsidR="000F6C53">
        <w:rPr>
          <w:rFonts w:cstheme="minorHAnsi"/>
          <w:vertAlign w:val="superscript"/>
        </w:rPr>
        <w:t>19</w:t>
      </w:r>
      <w:r w:rsidR="00341236" w:rsidRPr="00ED3148">
        <w:rPr>
          <w:rFonts w:cstheme="minorHAnsi"/>
          <w:vertAlign w:val="superscript"/>
        </w:rPr>
        <w:fldChar w:fldCharType="end"/>
      </w:r>
      <w:r w:rsidR="00341236" w:rsidRPr="00ED3148">
        <w:rPr>
          <w:rFonts w:cstheme="minorHAnsi"/>
          <w:vertAlign w:val="superscript"/>
        </w:rPr>
        <w:t>,</w:t>
      </w:r>
      <w:r w:rsidR="00341236" w:rsidRPr="00ED3148">
        <w:rPr>
          <w:rFonts w:cstheme="minorHAnsi"/>
          <w:vertAlign w:val="superscript"/>
        </w:rPr>
        <w:fldChar w:fldCharType="begin"/>
      </w:r>
      <w:r w:rsidR="00341236" w:rsidRPr="00ED3148">
        <w:rPr>
          <w:rFonts w:cstheme="minorHAnsi"/>
          <w:vertAlign w:val="superscript"/>
        </w:rPr>
        <w:instrText xml:space="preserve"> NOTEREF _Ref158637897 \h </w:instrText>
      </w:r>
      <w:r w:rsidR="00341236">
        <w:rPr>
          <w:rFonts w:cstheme="minorHAnsi"/>
          <w:vertAlign w:val="superscript"/>
        </w:rPr>
        <w:instrText xml:space="preserve"> \* MERGEFORMAT </w:instrText>
      </w:r>
      <w:r w:rsidR="00341236" w:rsidRPr="00ED3148">
        <w:rPr>
          <w:rFonts w:cstheme="minorHAnsi"/>
          <w:vertAlign w:val="superscript"/>
        </w:rPr>
      </w:r>
      <w:r w:rsidR="00341236" w:rsidRPr="00ED3148">
        <w:rPr>
          <w:rFonts w:cstheme="minorHAnsi"/>
          <w:vertAlign w:val="superscript"/>
        </w:rPr>
        <w:fldChar w:fldCharType="separate"/>
      </w:r>
      <w:r w:rsidR="000F6C53">
        <w:rPr>
          <w:rFonts w:cstheme="minorHAnsi"/>
          <w:vertAlign w:val="superscript"/>
        </w:rPr>
        <w:t>20</w:t>
      </w:r>
      <w:r w:rsidR="00341236" w:rsidRPr="00ED3148">
        <w:rPr>
          <w:rFonts w:cstheme="minorHAnsi"/>
          <w:vertAlign w:val="superscript"/>
        </w:rPr>
        <w:fldChar w:fldCharType="end"/>
      </w:r>
      <w:r w:rsidR="009760BA" w:rsidRPr="00AF0457">
        <w:rPr>
          <w:rFonts w:cstheme="minorHAnsi"/>
        </w:rPr>
        <w:t xml:space="preserve"> </w:t>
      </w:r>
      <w:r w:rsidR="003D3B99" w:rsidRPr="003D3B99">
        <w:rPr>
          <w:rFonts w:cstheme="minorHAnsi"/>
        </w:rPr>
        <w:t>Briefly, TSHI was developed to examine the FT4-TSH feedback relationship under the assumption that changes in TSH were mainly due to changes in FT4. TSHI is calculated as Ln TSH (mIU/L) + 0.1345 * FT4 (pmol/L) while TT4RI is calculated as FT4 (pmol/L) * TSH (mIU/L). Higher levels of TSHI and TT4RI suggest lower pituitary sensitivity to thyroid hormones. TFQI and PTFQI were developed to minimize the effects of outlier values, with the PTFQI allowing for adjustment for population differences. These indices rank FT4 and TSH and convert them to quantiles between 0 and 1 accounting for sampling weights. TFQI was calculated using the cumulative distribution function (cdf) as cdf FT4-(1-cdf TSH), while PTFI was calculated using the standard normal cdf (Ф) as Ф ((FT4 – μ FT4) / σ FT4) - (1 - Ф ((Ln TSH – μ Ln TSH) / σ Ln TSH)), where μ = corresponding mean for TSH and FT4 in men and women, σ = corresponding standard deviation for TSH and FT4 in men and women</w:t>
      </w:r>
      <w:r w:rsidR="003D3B99">
        <w:rPr>
          <w:rFonts w:cstheme="minorHAnsi"/>
        </w:rPr>
        <w:t xml:space="preserve">. </w:t>
      </w:r>
      <w:r w:rsidR="008029F3" w:rsidRPr="00AF0457">
        <w:rPr>
          <w:rFonts w:cstheme="minorHAnsi"/>
        </w:rPr>
        <w:t xml:space="preserve">For these indices, higher values indicate </w:t>
      </w:r>
      <w:r w:rsidR="003D2DEE" w:rsidRPr="00AF0457">
        <w:rPr>
          <w:rFonts w:cstheme="minorHAnsi"/>
        </w:rPr>
        <w:t xml:space="preserve">reduced </w:t>
      </w:r>
      <w:r w:rsidR="00651BC0" w:rsidRPr="00AF0457">
        <w:rPr>
          <w:rFonts w:cstheme="minorHAnsi"/>
        </w:rPr>
        <w:t>pituitary</w:t>
      </w:r>
      <w:r w:rsidR="005C0420" w:rsidRPr="00AF0457">
        <w:rPr>
          <w:rFonts w:cstheme="minorHAnsi"/>
        </w:rPr>
        <w:t xml:space="preserve"> (TSH)</w:t>
      </w:r>
      <w:r w:rsidR="008029F3" w:rsidRPr="00AF0457">
        <w:rPr>
          <w:rFonts w:cstheme="minorHAnsi"/>
        </w:rPr>
        <w:t xml:space="preserve"> sensitivity to thyroid hormones. </w:t>
      </w:r>
      <w:r w:rsidR="00C032B4" w:rsidRPr="00AF0457">
        <w:rPr>
          <w:rFonts w:cstheme="minorHAnsi"/>
        </w:rPr>
        <w:t>Specifically,</w:t>
      </w:r>
      <w:r w:rsidR="009760BA" w:rsidRPr="00AF0457">
        <w:rPr>
          <w:rFonts w:cstheme="minorHAnsi"/>
        </w:rPr>
        <w:t xml:space="preserve"> </w:t>
      </w:r>
      <w:r w:rsidR="008029F3" w:rsidRPr="00AF0457">
        <w:rPr>
          <w:rFonts w:cstheme="minorHAnsi"/>
        </w:rPr>
        <w:t xml:space="preserve">a </w:t>
      </w:r>
      <w:r w:rsidR="009760BA" w:rsidRPr="00AF0457">
        <w:rPr>
          <w:rFonts w:cstheme="minorHAnsi"/>
        </w:rPr>
        <w:t>negative index indicates higher inhibition, or higher sensitivity</w:t>
      </w:r>
      <w:r w:rsidR="00763DC6" w:rsidRPr="00AF0457">
        <w:rPr>
          <w:rFonts w:cstheme="minorHAnsi"/>
        </w:rPr>
        <w:t xml:space="preserve"> of the pituitary</w:t>
      </w:r>
      <w:r w:rsidR="009760BA" w:rsidRPr="00AF0457">
        <w:rPr>
          <w:rFonts w:cstheme="minorHAnsi"/>
        </w:rPr>
        <w:t xml:space="preserve"> to FT4, and a positive index indicates lower inhibition, or lower sensitivity to FT4.</w:t>
      </w:r>
      <w:r w:rsidR="00D772DF" w:rsidRPr="00D772DF">
        <w:rPr>
          <w:rFonts w:cstheme="minorHAnsi"/>
          <w:vertAlign w:val="superscript"/>
        </w:rPr>
        <w:fldChar w:fldCharType="begin"/>
      </w:r>
      <w:r w:rsidR="00D772DF" w:rsidRPr="00D772DF">
        <w:rPr>
          <w:rFonts w:cstheme="minorHAnsi"/>
          <w:vertAlign w:val="superscript"/>
        </w:rPr>
        <w:instrText xml:space="preserve"> NOTEREF _Ref158637900 \h </w:instrText>
      </w:r>
      <w:r w:rsidR="00D772DF" w:rsidRPr="00D772DF">
        <w:rPr>
          <w:rFonts w:cstheme="minorHAnsi"/>
          <w:vertAlign w:val="superscript"/>
        </w:rPr>
      </w:r>
      <w:r w:rsidR="00D772DF">
        <w:rPr>
          <w:rFonts w:cstheme="minorHAnsi"/>
          <w:vertAlign w:val="superscript"/>
        </w:rPr>
        <w:instrText xml:space="preserve"> \* MERGEFORMAT </w:instrText>
      </w:r>
      <w:r w:rsidR="00D772DF" w:rsidRPr="00D772DF">
        <w:rPr>
          <w:rFonts w:cstheme="minorHAnsi"/>
          <w:vertAlign w:val="superscript"/>
        </w:rPr>
        <w:fldChar w:fldCharType="separate"/>
      </w:r>
      <w:r w:rsidR="000F6C53">
        <w:rPr>
          <w:rFonts w:cstheme="minorHAnsi"/>
          <w:vertAlign w:val="superscript"/>
        </w:rPr>
        <w:t>19</w:t>
      </w:r>
      <w:r w:rsidR="00D772DF" w:rsidRPr="00D772DF">
        <w:rPr>
          <w:rFonts w:cstheme="minorHAnsi"/>
          <w:vertAlign w:val="superscript"/>
        </w:rPr>
        <w:fldChar w:fldCharType="end"/>
      </w:r>
      <w:r w:rsidR="00D772DF" w:rsidRPr="00D772DF">
        <w:rPr>
          <w:rFonts w:cstheme="minorHAnsi"/>
          <w:vertAlign w:val="superscript"/>
        </w:rPr>
        <w:t>,</w:t>
      </w:r>
      <w:r w:rsidR="00D772DF" w:rsidRPr="00D772DF">
        <w:rPr>
          <w:rFonts w:cstheme="minorHAnsi"/>
          <w:vertAlign w:val="superscript"/>
        </w:rPr>
        <w:fldChar w:fldCharType="begin"/>
      </w:r>
      <w:r w:rsidR="00D772DF" w:rsidRPr="00D772DF">
        <w:rPr>
          <w:rFonts w:cstheme="minorHAnsi"/>
          <w:vertAlign w:val="superscript"/>
        </w:rPr>
        <w:instrText xml:space="preserve"> NOTEREF _Ref158637897 \h </w:instrText>
      </w:r>
      <w:r w:rsidR="00D772DF" w:rsidRPr="00D772DF">
        <w:rPr>
          <w:rFonts w:cstheme="minorHAnsi"/>
          <w:vertAlign w:val="superscript"/>
        </w:rPr>
      </w:r>
      <w:r w:rsidR="00D772DF">
        <w:rPr>
          <w:rFonts w:cstheme="minorHAnsi"/>
          <w:vertAlign w:val="superscript"/>
        </w:rPr>
        <w:instrText xml:space="preserve"> \* MERGEFORMAT </w:instrText>
      </w:r>
      <w:r w:rsidR="00D772DF" w:rsidRPr="00D772DF">
        <w:rPr>
          <w:rFonts w:cstheme="minorHAnsi"/>
          <w:vertAlign w:val="superscript"/>
        </w:rPr>
        <w:fldChar w:fldCharType="separate"/>
      </w:r>
      <w:r w:rsidR="000F6C53">
        <w:rPr>
          <w:rFonts w:cstheme="minorHAnsi"/>
          <w:vertAlign w:val="superscript"/>
        </w:rPr>
        <w:t>20</w:t>
      </w:r>
      <w:r w:rsidR="00D772DF" w:rsidRPr="00D772DF">
        <w:rPr>
          <w:rFonts w:cstheme="minorHAnsi"/>
          <w:vertAlign w:val="superscript"/>
        </w:rPr>
        <w:fldChar w:fldCharType="end"/>
      </w:r>
    </w:p>
    <w:p w14:paraId="589910A1" w14:textId="2DB5553C" w:rsidR="003D2DEE" w:rsidRPr="00AF0457" w:rsidRDefault="00503CC8" w:rsidP="00CC21FA">
      <w:pPr>
        <w:spacing w:after="40" w:line="480" w:lineRule="auto"/>
        <w:ind w:left="-4" w:right="58" w:firstLine="724"/>
        <w:rPr>
          <w:rFonts w:cstheme="minorHAnsi"/>
        </w:rPr>
      </w:pPr>
      <w:r w:rsidRPr="00AF0457">
        <w:rPr>
          <w:rFonts w:cstheme="minorHAnsi"/>
        </w:rPr>
        <w:lastRenderedPageBreak/>
        <w:t>F</w:t>
      </w:r>
      <w:r w:rsidR="000E6E55" w:rsidRPr="00AF0457">
        <w:rPr>
          <w:rFonts w:cstheme="minorHAnsi"/>
        </w:rPr>
        <w:t xml:space="preserve">or comparison to prior studies which examined associations of </w:t>
      </w:r>
      <w:r w:rsidR="00693253" w:rsidRPr="00AF0457">
        <w:rPr>
          <w:rFonts w:cstheme="minorHAnsi"/>
        </w:rPr>
        <w:t>thyroid-related</w:t>
      </w:r>
      <w:r w:rsidR="00171826" w:rsidRPr="00AF0457">
        <w:rPr>
          <w:rFonts w:cstheme="minorHAnsi"/>
        </w:rPr>
        <w:t xml:space="preserve"> </w:t>
      </w:r>
      <w:r w:rsidR="000E6E55" w:rsidRPr="00AF0457">
        <w:rPr>
          <w:rFonts w:cstheme="minorHAnsi"/>
        </w:rPr>
        <w:t xml:space="preserve">hormones with hypertension and </w:t>
      </w:r>
      <w:r w:rsidR="00F64F19" w:rsidRPr="00AF0457">
        <w:rPr>
          <w:rFonts w:cstheme="minorHAnsi"/>
        </w:rPr>
        <w:t xml:space="preserve">BP </w:t>
      </w:r>
      <w:r w:rsidR="000E6E55" w:rsidRPr="00AF0457">
        <w:rPr>
          <w:rFonts w:cstheme="minorHAnsi"/>
        </w:rPr>
        <w:t xml:space="preserve">in euthyroid </w:t>
      </w:r>
      <w:r w:rsidR="000E1DDE" w:rsidRPr="00AF0457">
        <w:rPr>
          <w:rFonts w:cstheme="minorHAnsi"/>
        </w:rPr>
        <w:t>individuals</w:t>
      </w:r>
      <w:r w:rsidR="000E6E55" w:rsidRPr="00AF0457">
        <w:rPr>
          <w:rFonts w:cstheme="minorHAnsi"/>
        </w:rPr>
        <w:t xml:space="preserve">, we conducted a </w:t>
      </w:r>
      <w:r w:rsidR="0039183F" w:rsidRPr="00AF0457">
        <w:rPr>
          <w:rFonts w:cstheme="minorHAnsi"/>
        </w:rPr>
        <w:t>sub</w:t>
      </w:r>
      <w:r w:rsidR="005F6495" w:rsidRPr="00AF0457">
        <w:rPr>
          <w:rFonts w:cstheme="minorHAnsi"/>
        </w:rPr>
        <w:t>-</w:t>
      </w:r>
      <w:r w:rsidR="0039183F" w:rsidRPr="00AF0457">
        <w:rPr>
          <w:rFonts w:cstheme="minorHAnsi"/>
        </w:rPr>
        <w:t>analysis</w:t>
      </w:r>
      <w:r w:rsidR="000E6E55" w:rsidRPr="00AF0457">
        <w:rPr>
          <w:rFonts w:cstheme="minorHAnsi"/>
        </w:rPr>
        <w:t xml:space="preserve"> </w:t>
      </w:r>
      <w:r w:rsidR="003F30DE" w:rsidRPr="00AF0457">
        <w:rPr>
          <w:rFonts w:cstheme="minorHAnsi"/>
        </w:rPr>
        <w:t xml:space="preserve">among </w:t>
      </w:r>
      <w:r w:rsidR="000E6E55" w:rsidRPr="00AF0457">
        <w:rPr>
          <w:rFonts w:cstheme="minorHAnsi"/>
        </w:rPr>
        <w:t xml:space="preserve">euthyroid </w:t>
      </w:r>
      <w:r w:rsidR="007D3322" w:rsidRPr="00AF0457">
        <w:rPr>
          <w:rFonts w:cstheme="minorHAnsi"/>
        </w:rPr>
        <w:t>individuals</w:t>
      </w:r>
      <w:r w:rsidR="000E6E55" w:rsidRPr="00AF0457">
        <w:rPr>
          <w:rFonts w:cstheme="minorHAnsi"/>
        </w:rPr>
        <w:t xml:space="preserve">. </w:t>
      </w:r>
      <w:r w:rsidR="002B7E8A" w:rsidRPr="00AF0457">
        <w:rPr>
          <w:rFonts w:cstheme="minorHAnsi"/>
        </w:rPr>
        <w:t xml:space="preserve">Individuals </w:t>
      </w:r>
      <w:r w:rsidR="000E6E55" w:rsidRPr="00AF0457">
        <w:rPr>
          <w:rFonts w:cstheme="minorHAnsi"/>
        </w:rPr>
        <w:t>were classified as euthyroid if they</w:t>
      </w:r>
      <w:r w:rsidR="00AA4AF6" w:rsidRPr="00AF0457">
        <w:rPr>
          <w:rFonts w:cstheme="minorHAnsi"/>
        </w:rPr>
        <w:t xml:space="preserve"> were not taking </w:t>
      </w:r>
      <w:r w:rsidR="005F6495" w:rsidRPr="00AF0457">
        <w:rPr>
          <w:rFonts w:cstheme="minorHAnsi"/>
        </w:rPr>
        <w:t xml:space="preserve"> </w:t>
      </w:r>
      <w:r w:rsidR="00AA4AF6" w:rsidRPr="00AF0457">
        <w:rPr>
          <w:rFonts w:cstheme="minorHAnsi"/>
        </w:rPr>
        <w:t>thyroid medication</w:t>
      </w:r>
      <w:r w:rsidR="005E79C8">
        <w:rPr>
          <w:rFonts w:cstheme="minorHAnsi"/>
        </w:rPr>
        <w:t>s</w:t>
      </w:r>
      <w:r w:rsidR="00AA4AF6" w:rsidRPr="00AF0457">
        <w:rPr>
          <w:rFonts w:cstheme="minorHAnsi"/>
        </w:rPr>
        <w:t xml:space="preserve"> and</w:t>
      </w:r>
      <w:r w:rsidR="000E6E55" w:rsidRPr="00AF0457">
        <w:rPr>
          <w:rFonts w:cstheme="minorHAnsi"/>
        </w:rPr>
        <w:t xml:space="preserve"> </w:t>
      </w:r>
      <w:r w:rsidR="005F6495" w:rsidRPr="00AF0457">
        <w:rPr>
          <w:rFonts w:cstheme="minorHAnsi"/>
        </w:rPr>
        <w:t xml:space="preserve">all thyroid-related hormone levels were in the normal range for the laboratory </w:t>
      </w:r>
      <w:bookmarkStart w:id="46" w:name="_Hlk158378550"/>
      <w:r w:rsidR="005F6495" w:rsidRPr="00AF0457">
        <w:rPr>
          <w:rFonts w:cstheme="minorHAnsi"/>
        </w:rPr>
        <w:t xml:space="preserve">based upon the </w:t>
      </w:r>
      <w:r w:rsidR="000E6E55" w:rsidRPr="00AF0457">
        <w:rPr>
          <w:rFonts w:cstheme="minorHAnsi"/>
        </w:rPr>
        <w:t xml:space="preserve">following criteria: T3 levels between 60-181 ng/dL, TSH levels between 0.27-4.2 mIU/L and </w:t>
      </w:r>
      <w:r w:rsidR="006F61B1" w:rsidRPr="00AF0457">
        <w:rPr>
          <w:rFonts w:cstheme="minorHAnsi"/>
        </w:rPr>
        <w:t>F</w:t>
      </w:r>
      <w:r w:rsidR="000E6E55" w:rsidRPr="00AF0457">
        <w:rPr>
          <w:rFonts w:cstheme="minorHAnsi"/>
        </w:rPr>
        <w:t>T4 levels between 0.93-1.70 ng/dL.</w:t>
      </w:r>
      <w:r w:rsidR="00A40FE3" w:rsidRPr="00AF0457">
        <w:rPr>
          <w:rFonts w:cstheme="minorHAnsi"/>
        </w:rPr>
        <w:t xml:space="preserve"> </w:t>
      </w:r>
      <w:bookmarkEnd w:id="46"/>
      <w:r w:rsidR="00A40FE3" w:rsidRPr="00AF0457">
        <w:rPr>
          <w:rFonts w:cstheme="minorHAnsi"/>
        </w:rPr>
        <w:t>The study population for the euthyroid analyses</w:t>
      </w:r>
      <w:r w:rsidR="00B87701" w:rsidRPr="00AF0457">
        <w:rPr>
          <w:rFonts w:cstheme="minorHAnsi"/>
        </w:rPr>
        <w:t xml:space="preserve"> was</w:t>
      </w:r>
      <w:r w:rsidR="00A40FE3" w:rsidRPr="00AF0457">
        <w:rPr>
          <w:rFonts w:cstheme="minorHAnsi"/>
        </w:rPr>
        <w:t xml:space="preserve"> comprised </w:t>
      </w:r>
      <w:r w:rsidR="00B87701" w:rsidRPr="00AF0457">
        <w:rPr>
          <w:rFonts w:cstheme="minorHAnsi"/>
        </w:rPr>
        <w:t xml:space="preserve">of </w:t>
      </w:r>
      <w:r w:rsidR="00AB3036" w:rsidRPr="00AF0457">
        <w:rPr>
          <w:rFonts w:cstheme="minorHAnsi"/>
        </w:rPr>
        <w:t>91</w:t>
      </w:r>
      <w:r w:rsidR="00D33BC3" w:rsidRPr="00AF0457">
        <w:rPr>
          <w:rFonts w:cstheme="minorHAnsi"/>
        </w:rPr>
        <w:t>2</w:t>
      </w:r>
      <w:r w:rsidR="00A40FE3" w:rsidRPr="00AF0457">
        <w:rPr>
          <w:rFonts w:cstheme="minorHAnsi"/>
        </w:rPr>
        <w:t xml:space="preserve"> men and </w:t>
      </w:r>
      <w:r w:rsidR="00AB3036" w:rsidRPr="00AF0457">
        <w:rPr>
          <w:rFonts w:cstheme="minorHAnsi"/>
        </w:rPr>
        <w:t>610</w:t>
      </w:r>
      <w:r w:rsidR="00A40FE3" w:rsidRPr="00AF0457">
        <w:rPr>
          <w:rFonts w:cstheme="minorHAnsi"/>
        </w:rPr>
        <w:t xml:space="preserve"> postmenopausal women</w:t>
      </w:r>
      <w:r w:rsidR="00106A5D" w:rsidRPr="00AF0457">
        <w:rPr>
          <w:rFonts w:cstheme="minorHAnsi"/>
        </w:rPr>
        <w:t xml:space="preserve"> for the analysis of </w:t>
      </w:r>
      <w:r w:rsidR="004618CC" w:rsidRPr="00AF0457">
        <w:rPr>
          <w:rFonts w:cstheme="minorHAnsi"/>
        </w:rPr>
        <w:t>change in BP measures</w:t>
      </w:r>
      <w:r w:rsidR="0027463E" w:rsidRPr="00AF0457">
        <w:rPr>
          <w:rFonts w:cstheme="minorHAnsi"/>
        </w:rPr>
        <w:t>,</w:t>
      </w:r>
      <w:r w:rsidR="00B047E5" w:rsidRPr="00AF0457">
        <w:rPr>
          <w:rFonts w:cstheme="minorHAnsi"/>
        </w:rPr>
        <w:t xml:space="preserve"> while the </w:t>
      </w:r>
      <w:r w:rsidR="00AA7AD9" w:rsidRPr="00AF0457">
        <w:rPr>
          <w:rFonts w:cstheme="minorHAnsi"/>
        </w:rPr>
        <w:t>analysis assessing</w:t>
      </w:r>
      <w:r w:rsidR="0016029E" w:rsidRPr="00AF0457">
        <w:rPr>
          <w:rFonts w:cstheme="minorHAnsi"/>
        </w:rPr>
        <w:t xml:space="preserve"> </w:t>
      </w:r>
      <w:r w:rsidR="008C5224" w:rsidRPr="00AF0457">
        <w:rPr>
          <w:rFonts w:cstheme="minorHAnsi"/>
        </w:rPr>
        <w:t xml:space="preserve">stages in </w:t>
      </w:r>
      <w:r w:rsidR="0016029E" w:rsidRPr="00AF0457">
        <w:rPr>
          <w:rFonts w:cstheme="minorHAnsi"/>
        </w:rPr>
        <w:t>the</w:t>
      </w:r>
      <w:r w:rsidR="00AA7AD9" w:rsidRPr="00AF0457">
        <w:rPr>
          <w:rFonts w:cstheme="minorHAnsi"/>
        </w:rPr>
        <w:t xml:space="preserve"> </w:t>
      </w:r>
      <w:r w:rsidR="0016029E" w:rsidRPr="00AF0457">
        <w:rPr>
          <w:rFonts w:cstheme="minorHAnsi"/>
        </w:rPr>
        <w:t xml:space="preserve">development of hypertension </w:t>
      </w:r>
      <w:r w:rsidR="00B047E5" w:rsidRPr="00AF0457">
        <w:rPr>
          <w:rFonts w:cstheme="minorHAnsi"/>
        </w:rPr>
        <w:t>exclud</w:t>
      </w:r>
      <w:r w:rsidR="009750AD" w:rsidRPr="00AF0457">
        <w:rPr>
          <w:rFonts w:cstheme="minorHAnsi"/>
        </w:rPr>
        <w:t>ed</w:t>
      </w:r>
      <w:r w:rsidR="00B047E5" w:rsidRPr="00AF0457">
        <w:rPr>
          <w:rFonts w:cstheme="minorHAnsi"/>
        </w:rPr>
        <w:t xml:space="preserve"> euthyroid </w:t>
      </w:r>
      <w:r w:rsidR="000B2444" w:rsidRPr="00AF0457">
        <w:rPr>
          <w:rFonts w:cstheme="minorHAnsi"/>
        </w:rPr>
        <w:t>individuals</w:t>
      </w:r>
      <w:r w:rsidR="00106A5D" w:rsidRPr="00AF0457">
        <w:rPr>
          <w:rFonts w:cstheme="minorHAnsi"/>
        </w:rPr>
        <w:t xml:space="preserve"> who were hypertensive</w:t>
      </w:r>
      <w:r w:rsidR="00B047E5" w:rsidRPr="00AF0457">
        <w:rPr>
          <w:rFonts w:cstheme="minorHAnsi"/>
        </w:rPr>
        <w:t xml:space="preserve"> at </w:t>
      </w:r>
      <w:r w:rsidR="00BE039E" w:rsidRPr="00AF0457">
        <w:rPr>
          <w:rFonts w:cstheme="minorHAnsi"/>
        </w:rPr>
        <w:t>V1</w:t>
      </w:r>
      <w:r w:rsidR="00B047E5" w:rsidRPr="00AF0457">
        <w:rPr>
          <w:rFonts w:cstheme="minorHAnsi"/>
        </w:rPr>
        <w:t xml:space="preserve"> </w:t>
      </w:r>
      <w:r w:rsidR="00094EA2" w:rsidRPr="00AF0457">
        <w:rPr>
          <w:rFonts w:cstheme="minorHAnsi"/>
        </w:rPr>
        <w:t xml:space="preserve">and </w:t>
      </w:r>
      <w:r w:rsidR="00B047E5" w:rsidRPr="00AF0457">
        <w:rPr>
          <w:rFonts w:cstheme="minorHAnsi"/>
        </w:rPr>
        <w:t xml:space="preserve">comprised </w:t>
      </w:r>
      <w:r w:rsidR="00B574E3" w:rsidRPr="00AF0457">
        <w:rPr>
          <w:rFonts w:cstheme="minorHAnsi"/>
        </w:rPr>
        <w:t>407</w:t>
      </w:r>
      <w:r w:rsidR="00B047E5" w:rsidRPr="00AF0457">
        <w:rPr>
          <w:rFonts w:cstheme="minorHAnsi"/>
        </w:rPr>
        <w:t xml:space="preserve"> men and </w:t>
      </w:r>
      <w:r w:rsidR="00B574E3" w:rsidRPr="00AF0457">
        <w:rPr>
          <w:rFonts w:cstheme="minorHAnsi"/>
        </w:rPr>
        <w:t>268</w:t>
      </w:r>
      <w:r w:rsidR="00B047E5" w:rsidRPr="00AF0457">
        <w:rPr>
          <w:rFonts w:cstheme="minorHAnsi"/>
        </w:rPr>
        <w:t xml:space="preserve"> postmenopausal women.</w:t>
      </w:r>
    </w:p>
    <w:p w14:paraId="1EEC0986" w14:textId="340C5802" w:rsidR="00A66407" w:rsidRPr="00AF0457" w:rsidRDefault="000207A5" w:rsidP="00CC21FA">
      <w:pPr>
        <w:spacing w:before="240" w:after="40" w:line="480" w:lineRule="auto"/>
        <w:ind w:left="-4" w:right="58"/>
        <w:rPr>
          <w:rFonts w:cstheme="minorHAnsi"/>
        </w:rPr>
      </w:pPr>
      <w:r w:rsidRPr="00AF0457">
        <w:rPr>
          <w:rFonts w:cstheme="minorHAnsi"/>
          <w:b/>
          <w:u w:color="000000"/>
        </w:rPr>
        <w:t>Covariates</w:t>
      </w:r>
    </w:p>
    <w:p w14:paraId="2C09C203" w14:textId="74EDD6FB" w:rsidR="00256C5D" w:rsidRPr="00AF0457" w:rsidRDefault="000207A5" w:rsidP="00CC21FA">
      <w:pPr>
        <w:spacing w:after="40" w:line="480" w:lineRule="auto"/>
        <w:ind w:left="-4" w:right="58"/>
        <w:rPr>
          <w:rFonts w:cstheme="minorHAnsi"/>
        </w:rPr>
      </w:pPr>
      <w:r w:rsidRPr="00AF0457">
        <w:rPr>
          <w:rFonts w:cstheme="minorHAnsi"/>
        </w:rPr>
        <w:t>Using a directed acyclic graph and information from prior literature, we identified</w:t>
      </w:r>
      <w:r w:rsidR="00404777" w:rsidRPr="00AF0457">
        <w:rPr>
          <w:rFonts w:cstheme="minorHAnsi"/>
        </w:rPr>
        <w:t xml:space="preserve"> </w:t>
      </w:r>
      <w:r w:rsidR="00214749" w:rsidRPr="00AF0457">
        <w:rPr>
          <w:rFonts w:cstheme="minorHAnsi"/>
        </w:rPr>
        <w:t>several</w:t>
      </w:r>
      <w:r w:rsidR="001C433E" w:rsidRPr="00AF0457">
        <w:rPr>
          <w:rFonts w:cstheme="minorHAnsi"/>
        </w:rPr>
        <w:t xml:space="preserve"> </w:t>
      </w:r>
      <w:r w:rsidRPr="00AF0457">
        <w:rPr>
          <w:rFonts w:cstheme="minorHAnsi"/>
        </w:rPr>
        <w:t xml:space="preserve">potential confounders (Figure </w:t>
      </w:r>
      <w:r w:rsidR="004959BD" w:rsidRPr="00AF0457">
        <w:rPr>
          <w:rFonts w:cstheme="minorHAnsi"/>
        </w:rPr>
        <w:t>S</w:t>
      </w:r>
      <w:r w:rsidR="0084142F" w:rsidRPr="00AF0457">
        <w:rPr>
          <w:rFonts w:cstheme="minorHAnsi"/>
        </w:rPr>
        <w:t>1</w:t>
      </w:r>
      <w:r w:rsidRPr="00AF0457">
        <w:rPr>
          <w:rFonts w:cstheme="minorHAnsi"/>
        </w:rPr>
        <w:t>).</w:t>
      </w:r>
      <w:r w:rsidR="00585A3F" w:rsidRPr="00A85A6E">
        <w:rPr>
          <w:rFonts w:cstheme="minorHAnsi"/>
          <w:vertAlign w:val="superscript"/>
        </w:rPr>
        <w:fldChar w:fldCharType="begin"/>
      </w:r>
      <w:r w:rsidR="00585A3F" w:rsidRPr="00A85A6E">
        <w:rPr>
          <w:rFonts w:cstheme="minorHAnsi"/>
          <w:vertAlign w:val="superscript"/>
        </w:rPr>
        <w:instrText xml:space="preserve"> NOTEREF _Ref147074474 \h </w:instrText>
      </w:r>
      <w:r w:rsidR="00585A3F">
        <w:rPr>
          <w:rFonts w:cstheme="minorHAnsi"/>
          <w:vertAlign w:val="superscript"/>
        </w:rPr>
        <w:instrText xml:space="preserve"> \* MERGEFORMAT </w:instrText>
      </w:r>
      <w:r w:rsidR="00585A3F" w:rsidRPr="00A85A6E">
        <w:rPr>
          <w:rFonts w:cstheme="minorHAnsi"/>
          <w:vertAlign w:val="superscript"/>
        </w:rPr>
      </w:r>
      <w:r w:rsidR="00585A3F" w:rsidRPr="00A85A6E">
        <w:rPr>
          <w:rFonts w:cstheme="minorHAnsi"/>
          <w:vertAlign w:val="superscript"/>
        </w:rPr>
        <w:fldChar w:fldCharType="separate"/>
      </w:r>
      <w:r w:rsidR="000F6C53">
        <w:rPr>
          <w:rFonts w:cstheme="minorHAnsi"/>
          <w:vertAlign w:val="superscript"/>
        </w:rPr>
        <w:t>54</w:t>
      </w:r>
      <w:r w:rsidR="00585A3F" w:rsidRPr="00A85A6E">
        <w:rPr>
          <w:rFonts w:cstheme="minorHAnsi"/>
          <w:vertAlign w:val="superscript"/>
        </w:rPr>
        <w:fldChar w:fldCharType="end"/>
      </w:r>
      <w:r w:rsidRPr="00AF0457">
        <w:rPr>
          <w:rFonts w:cstheme="minorHAnsi"/>
        </w:rPr>
        <w:t xml:space="preserve"> </w:t>
      </w:r>
      <w:r w:rsidR="00506B0E" w:rsidRPr="00AF0457">
        <w:rPr>
          <w:rFonts w:cstheme="minorHAnsi"/>
        </w:rPr>
        <w:t xml:space="preserve">At </w:t>
      </w:r>
      <w:r w:rsidR="00F530A3" w:rsidRPr="00AF0457">
        <w:rPr>
          <w:rFonts w:cstheme="minorHAnsi"/>
        </w:rPr>
        <w:t>V1</w:t>
      </w:r>
      <w:r w:rsidR="00506B0E" w:rsidRPr="00AF0457">
        <w:rPr>
          <w:rFonts w:cstheme="minorHAnsi"/>
        </w:rPr>
        <w:t>, s</w:t>
      </w:r>
      <w:r w:rsidRPr="00AF0457">
        <w:rPr>
          <w:rFonts w:cstheme="minorHAnsi"/>
        </w:rPr>
        <w:t xml:space="preserve">tudy </w:t>
      </w:r>
      <w:r w:rsidR="00D07483" w:rsidRPr="00AF0457">
        <w:rPr>
          <w:rFonts w:cstheme="minorHAnsi"/>
        </w:rPr>
        <w:t xml:space="preserve">participants </w:t>
      </w:r>
      <w:r w:rsidRPr="00AF0457">
        <w:rPr>
          <w:rFonts w:cstheme="minorHAnsi"/>
        </w:rPr>
        <w:t>reported their age in years, sex (</w:t>
      </w:r>
      <w:r w:rsidR="00C92E41" w:rsidRPr="00AF0457">
        <w:rPr>
          <w:rFonts w:cstheme="minorHAnsi"/>
        </w:rPr>
        <w:t>men</w:t>
      </w:r>
      <w:r w:rsidR="00D07483" w:rsidRPr="00AF0457">
        <w:rPr>
          <w:rFonts w:cstheme="minorHAnsi"/>
        </w:rPr>
        <w:t>,</w:t>
      </w:r>
      <w:r w:rsidRPr="00AF0457">
        <w:rPr>
          <w:rFonts w:cstheme="minorHAnsi"/>
        </w:rPr>
        <w:t xml:space="preserve"> </w:t>
      </w:r>
      <w:r w:rsidR="00423C6C" w:rsidRPr="00AF0457">
        <w:rPr>
          <w:rFonts w:cstheme="minorHAnsi"/>
        </w:rPr>
        <w:t>women</w:t>
      </w:r>
      <w:r w:rsidRPr="00AF0457">
        <w:rPr>
          <w:rFonts w:cstheme="minorHAnsi"/>
        </w:rPr>
        <w:t>),</w:t>
      </w:r>
      <w:r w:rsidR="008A44B8" w:rsidRPr="00AF0457">
        <w:rPr>
          <w:rFonts w:cstheme="minorHAnsi"/>
        </w:rPr>
        <w:t xml:space="preserve"> </w:t>
      </w:r>
      <w:r w:rsidRPr="00AF0457">
        <w:rPr>
          <w:rFonts w:cstheme="minorHAnsi"/>
        </w:rPr>
        <w:t xml:space="preserve">Hispanic/Latino background (Dominican, Central American, Cuban, Mexican, Puerto Rican, South American, </w:t>
      </w:r>
      <w:r w:rsidR="008A44B8" w:rsidRPr="00AF0457">
        <w:rPr>
          <w:rFonts w:cstheme="minorHAnsi"/>
        </w:rPr>
        <w:t>or</w:t>
      </w:r>
      <w:r w:rsidRPr="00AF0457">
        <w:rPr>
          <w:rFonts w:cstheme="minorHAnsi"/>
        </w:rPr>
        <w:t xml:space="preserve"> </w:t>
      </w:r>
      <w:r w:rsidR="008A44B8" w:rsidRPr="00AF0457">
        <w:rPr>
          <w:rFonts w:cstheme="minorHAnsi"/>
        </w:rPr>
        <w:t>m</w:t>
      </w:r>
      <w:r w:rsidRPr="00AF0457">
        <w:rPr>
          <w:rFonts w:cstheme="minorHAnsi"/>
        </w:rPr>
        <w:t>ore than on</w:t>
      </w:r>
      <w:r w:rsidR="00FC13D5" w:rsidRPr="00AF0457">
        <w:rPr>
          <w:rFonts w:cstheme="minorHAnsi"/>
        </w:rPr>
        <w:t>e background</w:t>
      </w:r>
      <w:r w:rsidRPr="00AF0457">
        <w:rPr>
          <w:rFonts w:cstheme="minorHAnsi"/>
        </w:rPr>
        <w:t>), educational attainment (categorized as less than high school diploma, high school diploma/General Education Development Diploma (GED) or</w:t>
      </w:r>
      <w:r w:rsidRPr="00AF0457" w:rsidDel="009D5156">
        <w:rPr>
          <w:rFonts w:cstheme="minorHAnsi"/>
        </w:rPr>
        <w:t xml:space="preserve"> </w:t>
      </w:r>
      <w:r w:rsidRPr="00AF0457">
        <w:rPr>
          <w:rFonts w:cstheme="minorHAnsi"/>
        </w:rPr>
        <w:t>greater than high school diploma or GED)</w:t>
      </w:r>
      <w:r w:rsidR="00506B0E" w:rsidRPr="00AF0457">
        <w:rPr>
          <w:rFonts w:cstheme="minorHAnsi"/>
        </w:rPr>
        <w:t>,</w:t>
      </w:r>
      <w:r w:rsidRPr="00AF0457">
        <w:rPr>
          <w:rFonts w:cstheme="minorHAnsi"/>
        </w:rPr>
        <w:t xml:space="preserve"> </w:t>
      </w:r>
      <w:r w:rsidR="0039746A" w:rsidRPr="00AF0457">
        <w:rPr>
          <w:rFonts w:cstheme="minorHAnsi"/>
        </w:rPr>
        <w:t>alcohol use (categorized as no current use (never or former alcohol users); low level use (&lt;7 drinks/week in women or &lt;14 drinks/week in men); or</w:t>
      </w:r>
      <w:r w:rsidR="0039746A" w:rsidRPr="00AF0457" w:rsidDel="009D5156">
        <w:rPr>
          <w:rFonts w:cstheme="minorHAnsi"/>
        </w:rPr>
        <w:t xml:space="preserve"> </w:t>
      </w:r>
      <w:r w:rsidR="0039746A" w:rsidRPr="00AF0457">
        <w:rPr>
          <w:rFonts w:cstheme="minorHAnsi"/>
        </w:rPr>
        <w:t>high level use (7+ drinks/week in women or 14+ drinks/week in men)</w:t>
      </w:r>
      <w:r w:rsidRPr="00AF0457">
        <w:rPr>
          <w:rFonts w:cstheme="minorHAnsi"/>
        </w:rPr>
        <w:t>,</w:t>
      </w:r>
      <w:r w:rsidR="0039746A" w:rsidRPr="00AF0457">
        <w:rPr>
          <w:rFonts w:cstheme="minorHAnsi"/>
        </w:rPr>
        <w:t xml:space="preserve"> </w:t>
      </w:r>
      <w:r w:rsidRPr="00AF0457">
        <w:rPr>
          <w:rFonts w:cstheme="minorHAnsi"/>
        </w:rPr>
        <w:t>smoking status (categorized as never, former, or</w:t>
      </w:r>
      <w:r w:rsidRPr="00AF0457" w:rsidDel="009D5156">
        <w:rPr>
          <w:rFonts w:cstheme="minorHAnsi"/>
        </w:rPr>
        <w:t xml:space="preserve"> </w:t>
      </w:r>
      <w:r w:rsidRPr="00AF0457">
        <w:rPr>
          <w:rFonts w:cstheme="minorHAnsi"/>
        </w:rPr>
        <w:t>current smoker), physical activity levels based on the WHO Global Physical Activity Questionnaire (categorized as low, moderate, or</w:t>
      </w:r>
      <w:r w:rsidRPr="00AF0457" w:rsidDel="009D5156">
        <w:rPr>
          <w:rFonts w:cstheme="minorHAnsi"/>
        </w:rPr>
        <w:t xml:space="preserve"> </w:t>
      </w:r>
      <w:r w:rsidRPr="00AF0457">
        <w:rPr>
          <w:rFonts w:cstheme="minorHAnsi"/>
        </w:rPr>
        <w:t>high physical activity levels)</w:t>
      </w:r>
      <w:r w:rsidR="000B409E" w:rsidRPr="00AF0457">
        <w:rPr>
          <w:rStyle w:val="EndnoteReference"/>
          <w:rFonts w:cstheme="minorHAnsi"/>
        </w:rPr>
        <w:endnoteReference w:id="59"/>
      </w:r>
      <w:r w:rsidRPr="00AF0457">
        <w:rPr>
          <w:rFonts w:cstheme="minorHAnsi"/>
        </w:rPr>
        <w:t xml:space="preserve">, diet quality per the Alternative Healthy Eating Index score </w:t>
      </w:r>
      <w:r w:rsidR="008C7194" w:rsidRPr="00AF0457">
        <w:rPr>
          <w:rFonts w:cstheme="minorHAnsi"/>
        </w:rPr>
        <w:t xml:space="preserve">2010 </w:t>
      </w:r>
      <w:r w:rsidRPr="00AF0457">
        <w:rPr>
          <w:rFonts w:cstheme="minorHAnsi"/>
        </w:rPr>
        <w:t>(AHEI-2010</w:t>
      </w:r>
      <w:r w:rsidR="008C7194" w:rsidRPr="00AF0457">
        <w:rPr>
          <w:rFonts w:cstheme="minorHAnsi"/>
        </w:rPr>
        <w:t xml:space="preserve">; </w:t>
      </w:r>
      <w:r w:rsidRPr="00AF0457">
        <w:rPr>
          <w:rFonts w:cstheme="minorHAnsi"/>
        </w:rPr>
        <w:t>range from 0 to</w:t>
      </w:r>
      <w:r w:rsidR="00F13D39" w:rsidRPr="00AF0457">
        <w:rPr>
          <w:rFonts w:cstheme="minorHAnsi"/>
        </w:rPr>
        <w:t xml:space="preserve"> </w:t>
      </w:r>
      <w:r w:rsidRPr="00AF0457">
        <w:rPr>
          <w:rFonts w:cstheme="minorHAnsi"/>
        </w:rPr>
        <w:t xml:space="preserve">110, with higher scores indicating </w:t>
      </w:r>
      <w:r w:rsidR="002B1862" w:rsidRPr="00AF0457">
        <w:rPr>
          <w:rFonts w:cstheme="minorHAnsi"/>
        </w:rPr>
        <w:t>healthier eating habits</w:t>
      </w:r>
      <w:r w:rsidRPr="00AF0457">
        <w:rPr>
          <w:rFonts w:cstheme="minorHAnsi"/>
        </w:rPr>
        <w:t>)</w:t>
      </w:r>
      <w:r w:rsidR="004D1AAA" w:rsidRPr="00AF0457">
        <w:rPr>
          <w:rStyle w:val="EndnoteReference"/>
          <w:rFonts w:cstheme="minorHAnsi"/>
        </w:rPr>
        <w:endnoteReference w:id="60"/>
      </w:r>
      <w:r w:rsidR="004D1AAA" w:rsidRPr="00AF0457">
        <w:rPr>
          <w:rFonts w:cstheme="minorHAnsi"/>
        </w:rPr>
        <w:t xml:space="preserve"> </w:t>
      </w:r>
      <w:r w:rsidRPr="00AF0457">
        <w:rPr>
          <w:rFonts w:cstheme="minorHAnsi"/>
        </w:rPr>
        <w:t>and family history of hypertension (categorized as yes or no and derived from whether father, mother or sibling had been diagnosed with hypertension)</w:t>
      </w:r>
      <w:r w:rsidR="00310BF9" w:rsidRPr="00AF0457">
        <w:rPr>
          <w:rFonts w:cstheme="minorHAnsi"/>
        </w:rPr>
        <w:t>.</w:t>
      </w:r>
      <w:r w:rsidR="00BB5BF9" w:rsidRPr="00AF0457">
        <w:rPr>
          <w:rFonts w:cstheme="minorHAnsi"/>
        </w:rPr>
        <w:t xml:space="preserve"> HCHS/SOL study recruitment sites (Bronx, NY; Chicago, IL; Miami, FL; and San Diego, CA) were recorded based on the location of examination.</w:t>
      </w:r>
    </w:p>
    <w:p w14:paraId="6BFB7710" w14:textId="41C7FD62" w:rsidR="0036440A" w:rsidRPr="00AF0457" w:rsidRDefault="000207A5" w:rsidP="00CC21FA">
      <w:pPr>
        <w:spacing w:after="40" w:line="480" w:lineRule="auto"/>
        <w:ind w:firstLine="720"/>
        <w:rPr>
          <w:rFonts w:cstheme="minorHAnsi"/>
        </w:rPr>
      </w:pPr>
      <w:r w:rsidRPr="00AF0457">
        <w:rPr>
          <w:rFonts w:cstheme="minorHAnsi"/>
        </w:rPr>
        <w:lastRenderedPageBreak/>
        <w:t>Following a standard protocol, trained study personnel collected information on anthropometric measurements</w:t>
      </w:r>
      <w:r w:rsidR="00E81B5F" w:rsidRPr="00AF0457">
        <w:rPr>
          <w:rFonts w:cstheme="minorHAnsi"/>
        </w:rPr>
        <w:t>,</w:t>
      </w:r>
      <w:r w:rsidRPr="00AF0457">
        <w:rPr>
          <w:rFonts w:cstheme="minorHAnsi"/>
        </w:rPr>
        <w:t xml:space="preserve"> namely weight (kilograms), height (centimeters), hip circumference (centimeters) and waist circumference (centimeters). Waist-to-hip ratio was calculated as waist circumference (cm) divided by hip circumference (cm) while body mass index</w:t>
      </w:r>
      <w:r w:rsidR="002C6A6F" w:rsidRPr="00AF0457">
        <w:rPr>
          <w:rFonts w:cstheme="minorHAnsi"/>
        </w:rPr>
        <w:t xml:space="preserve"> (BMI)</w:t>
      </w:r>
      <w:r w:rsidRPr="00AF0457">
        <w:rPr>
          <w:rFonts w:cstheme="minorHAnsi"/>
        </w:rPr>
        <w:t xml:space="preserve"> was calculated as weight (kg) divided by height (m</w:t>
      </w:r>
      <w:r w:rsidRPr="00AF0457">
        <w:rPr>
          <w:rFonts w:cstheme="minorHAnsi"/>
          <w:vertAlign w:val="superscript"/>
        </w:rPr>
        <w:t>2</w:t>
      </w:r>
      <w:r w:rsidRPr="00AF0457">
        <w:rPr>
          <w:rFonts w:cstheme="minorHAnsi"/>
        </w:rPr>
        <w:t>).</w:t>
      </w:r>
      <w:r w:rsidR="00B360C4" w:rsidRPr="00AF0457">
        <w:rPr>
          <w:rFonts w:cstheme="minorHAnsi"/>
        </w:rPr>
        <w:t xml:space="preserve"> We examined </w:t>
      </w:r>
      <w:r w:rsidR="004752A7" w:rsidRPr="00AF0457">
        <w:rPr>
          <w:rFonts w:cstheme="minorHAnsi"/>
        </w:rPr>
        <w:t>the change</w:t>
      </w:r>
      <w:r w:rsidR="00B360C4" w:rsidRPr="00AF0457">
        <w:rPr>
          <w:rFonts w:cstheme="minorHAnsi"/>
        </w:rPr>
        <w:t xml:space="preserve"> in BMI and waist-to-hip ratio measurements assessed as BMI at </w:t>
      </w:r>
      <w:r w:rsidR="009F24AB" w:rsidRPr="00AF0457">
        <w:rPr>
          <w:rFonts w:cstheme="minorHAnsi"/>
        </w:rPr>
        <w:t>V2</w:t>
      </w:r>
      <w:r w:rsidR="00B360C4" w:rsidRPr="00AF0457">
        <w:rPr>
          <w:rFonts w:cstheme="minorHAnsi"/>
        </w:rPr>
        <w:t xml:space="preserve"> minus BMI at </w:t>
      </w:r>
      <w:r w:rsidR="009F24AB" w:rsidRPr="00AF0457">
        <w:rPr>
          <w:rFonts w:cstheme="minorHAnsi"/>
        </w:rPr>
        <w:t>V1</w:t>
      </w:r>
      <w:r w:rsidR="00B360C4" w:rsidRPr="00AF0457">
        <w:rPr>
          <w:rFonts w:cstheme="minorHAnsi"/>
        </w:rPr>
        <w:t xml:space="preserve"> and waist-to-hip ratio at </w:t>
      </w:r>
      <w:r w:rsidR="00AE031D" w:rsidRPr="00AF0457">
        <w:rPr>
          <w:rFonts w:cstheme="minorHAnsi"/>
        </w:rPr>
        <w:t>V2</w:t>
      </w:r>
      <w:r w:rsidR="00B360C4" w:rsidRPr="00AF0457">
        <w:rPr>
          <w:rFonts w:cstheme="minorHAnsi"/>
        </w:rPr>
        <w:t xml:space="preserve"> minus waist-to-hip ratio at </w:t>
      </w:r>
      <w:r w:rsidR="00AE031D" w:rsidRPr="00AF0457">
        <w:rPr>
          <w:rFonts w:cstheme="minorHAnsi"/>
        </w:rPr>
        <w:t>V1</w:t>
      </w:r>
      <w:r w:rsidR="00B360C4" w:rsidRPr="00AF0457">
        <w:rPr>
          <w:rFonts w:cstheme="minorHAnsi"/>
        </w:rPr>
        <w:t>, respectively.</w:t>
      </w:r>
      <w:r w:rsidR="00FE2757" w:rsidRPr="00AF0457">
        <w:rPr>
          <w:rFonts w:cstheme="minorHAnsi"/>
        </w:rPr>
        <w:t xml:space="preserve"> </w:t>
      </w:r>
      <w:r w:rsidRPr="00AF0457">
        <w:rPr>
          <w:rFonts w:cstheme="minorHAnsi"/>
        </w:rPr>
        <w:t>Participants also reported</w:t>
      </w:r>
      <w:r w:rsidR="005B2292" w:rsidRPr="00AF0457">
        <w:rPr>
          <w:rFonts w:cstheme="minorHAnsi"/>
        </w:rPr>
        <w:t xml:space="preserve"> proxy measures of acculturation including</w:t>
      </w:r>
      <w:r w:rsidRPr="00AF0457">
        <w:rPr>
          <w:rFonts w:cstheme="minorHAnsi"/>
        </w:rPr>
        <w:t xml:space="preserve"> nativity</w:t>
      </w:r>
      <w:r w:rsidR="005472A8" w:rsidRPr="00AF0457">
        <w:rPr>
          <w:rFonts w:cstheme="minorHAnsi"/>
        </w:rPr>
        <w:t xml:space="preserve"> and</w:t>
      </w:r>
      <w:r w:rsidRPr="00AF0457">
        <w:rPr>
          <w:rFonts w:cstheme="minorHAnsi"/>
        </w:rPr>
        <w:t xml:space="preserve"> years of residence in the US, and language spoken at home. Acculturation score</w:t>
      </w:r>
      <w:r w:rsidR="005B578C" w:rsidRPr="00AF0457">
        <w:rPr>
          <w:rFonts w:cstheme="minorHAnsi"/>
        </w:rPr>
        <w:t xml:space="preserve"> from the Multi-Ethnic Study of Atherosclerosis (MESA)</w:t>
      </w:r>
      <w:r w:rsidR="00260AE5" w:rsidRPr="00AF0457">
        <w:rPr>
          <w:rFonts w:cstheme="minorHAnsi"/>
        </w:rPr>
        <w:t xml:space="preserve"> </w:t>
      </w:r>
      <w:r w:rsidRPr="00AF0457">
        <w:rPr>
          <w:rFonts w:cstheme="minorHAnsi"/>
        </w:rPr>
        <w:t xml:space="preserve">was </w:t>
      </w:r>
      <w:r w:rsidR="008F182E" w:rsidRPr="00AF0457">
        <w:rPr>
          <w:rFonts w:cstheme="minorHAnsi"/>
        </w:rPr>
        <w:t>derived</w:t>
      </w:r>
      <w:r w:rsidRPr="00AF0457">
        <w:rPr>
          <w:rFonts w:cstheme="minorHAnsi"/>
        </w:rPr>
        <w:t xml:space="preserve"> by summing scores from these measures of acculturation (range from 0-5</w:t>
      </w:r>
      <w:r w:rsidR="00F61117" w:rsidRPr="00AF0457">
        <w:rPr>
          <w:rFonts w:cstheme="minorHAnsi"/>
        </w:rPr>
        <w:t xml:space="preserve"> </w:t>
      </w:r>
      <w:r w:rsidRPr="00AF0457">
        <w:rPr>
          <w:rFonts w:cstheme="minorHAnsi"/>
        </w:rPr>
        <w:t xml:space="preserve">with 0 indicating least acculturation and 5 indicating </w:t>
      </w:r>
      <w:r w:rsidR="00441980" w:rsidRPr="00AF0457">
        <w:rPr>
          <w:rFonts w:cstheme="minorHAnsi"/>
        </w:rPr>
        <w:t>highest</w:t>
      </w:r>
      <w:r w:rsidRPr="00AF0457">
        <w:rPr>
          <w:rFonts w:cstheme="minorHAnsi"/>
        </w:rPr>
        <w:t xml:space="preserve"> acculturation).</w:t>
      </w:r>
      <w:r w:rsidR="00203CE7" w:rsidRPr="00AF0457">
        <w:rPr>
          <w:rStyle w:val="EndnoteReference"/>
          <w:rFonts w:cstheme="minorHAnsi"/>
        </w:rPr>
        <w:endnoteReference w:id="61"/>
      </w:r>
      <w:r w:rsidR="005866FE" w:rsidRPr="00AF0457">
        <w:rPr>
          <w:rFonts w:cstheme="minorHAnsi"/>
        </w:rPr>
        <w:t xml:space="preserve"> Trained study staff also recorded participants’ self-reported medication use which included lipid lowering medication, and nonsteroidal anti-inflammatory drugs (NSAIDs).</w:t>
      </w:r>
    </w:p>
    <w:p w14:paraId="2F3439DB" w14:textId="60802D75" w:rsidR="003E2EE8" w:rsidRPr="00AF0457" w:rsidRDefault="000705E7" w:rsidP="00CC21FA">
      <w:pPr>
        <w:spacing w:after="40" w:line="480" w:lineRule="auto"/>
        <w:ind w:firstLine="720"/>
        <w:rPr>
          <w:rFonts w:cstheme="minorHAnsi"/>
        </w:rPr>
      </w:pPr>
      <w:r w:rsidRPr="00AF0457">
        <w:rPr>
          <w:rFonts w:cstheme="minorHAnsi"/>
        </w:rPr>
        <w:t>W</w:t>
      </w:r>
      <w:r w:rsidR="000207A5" w:rsidRPr="00AF0457">
        <w:rPr>
          <w:rFonts w:cstheme="minorHAnsi"/>
        </w:rPr>
        <w:t>e</w:t>
      </w:r>
      <w:r w:rsidRPr="00AF0457">
        <w:rPr>
          <w:rFonts w:cstheme="minorHAnsi"/>
        </w:rPr>
        <w:t xml:space="preserve"> also</w:t>
      </w:r>
      <w:r w:rsidR="000207A5" w:rsidRPr="00AF0457">
        <w:rPr>
          <w:rFonts w:cstheme="minorHAnsi"/>
        </w:rPr>
        <w:t xml:space="preserve"> included information on participants</w:t>
      </w:r>
      <w:r w:rsidR="009872DD" w:rsidRPr="00AF0457">
        <w:rPr>
          <w:rFonts w:cstheme="minorHAnsi"/>
        </w:rPr>
        <w:t>’</w:t>
      </w:r>
      <w:r w:rsidR="000207A5" w:rsidRPr="00AF0457">
        <w:rPr>
          <w:rFonts w:cstheme="minorHAnsi"/>
        </w:rPr>
        <w:t xml:space="preserve"> prediabetes status (categorized as prediabetic or normoglycemic), </w:t>
      </w:r>
      <w:r w:rsidR="00E34623" w:rsidRPr="00AF0457">
        <w:rPr>
          <w:rFonts w:cstheme="minorHAnsi"/>
        </w:rPr>
        <w:t xml:space="preserve">biomarker measures of high sensitivity C-reactive protein (hsCRP; mg/L), </w:t>
      </w:r>
      <w:r w:rsidR="005A253A" w:rsidRPr="00AF0457">
        <w:rPr>
          <w:rFonts w:cstheme="minorHAnsi"/>
          <w:bCs/>
        </w:rPr>
        <w:t>total lipids (mg/dL) estimated as (2.27 *</w:t>
      </w:r>
      <w:r w:rsidR="005A253A" w:rsidRPr="00AF0457">
        <w:rPr>
          <w:rFonts w:cstheme="minorHAnsi"/>
        </w:rPr>
        <w:t xml:space="preserve"> </w:t>
      </w:r>
      <w:r w:rsidR="005A253A" w:rsidRPr="00AF0457">
        <w:rPr>
          <w:rFonts w:cstheme="minorHAnsi"/>
          <w:bCs/>
        </w:rPr>
        <w:t>total cholesterol (mg/dL) + triglycerides (mg/dL) + 62.31)</w:t>
      </w:r>
      <w:r w:rsidR="00E34623" w:rsidRPr="00AF0457">
        <w:rPr>
          <w:rFonts w:cstheme="minorHAnsi"/>
          <w:bCs/>
        </w:rPr>
        <w:t>,</w:t>
      </w:r>
      <w:r w:rsidR="005A253A" w:rsidRPr="00AF0457">
        <w:rPr>
          <w:rStyle w:val="EndnoteReference"/>
          <w:rFonts w:cstheme="minorHAnsi"/>
        </w:rPr>
        <w:endnoteReference w:id="62"/>
      </w:r>
      <w:r w:rsidR="00E34623" w:rsidRPr="00AF0457">
        <w:rPr>
          <w:rFonts w:cstheme="minorHAnsi"/>
          <w:bCs/>
        </w:rPr>
        <w:t xml:space="preserve"> </w:t>
      </w:r>
      <w:r w:rsidR="000207A5" w:rsidRPr="00AF0457">
        <w:rPr>
          <w:rFonts w:cstheme="minorHAnsi"/>
        </w:rPr>
        <w:t>sleep apnea syndrome (defined as apnea/hypopnea index [3% desaturation] ≥ 15)</w:t>
      </w:r>
      <w:r w:rsidR="007B65A2" w:rsidRPr="00AF0457">
        <w:rPr>
          <w:rFonts w:cstheme="minorHAnsi"/>
        </w:rPr>
        <w:t>,</w:t>
      </w:r>
      <w:r w:rsidR="00C25EC5" w:rsidRPr="00AF0457">
        <w:rPr>
          <w:rStyle w:val="EndnoteReference"/>
          <w:rFonts w:cstheme="minorHAnsi"/>
        </w:rPr>
        <w:endnoteReference w:id="63"/>
      </w:r>
      <w:r w:rsidR="00C25EC5" w:rsidRPr="00AF0457">
        <w:rPr>
          <w:rFonts w:cstheme="minorHAnsi"/>
        </w:rPr>
        <w:t xml:space="preserve"> </w:t>
      </w:r>
      <w:r w:rsidR="002E4818" w:rsidRPr="00AF0457">
        <w:rPr>
          <w:rFonts w:cstheme="minorHAnsi"/>
        </w:rPr>
        <w:t xml:space="preserve">and </w:t>
      </w:r>
      <w:r w:rsidR="007B65A2" w:rsidRPr="00AF0457">
        <w:rPr>
          <w:rFonts w:cstheme="minorHAnsi"/>
        </w:rPr>
        <w:t>chronic kidney disease (defined based on estimated glomerular filtration rate</w:t>
      </w:r>
      <w:r w:rsidR="002E6AC6" w:rsidRPr="00AF0457">
        <w:rPr>
          <w:rFonts w:cstheme="minorHAnsi"/>
        </w:rPr>
        <w:t>: normal - GFR ≥90 mL/min/1.73m</w:t>
      </w:r>
      <w:r w:rsidR="002E6AC6" w:rsidRPr="00AF0457">
        <w:rPr>
          <w:rFonts w:cstheme="minorHAnsi"/>
          <w:vertAlign w:val="superscript"/>
        </w:rPr>
        <w:t>2</w:t>
      </w:r>
      <w:r w:rsidR="002E6AC6" w:rsidRPr="00AF0457">
        <w:rPr>
          <w:rFonts w:cstheme="minorHAnsi"/>
        </w:rPr>
        <w:t>, mild - GFR 60-90 mL/min/1.73m</w:t>
      </w:r>
      <w:r w:rsidR="002E6AC6" w:rsidRPr="00AF0457">
        <w:rPr>
          <w:rFonts w:cstheme="minorHAnsi"/>
          <w:vertAlign w:val="superscript"/>
        </w:rPr>
        <w:t>2</w:t>
      </w:r>
      <w:r w:rsidR="002E6AC6" w:rsidRPr="00AF0457">
        <w:rPr>
          <w:rFonts w:cstheme="minorHAnsi"/>
        </w:rPr>
        <w:t>, moderate</w:t>
      </w:r>
      <w:r w:rsidR="00C92452" w:rsidRPr="00AF0457">
        <w:rPr>
          <w:rFonts w:cstheme="minorHAnsi"/>
        </w:rPr>
        <w:t xml:space="preserve"> </w:t>
      </w:r>
      <w:r w:rsidR="002E6AC6" w:rsidRPr="00AF0457">
        <w:rPr>
          <w:rFonts w:cstheme="minorHAnsi"/>
        </w:rPr>
        <w:t>-</w:t>
      </w:r>
      <w:r w:rsidR="00C92452" w:rsidRPr="00AF0457">
        <w:rPr>
          <w:rFonts w:cstheme="minorHAnsi"/>
        </w:rPr>
        <w:t xml:space="preserve"> </w:t>
      </w:r>
      <w:r w:rsidR="002E6AC6" w:rsidRPr="00AF0457">
        <w:rPr>
          <w:rFonts w:cstheme="minorHAnsi"/>
        </w:rPr>
        <w:t>GFR 30-&lt;60</w:t>
      </w:r>
      <w:r w:rsidR="00C92452" w:rsidRPr="00AF0457">
        <w:rPr>
          <w:rFonts w:cstheme="minorHAnsi"/>
        </w:rPr>
        <w:t xml:space="preserve"> mL/min/1.73m</w:t>
      </w:r>
      <w:r w:rsidR="00C92452" w:rsidRPr="00AF0457">
        <w:rPr>
          <w:rFonts w:cstheme="minorHAnsi"/>
          <w:vertAlign w:val="superscript"/>
        </w:rPr>
        <w:t>2</w:t>
      </w:r>
      <w:r w:rsidR="002E6AC6" w:rsidRPr="00AF0457">
        <w:rPr>
          <w:rFonts w:cstheme="minorHAnsi"/>
        </w:rPr>
        <w:t>, severe</w:t>
      </w:r>
      <w:r w:rsidR="00C92452" w:rsidRPr="00AF0457">
        <w:rPr>
          <w:rFonts w:cstheme="minorHAnsi"/>
        </w:rPr>
        <w:t xml:space="preserve"> </w:t>
      </w:r>
      <w:r w:rsidR="002E6AC6" w:rsidRPr="00AF0457">
        <w:rPr>
          <w:rFonts w:cstheme="minorHAnsi"/>
        </w:rPr>
        <w:t>-</w:t>
      </w:r>
      <w:r w:rsidR="00C92452" w:rsidRPr="00AF0457">
        <w:rPr>
          <w:rFonts w:cstheme="minorHAnsi"/>
        </w:rPr>
        <w:t xml:space="preserve"> </w:t>
      </w:r>
      <w:r w:rsidR="002E6AC6" w:rsidRPr="00AF0457">
        <w:rPr>
          <w:rFonts w:cstheme="minorHAnsi"/>
        </w:rPr>
        <w:t>GFR 15-&lt;30</w:t>
      </w:r>
      <w:r w:rsidR="00C92452" w:rsidRPr="00AF0457">
        <w:rPr>
          <w:rFonts w:cstheme="minorHAnsi"/>
        </w:rPr>
        <w:t xml:space="preserve"> mL/min/1.73m</w:t>
      </w:r>
      <w:r w:rsidR="00C92452" w:rsidRPr="00AF0457">
        <w:rPr>
          <w:rFonts w:cstheme="minorHAnsi"/>
          <w:vertAlign w:val="superscript"/>
        </w:rPr>
        <w:t>2</w:t>
      </w:r>
      <w:r w:rsidR="002E6AC6" w:rsidRPr="00AF0457">
        <w:rPr>
          <w:rFonts w:cstheme="minorHAnsi"/>
        </w:rPr>
        <w:t>, and end-stage</w:t>
      </w:r>
      <w:r w:rsidR="00C92452" w:rsidRPr="00AF0457">
        <w:rPr>
          <w:rFonts w:cstheme="minorHAnsi"/>
        </w:rPr>
        <w:t xml:space="preserve"> </w:t>
      </w:r>
      <w:r w:rsidR="002E6AC6" w:rsidRPr="00AF0457">
        <w:rPr>
          <w:rFonts w:cstheme="minorHAnsi"/>
        </w:rPr>
        <w:t>-</w:t>
      </w:r>
      <w:r w:rsidR="00C92452" w:rsidRPr="00AF0457">
        <w:rPr>
          <w:rFonts w:cstheme="minorHAnsi"/>
        </w:rPr>
        <w:t xml:space="preserve"> </w:t>
      </w:r>
      <w:r w:rsidR="002E6AC6" w:rsidRPr="00AF0457">
        <w:rPr>
          <w:rFonts w:cstheme="minorHAnsi"/>
        </w:rPr>
        <w:t>GFR &lt;15</w:t>
      </w:r>
      <w:r w:rsidR="00C92452" w:rsidRPr="00AF0457">
        <w:rPr>
          <w:rFonts w:cstheme="minorHAnsi"/>
        </w:rPr>
        <w:t xml:space="preserve"> mL/min/1.73m</w:t>
      </w:r>
      <w:r w:rsidR="00C92452" w:rsidRPr="00AF0457">
        <w:rPr>
          <w:rFonts w:cstheme="minorHAnsi"/>
          <w:vertAlign w:val="superscript"/>
        </w:rPr>
        <w:t>2</w:t>
      </w:r>
      <w:r w:rsidR="007B65A2" w:rsidRPr="00AF0457">
        <w:rPr>
          <w:rFonts w:cstheme="minorHAnsi"/>
        </w:rPr>
        <w:t>)</w:t>
      </w:r>
      <w:r w:rsidR="000207A5" w:rsidRPr="00AF0457">
        <w:rPr>
          <w:rFonts w:cstheme="minorHAnsi"/>
        </w:rPr>
        <w:t>.</w:t>
      </w:r>
      <w:r w:rsidR="001E4B87" w:rsidRPr="00AF0457">
        <w:rPr>
          <w:rStyle w:val="EndnoteReference"/>
          <w:rFonts w:cstheme="minorHAnsi"/>
        </w:rPr>
        <w:endnoteReference w:id="64"/>
      </w:r>
    </w:p>
    <w:p w14:paraId="53C8CE34" w14:textId="0EF384A4" w:rsidR="000207A5" w:rsidRPr="00AF0457" w:rsidRDefault="000207A5" w:rsidP="00CC21FA">
      <w:pPr>
        <w:spacing w:before="240" w:after="40" w:line="480" w:lineRule="auto"/>
        <w:rPr>
          <w:rFonts w:cstheme="minorHAnsi"/>
        </w:rPr>
      </w:pPr>
      <w:r w:rsidRPr="00AF0457">
        <w:rPr>
          <w:rFonts w:cstheme="minorHAnsi"/>
          <w:b/>
          <w:bCs/>
        </w:rPr>
        <w:t>Statistical analyses</w:t>
      </w:r>
    </w:p>
    <w:p w14:paraId="52E1AE76" w14:textId="4198190B" w:rsidR="009254BC" w:rsidRPr="00AF0457" w:rsidRDefault="000207A5" w:rsidP="00CC21FA">
      <w:pPr>
        <w:spacing w:after="40" w:line="480" w:lineRule="auto"/>
        <w:ind w:left="-4" w:right="58"/>
        <w:rPr>
          <w:rFonts w:cstheme="minorHAnsi"/>
        </w:rPr>
      </w:pPr>
      <w:r w:rsidRPr="00AF0457">
        <w:rPr>
          <w:rFonts w:cstheme="minorHAnsi"/>
        </w:rPr>
        <w:t>Our analyses accounted for</w:t>
      </w:r>
      <w:r w:rsidR="00920DA4" w:rsidRPr="00AF0457">
        <w:rPr>
          <w:rFonts w:cstheme="minorHAnsi"/>
        </w:rPr>
        <w:t xml:space="preserve"> selection into the ancillary study and </w:t>
      </w:r>
      <w:r w:rsidRPr="00AF0457">
        <w:rPr>
          <w:rFonts w:cstheme="minorHAnsi"/>
        </w:rPr>
        <w:t>the complex survey design of the HCHS/SOL study</w:t>
      </w:r>
      <w:r w:rsidR="00AB0E1D" w:rsidRPr="00AF0457">
        <w:rPr>
          <w:rFonts w:cstheme="minorHAnsi"/>
        </w:rPr>
        <w:t xml:space="preserve"> by including</w:t>
      </w:r>
      <w:r w:rsidR="000A6A3F" w:rsidRPr="00AF0457">
        <w:rPr>
          <w:rFonts w:cstheme="minorHAnsi"/>
        </w:rPr>
        <w:t xml:space="preserve"> sampling weights</w:t>
      </w:r>
      <w:r w:rsidR="00AB0E1D" w:rsidRPr="00AF0457">
        <w:rPr>
          <w:rFonts w:cstheme="minorHAnsi"/>
        </w:rPr>
        <w:t xml:space="preserve"> and accounting for</w:t>
      </w:r>
      <w:r w:rsidRPr="00AF0457">
        <w:rPr>
          <w:rFonts w:cstheme="minorHAnsi"/>
        </w:rPr>
        <w:t xml:space="preserve"> cluster sampling </w:t>
      </w:r>
      <w:r w:rsidR="000A6A3F" w:rsidRPr="00AF0457">
        <w:rPr>
          <w:rFonts w:cstheme="minorHAnsi"/>
        </w:rPr>
        <w:t xml:space="preserve">and </w:t>
      </w:r>
      <w:r w:rsidRPr="00AF0457">
        <w:rPr>
          <w:rFonts w:cstheme="minorHAnsi"/>
        </w:rPr>
        <w:t>stratification.</w:t>
      </w:r>
      <w:r w:rsidR="00EF34B3" w:rsidRPr="00AF0457">
        <w:rPr>
          <w:rFonts w:cstheme="minorHAnsi"/>
        </w:rPr>
        <w:t xml:space="preserve"> </w:t>
      </w:r>
      <w:r w:rsidR="00DE0258" w:rsidRPr="00AF0457">
        <w:rPr>
          <w:rFonts w:cstheme="minorHAnsi"/>
        </w:rPr>
        <w:t>D</w:t>
      </w:r>
      <w:r w:rsidRPr="00AF0457">
        <w:rPr>
          <w:rFonts w:cstheme="minorHAnsi"/>
          <w:bCs/>
        </w:rPr>
        <w:t xml:space="preserve">ue to missing information on </w:t>
      </w:r>
      <w:r w:rsidR="00CB1968" w:rsidRPr="00AF0457">
        <w:rPr>
          <w:rFonts w:cstheme="minorHAnsi"/>
          <w:bCs/>
        </w:rPr>
        <w:t>hormone concentrations</w:t>
      </w:r>
      <w:r w:rsidRPr="00AF0457">
        <w:rPr>
          <w:rFonts w:cstheme="minorHAnsi"/>
          <w:bCs/>
        </w:rPr>
        <w:t xml:space="preserve">, </w:t>
      </w:r>
      <w:r w:rsidR="002B59FC" w:rsidRPr="00AF0457">
        <w:rPr>
          <w:rFonts w:cstheme="minorHAnsi"/>
          <w:bCs/>
        </w:rPr>
        <w:t>BP</w:t>
      </w:r>
      <w:r w:rsidRPr="00AF0457">
        <w:rPr>
          <w:rFonts w:cstheme="minorHAnsi"/>
          <w:bCs/>
        </w:rPr>
        <w:t xml:space="preserve"> measures</w:t>
      </w:r>
      <w:r w:rsidR="006F2B34" w:rsidRPr="00AF0457">
        <w:rPr>
          <w:rFonts w:cstheme="minorHAnsi"/>
          <w:bCs/>
        </w:rPr>
        <w:t>,</w:t>
      </w:r>
      <w:r w:rsidRPr="00AF0457">
        <w:rPr>
          <w:rFonts w:cstheme="minorHAnsi"/>
          <w:bCs/>
        </w:rPr>
        <w:t xml:space="preserve"> and covariates</w:t>
      </w:r>
      <w:r w:rsidR="00720728" w:rsidRPr="00AF0457">
        <w:rPr>
          <w:rFonts w:cstheme="minorHAnsi"/>
          <w:bCs/>
        </w:rPr>
        <w:t xml:space="preserve"> (Table S1)</w:t>
      </w:r>
      <w:r w:rsidRPr="00AF0457">
        <w:rPr>
          <w:rFonts w:cstheme="minorHAnsi"/>
          <w:bCs/>
        </w:rPr>
        <w:t>,</w:t>
      </w:r>
      <w:r w:rsidR="0028465E" w:rsidRPr="00A85A6E">
        <w:rPr>
          <w:rFonts w:cstheme="minorHAnsi"/>
          <w:vertAlign w:val="superscript"/>
        </w:rPr>
        <w:fldChar w:fldCharType="begin"/>
      </w:r>
      <w:r w:rsidR="0028465E" w:rsidRPr="00A85A6E">
        <w:rPr>
          <w:rFonts w:cstheme="minorHAnsi"/>
          <w:vertAlign w:val="superscript"/>
        </w:rPr>
        <w:instrText xml:space="preserve"> NOTEREF _Ref147074474 \h </w:instrText>
      </w:r>
      <w:r w:rsidR="0028465E">
        <w:rPr>
          <w:rFonts w:cstheme="minorHAnsi"/>
          <w:vertAlign w:val="superscript"/>
        </w:rPr>
        <w:instrText xml:space="preserve"> \* MERGEFORMAT </w:instrText>
      </w:r>
      <w:r w:rsidR="0028465E" w:rsidRPr="00A85A6E">
        <w:rPr>
          <w:rFonts w:cstheme="minorHAnsi"/>
          <w:vertAlign w:val="superscript"/>
        </w:rPr>
      </w:r>
      <w:r w:rsidR="0028465E" w:rsidRPr="00A85A6E">
        <w:rPr>
          <w:rFonts w:cstheme="minorHAnsi"/>
          <w:vertAlign w:val="superscript"/>
        </w:rPr>
        <w:fldChar w:fldCharType="separate"/>
      </w:r>
      <w:r w:rsidR="000F6C53">
        <w:rPr>
          <w:rFonts w:cstheme="minorHAnsi"/>
          <w:vertAlign w:val="superscript"/>
        </w:rPr>
        <w:t>54</w:t>
      </w:r>
      <w:r w:rsidR="0028465E" w:rsidRPr="00A85A6E">
        <w:rPr>
          <w:rFonts w:cstheme="minorHAnsi"/>
          <w:vertAlign w:val="superscript"/>
        </w:rPr>
        <w:fldChar w:fldCharType="end"/>
      </w:r>
      <w:r w:rsidR="00720728" w:rsidRPr="00AF0457">
        <w:rPr>
          <w:rFonts w:cstheme="minorHAnsi"/>
          <w:bCs/>
        </w:rPr>
        <w:t xml:space="preserve"> </w:t>
      </w:r>
      <w:r w:rsidR="00295028" w:rsidRPr="00AF0457">
        <w:rPr>
          <w:rFonts w:cstheme="minorHAnsi"/>
          <w:bCs/>
        </w:rPr>
        <w:t xml:space="preserve">we examined </w:t>
      </w:r>
      <w:r w:rsidR="00BE4F18" w:rsidRPr="00AF0457">
        <w:rPr>
          <w:rFonts w:cstheme="minorHAnsi"/>
          <w:bCs/>
        </w:rPr>
        <w:t xml:space="preserve">whether </w:t>
      </w:r>
      <w:r w:rsidR="00295028" w:rsidRPr="00AF0457">
        <w:rPr>
          <w:rFonts w:cstheme="minorHAnsi"/>
          <w:bCs/>
        </w:rPr>
        <w:t>variables with missing data</w:t>
      </w:r>
      <w:r w:rsidR="00E81B5F" w:rsidRPr="00AF0457">
        <w:rPr>
          <w:rFonts w:cstheme="minorHAnsi"/>
          <w:bCs/>
        </w:rPr>
        <w:t xml:space="preserve"> </w:t>
      </w:r>
      <w:r w:rsidR="00BE4F18" w:rsidRPr="00AF0457">
        <w:rPr>
          <w:rFonts w:cstheme="minorHAnsi"/>
          <w:bCs/>
        </w:rPr>
        <w:t xml:space="preserve">were </w:t>
      </w:r>
      <w:r w:rsidR="00295028" w:rsidRPr="00AF0457">
        <w:rPr>
          <w:rFonts w:cstheme="minorHAnsi"/>
          <w:bCs/>
        </w:rPr>
        <w:t>related to other covariates in our dataset</w:t>
      </w:r>
      <w:r w:rsidR="00A10B69" w:rsidRPr="00AF0457">
        <w:rPr>
          <w:rFonts w:cstheme="minorHAnsi"/>
          <w:bCs/>
        </w:rPr>
        <w:t xml:space="preserve"> and</w:t>
      </w:r>
      <w:r w:rsidR="00295028" w:rsidRPr="00AF0457">
        <w:rPr>
          <w:rFonts w:cstheme="minorHAnsi"/>
          <w:bCs/>
        </w:rPr>
        <w:t xml:space="preserve"> employed multiple imputation methodology</w:t>
      </w:r>
      <w:r w:rsidR="00AD517E" w:rsidRPr="00AF0457">
        <w:rPr>
          <w:rFonts w:cstheme="minorHAnsi"/>
          <w:bCs/>
        </w:rPr>
        <w:t xml:space="preserve"> using </w:t>
      </w:r>
      <w:r w:rsidR="006F2B34" w:rsidRPr="00AF0457">
        <w:rPr>
          <w:rFonts w:cstheme="minorHAnsi"/>
          <w:bCs/>
        </w:rPr>
        <w:t xml:space="preserve">the </w:t>
      </w:r>
      <w:r w:rsidR="00AD517E" w:rsidRPr="00AF0457">
        <w:rPr>
          <w:rFonts w:cstheme="minorHAnsi"/>
          <w:bCs/>
        </w:rPr>
        <w:t>STATA MICE procedure</w:t>
      </w:r>
      <w:r w:rsidR="00AA5C34" w:rsidRPr="00AF0457">
        <w:rPr>
          <w:rFonts w:cstheme="minorHAnsi"/>
          <w:bCs/>
        </w:rPr>
        <w:t xml:space="preserve"> (version 17.0)</w:t>
      </w:r>
      <w:r w:rsidR="008072DD" w:rsidRPr="00AF0457">
        <w:rPr>
          <w:rStyle w:val="EndnoteReference"/>
          <w:rFonts w:cstheme="minorHAnsi"/>
          <w:bCs/>
        </w:rPr>
        <w:endnoteReference w:id="65"/>
      </w:r>
      <w:r w:rsidR="00295028" w:rsidRPr="00AF0457">
        <w:rPr>
          <w:rFonts w:cstheme="minorHAnsi"/>
          <w:bCs/>
        </w:rPr>
        <w:t xml:space="preserve"> </w:t>
      </w:r>
      <w:r w:rsidR="006233B3" w:rsidRPr="00AF0457">
        <w:rPr>
          <w:rFonts w:cstheme="minorHAnsi"/>
          <w:bCs/>
        </w:rPr>
        <w:t xml:space="preserve">to handle missing data. </w:t>
      </w:r>
      <w:r w:rsidR="00A12D6C" w:rsidRPr="00AF0457">
        <w:rPr>
          <w:rFonts w:cstheme="minorHAnsi"/>
          <w:bCs/>
        </w:rPr>
        <w:t>Details of the multiple imputation</w:t>
      </w:r>
      <w:r w:rsidR="00E678A8" w:rsidRPr="00AF0457">
        <w:rPr>
          <w:rFonts w:cstheme="minorHAnsi"/>
          <w:bCs/>
        </w:rPr>
        <w:t xml:space="preserve"> analysis</w:t>
      </w:r>
      <w:r w:rsidR="00A12D6C" w:rsidRPr="00AF0457">
        <w:rPr>
          <w:rFonts w:cstheme="minorHAnsi"/>
          <w:bCs/>
        </w:rPr>
        <w:t xml:space="preserve"> </w:t>
      </w:r>
      <w:r w:rsidR="00A12D6C" w:rsidRPr="00AF0457">
        <w:rPr>
          <w:rFonts w:cstheme="minorHAnsi"/>
        </w:rPr>
        <w:t>have been previously described</w:t>
      </w:r>
      <w:r w:rsidR="005E4759">
        <w:rPr>
          <w:rFonts w:cstheme="minorHAnsi"/>
        </w:rPr>
        <w:t>.</w:t>
      </w:r>
      <w:r w:rsidR="009720FB" w:rsidRPr="009720FB">
        <w:rPr>
          <w:rFonts w:cstheme="minorHAnsi"/>
          <w:vertAlign w:val="superscript"/>
        </w:rPr>
        <w:fldChar w:fldCharType="begin"/>
      </w:r>
      <w:r w:rsidR="009720FB" w:rsidRPr="009720FB">
        <w:rPr>
          <w:rFonts w:cstheme="minorHAnsi"/>
          <w:vertAlign w:val="superscript"/>
        </w:rPr>
        <w:instrText xml:space="preserve"> NOTEREF _Ref158720343 \h </w:instrText>
      </w:r>
      <w:r w:rsidR="009720FB" w:rsidRPr="009720FB">
        <w:rPr>
          <w:rFonts w:cstheme="minorHAnsi"/>
          <w:vertAlign w:val="superscript"/>
        </w:rPr>
      </w:r>
      <w:r w:rsidR="009720FB">
        <w:rPr>
          <w:rFonts w:cstheme="minorHAnsi"/>
          <w:vertAlign w:val="superscript"/>
        </w:rPr>
        <w:instrText xml:space="preserve"> \* MERGEFORMAT </w:instrText>
      </w:r>
      <w:r w:rsidR="009720FB" w:rsidRPr="009720FB">
        <w:rPr>
          <w:rFonts w:cstheme="minorHAnsi"/>
          <w:vertAlign w:val="superscript"/>
        </w:rPr>
        <w:fldChar w:fldCharType="separate"/>
      </w:r>
      <w:r w:rsidR="000F6C53">
        <w:rPr>
          <w:rFonts w:cstheme="minorHAnsi"/>
          <w:vertAlign w:val="superscript"/>
        </w:rPr>
        <w:t>50</w:t>
      </w:r>
      <w:r w:rsidR="009720FB" w:rsidRPr="009720FB">
        <w:rPr>
          <w:rFonts w:cstheme="minorHAnsi"/>
          <w:vertAlign w:val="superscript"/>
        </w:rPr>
        <w:fldChar w:fldCharType="end"/>
      </w:r>
      <w:r w:rsidR="00427590" w:rsidRPr="00AF0457">
        <w:rPr>
          <w:rFonts w:cstheme="minorHAnsi"/>
          <w:vertAlign w:val="superscript"/>
        </w:rPr>
        <w:t xml:space="preserve"> </w:t>
      </w:r>
      <w:r w:rsidRPr="00AF0457">
        <w:rPr>
          <w:rFonts w:cstheme="minorHAnsi"/>
          <w:bCs/>
        </w:rPr>
        <w:t xml:space="preserve">Our analysis </w:t>
      </w:r>
      <w:r w:rsidR="00CD1119" w:rsidRPr="00AF0457">
        <w:rPr>
          <w:rFonts w:cstheme="minorHAnsi"/>
          <w:bCs/>
        </w:rPr>
        <w:t xml:space="preserve">was </w:t>
      </w:r>
      <w:r w:rsidR="00FC598C" w:rsidRPr="00AF0457">
        <w:rPr>
          <w:rFonts w:cstheme="minorHAnsi"/>
          <w:bCs/>
        </w:rPr>
        <w:t>examined</w:t>
      </w:r>
      <w:r w:rsidR="003F6DFC" w:rsidRPr="00AF0457">
        <w:rPr>
          <w:rFonts w:cstheme="minorHAnsi"/>
          <w:bCs/>
        </w:rPr>
        <w:t xml:space="preserve"> </w:t>
      </w:r>
      <w:r w:rsidR="003F6DFC" w:rsidRPr="00AF0457">
        <w:rPr>
          <w:rFonts w:cstheme="minorHAnsi"/>
          <w:i/>
          <w:iCs/>
        </w:rPr>
        <w:t>a priori</w:t>
      </w:r>
      <w:r w:rsidR="003F6DFC" w:rsidRPr="00AF0457">
        <w:rPr>
          <w:rFonts w:cstheme="minorHAnsi"/>
          <w:bCs/>
        </w:rPr>
        <w:t xml:space="preserve"> </w:t>
      </w:r>
      <w:r w:rsidR="00CD1119" w:rsidRPr="00AF0457">
        <w:rPr>
          <w:rFonts w:cstheme="minorHAnsi"/>
          <w:bCs/>
        </w:rPr>
        <w:t>by sex</w:t>
      </w:r>
      <w:r w:rsidR="00FC598C" w:rsidRPr="00AF0457">
        <w:rPr>
          <w:rFonts w:cstheme="minorHAnsi"/>
          <w:bCs/>
        </w:rPr>
        <w:t xml:space="preserve"> using the </w:t>
      </w:r>
      <w:r w:rsidR="00FC598C" w:rsidRPr="00AF0457">
        <w:rPr>
          <w:rFonts w:cstheme="minorHAnsi"/>
          <w:bCs/>
        </w:rPr>
        <w:lastRenderedPageBreak/>
        <w:t xml:space="preserve">subpopulation command in </w:t>
      </w:r>
      <w:r w:rsidR="00D30A4A" w:rsidRPr="00AF0457">
        <w:rPr>
          <w:rFonts w:cstheme="minorHAnsi"/>
        </w:rPr>
        <w:t>STATA</w:t>
      </w:r>
      <w:r w:rsidR="00CD1119" w:rsidRPr="00AF0457">
        <w:rPr>
          <w:rFonts w:cstheme="minorHAnsi"/>
        </w:rPr>
        <w:t xml:space="preserve">. </w:t>
      </w:r>
      <w:r w:rsidRPr="00AF0457">
        <w:rPr>
          <w:rFonts w:cstheme="minorHAnsi"/>
        </w:rPr>
        <w:t>For the descriptive analyses, we</w:t>
      </w:r>
      <w:r w:rsidR="00EF34B3" w:rsidRPr="00AF0457">
        <w:rPr>
          <w:rFonts w:cstheme="minorHAnsi"/>
        </w:rPr>
        <w:t xml:space="preserve"> accounted for complex survey design and sampling weights for the ancillary study</w:t>
      </w:r>
      <w:r w:rsidRPr="00AF0457">
        <w:rPr>
          <w:rFonts w:cstheme="minorHAnsi"/>
        </w:rPr>
        <w:t xml:space="preserve"> </w:t>
      </w:r>
      <w:r w:rsidR="00EF34B3" w:rsidRPr="00AF0457">
        <w:rPr>
          <w:rFonts w:cstheme="minorHAnsi"/>
        </w:rPr>
        <w:t xml:space="preserve">and </w:t>
      </w:r>
      <w:r w:rsidRPr="00AF0457">
        <w:rPr>
          <w:rFonts w:cstheme="minorHAnsi"/>
        </w:rPr>
        <w:t>assessed means (95% confidence intervals) for continuous variables and frequencies (percentages) for categorical variables</w:t>
      </w:r>
      <w:r w:rsidR="00877F7F" w:rsidRPr="00AF0457">
        <w:rPr>
          <w:rFonts w:cstheme="minorHAnsi"/>
        </w:rPr>
        <w:t xml:space="preserve">, and </w:t>
      </w:r>
      <w:r w:rsidR="006F2B34" w:rsidRPr="00AF0457">
        <w:rPr>
          <w:rFonts w:cstheme="minorHAnsi"/>
        </w:rPr>
        <w:t xml:space="preserve">we </w:t>
      </w:r>
      <w:r w:rsidRPr="00AF0457">
        <w:rPr>
          <w:rFonts w:cstheme="minorHAnsi"/>
        </w:rPr>
        <w:t xml:space="preserve">compared differences using </w:t>
      </w:r>
      <w:r w:rsidR="008C7194" w:rsidRPr="00AF0457">
        <w:rPr>
          <w:rFonts w:cstheme="minorHAnsi"/>
        </w:rPr>
        <w:t>t</w:t>
      </w:r>
      <w:r w:rsidRPr="00AF0457">
        <w:rPr>
          <w:rFonts w:cstheme="minorHAnsi"/>
        </w:rPr>
        <w:t>-tests and X</w:t>
      </w:r>
      <w:r w:rsidRPr="00AF0457">
        <w:rPr>
          <w:rFonts w:cstheme="minorHAnsi"/>
          <w:vertAlign w:val="superscript"/>
        </w:rPr>
        <w:t>2</w:t>
      </w:r>
      <w:r w:rsidRPr="00AF0457">
        <w:rPr>
          <w:rFonts w:cstheme="minorHAnsi"/>
        </w:rPr>
        <w:t xml:space="preserve"> tests for continuous and categorical variables, respectively</w:t>
      </w:r>
      <w:r w:rsidR="006233B3" w:rsidRPr="00AF0457">
        <w:rPr>
          <w:rFonts w:cstheme="minorHAnsi"/>
        </w:rPr>
        <w:t>.</w:t>
      </w:r>
      <w:r w:rsidR="00EB0F3A" w:rsidRPr="00AF0457">
        <w:rPr>
          <w:rFonts w:cstheme="minorHAnsi"/>
        </w:rPr>
        <w:t xml:space="preserve"> </w:t>
      </w:r>
      <w:r w:rsidR="00BC1760" w:rsidRPr="00AF0457">
        <w:rPr>
          <w:rFonts w:cstheme="minorHAnsi"/>
          <w:bCs/>
        </w:rPr>
        <w:t xml:space="preserve">We performed </w:t>
      </w:r>
      <w:r w:rsidR="00C2485A" w:rsidRPr="00AF0457">
        <w:rPr>
          <w:rFonts w:cstheme="minorHAnsi"/>
          <w:bCs/>
        </w:rPr>
        <w:t xml:space="preserve">Z-score </w:t>
      </w:r>
      <w:r w:rsidR="0027533A" w:rsidRPr="00AF0457">
        <w:rPr>
          <w:rFonts w:cstheme="minorHAnsi"/>
          <w:bCs/>
        </w:rPr>
        <w:t>standardiz</w:t>
      </w:r>
      <w:r w:rsidR="00C2485A" w:rsidRPr="00AF0457">
        <w:rPr>
          <w:rFonts w:cstheme="minorHAnsi"/>
          <w:bCs/>
        </w:rPr>
        <w:t xml:space="preserve">ation </w:t>
      </w:r>
      <w:r w:rsidR="00D232A2" w:rsidRPr="00AF0457">
        <w:rPr>
          <w:rFonts w:cstheme="minorHAnsi"/>
          <w:bCs/>
        </w:rPr>
        <w:t>of</w:t>
      </w:r>
      <w:r w:rsidR="0027533A" w:rsidRPr="00AF0457">
        <w:rPr>
          <w:rFonts w:cstheme="minorHAnsi"/>
          <w:bCs/>
        </w:rPr>
        <w:t xml:space="preserve"> </w:t>
      </w:r>
      <w:r w:rsidR="00E5188E" w:rsidRPr="00AF0457">
        <w:rPr>
          <w:rFonts w:cstheme="minorHAnsi"/>
          <w:bCs/>
        </w:rPr>
        <w:t xml:space="preserve">continuous </w:t>
      </w:r>
      <w:r w:rsidR="0027533A" w:rsidRPr="00AF0457">
        <w:rPr>
          <w:rFonts w:cstheme="minorHAnsi"/>
          <w:bCs/>
        </w:rPr>
        <w:t>h</w:t>
      </w:r>
      <w:r w:rsidR="005A1A8B" w:rsidRPr="00AF0457">
        <w:rPr>
          <w:rFonts w:cstheme="minorHAnsi"/>
          <w:bCs/>
        </w:rPr>
        <w:t>ormone</w:t>
      </w:r>
      <w:r w:rsidR="00685F38" w:rsidRPr="00AF0457">
        <w:rPr>
          <w:rFonts w:cstheme="minorHAnsi"/>
          <w:bCs/>
        </w:rPr>
        <w:t>s</w:t>
      </w:r>
      <w:r w:rsidR="00E5188E" w:rsidRPr="00AF0457">
        <w:rPr>
          <w:rFonts w:cstheme="minorHAnsi"/>
          <w:bCs/>
        </w:rPr>
        <w:t xml:space="preserve"> </w:t>
      </w:r>
      <w:r w:rsidR="00C2485A" w:rsidRPr="00AF0457">
        <w:rPr>
          <w:rFonts w:cstheme="minorHAnsi"/>
          <w:bCs/>
        </w:rPr>
        <w:t>using</w:t>
      </w:r>
      <w:r w:rsidR="008B38EC" w:rsidRPr="00AF0457">
        <w:rPr>
          <w:rFonts w:cstheme="minorHAnsi"/>
          <w:bCs/>
        </w:rPr>
        <w:t xml:space="preserve"> the</w:t>
      </w:r>
      <w:r w:rsidR="00C2485A" w:rsidRPr="00AF0457">
        <w:rPr>
          <w:rFonts w:cstheme="minorHAnsi"/>
          <w:bCs/>
        </w:rPr>
        <w:t xml:space="preserve"> </w:t>
      </w:r>
      <w:r w:rsidR="008B38EC" w:rsidRPr="00AF0457">
        <w:rPr>
          <w:rFonts w:cstheme="minorHAnsi"/>
          <w:bCs/>
        </w:rPr>
        <w:t>corresponding</w:t>
      </w:r>
      <w:r w:rsidR="005B210D" w:rsidRPr="00AF0457">
        <w:rPr>
          <w:rFonts w:cstheme="minorHAnsi"/>
          <w:bCs/>
        </w:rPr>
        <w:t xml:space="preserve"> </w:t>
      </w:r>
      <w:r w:rsidR="008B38EC" w:rsidRPr="00AF0457">
        <w:rPr>
          <w:rFonts w:cstheme="minorHAnsi"/>
          <w:bCs/>
        </w:rPr>
        <w:t xml:space="preserve">sample </w:t>
      </w:r>
      <w:r w:rsidR="00C2485A" w:rsidRPr="00AF0457">
        <w:rPr>
          <w:rFonts w:cstheme="minorHAnsi"/>
          <w:bCs/>
        </w:rPr>
        <w:t>mean and standard deviation</w:t>
      </w:r>
      <w:r w:rsidR="005B210D" w:rsidRPr="00AF0457">
        <w:rPr>
          <w:rFonts w:cstheme="minorHAnsi"/>
          <w:bCs/>
        </w:rPr>
        <w:t xml:space="preserve"> of hormone</w:t>
      </w:r>
      <w:r w:rsidR="002110D5" w:rsidRPr="00AF0457">
        <w:rPr>
          <w:rFonts w:cstheme="minorHAnsi"/>
          <w:bCs/>
        </w:rPr>
        <w:t xml:space="preserve"> measure</w:t>
      </w:r>
      <w:r w:rsidR="00F44C0B" w:rsidRPr="00AF0457">
        <w:rPr>
          <w:rFonts w:cstheme="minorHAnsi"/>
          <w:bCs/>
        </w:rPr>
        <w:t>s</w:t>
      </w:r>
      <w:r w:rsidR="002B7621" w:rsidRPr="00AF0457">
        <w:rPr>
          <w:rFonts w:cstheme="minorHAnsi"/>
          <w:bCs/>
        </w:rPr>
        <w:t xml:space="preserve"> from the HCHS/SOL ancillary study</w:t>
      </w:r>
      <w:r w:rsidR="005A3890" w:rsidRPr="00AF0457">
        <w:rPr>
          <w:rFonts w:cstheme="minorHAnsi"/>
          <w:bCs/>
        </w:rPr>
        <w:t xml:space="preserve"> </w:t>
      </w:r>
      <w:r w:rsidR="00BC1760" w:rsidRPr="00AF0457">
        <w:rPr>
          <w:rFonts w:cstheme="minorHAnsi"/>
          <w:bCs/>
        </w:rPr>
        <w:t>and</w:t>
      </w:r>
      <w:r w:rsidR="00324BFE" w:rsidRPr="00AF0457">
        <w:rPr>
          <w:rFonts w:cstheme="minorHAnsi"/>
          <w:bCs/>
        </w:rPr>
        <w:t xml:space="preserve"> present</w:t>
      </w:r>
      <w:r w:rsidR="00D86455" w:rsidRPr="00AF0457">
        <w:rPr>
          <w:rFonts w:cstheme="minorHAnsi"/>
          <w:bCs/>
        </w:rPr>
        <w:t xml:space="preserve"> findings</w:t>
      </w:r>
      <w:r w:rsidR="007C5219" w:rsidRPr="00AF0457">
        <w:rPr>
          <w:rFonts w:cstheme="minorHAnsi"/>
          <w:bCs/>
        </w:rPr>
        <w:t xml:space="preserve"> as</w:t>
      </w:r>
      <w:r w:rsidR="007C5219" w:rsidRPr="00AF0457">
        <w:rPr>
          <w:rFonts w:cstheme="minorHAnsi"/>
        </w:rPr>
        <w:t xml:space="preserve"> a one standard deviation (</w:t>
      </w:r>
      <w:r w:rsidR="00D86455" w:rsidRPr="00AF0457">
        <w:rPr>
          <w:rFonts w:cstheme="minorHAnsi"/>
        </w:rPr>
        <w:t>1-</w:t>
      </w:r>
      <w:r w:rsidR="007C5219" w:rsidRPr="00AF0457">
        <w:rPr>
          <w:rFonts w:cstheme="minorHAnsi"/>
        </w:rPr>
        <w:t>SD) increase in hormone concentration.</w:t>
      </w:r>
      <w:bookmarkStart w:id="47" w:name="_Hlk104200823"/>
    </w:p>
    <w:p w14:paraId="6EC4C2D7" w14:textId="576C586F" w:rsidR="0036440A" w:rsidRPr="00AF0457" w:rsidRDefault="000E4D4F" w:rsidP="00CC21FA">
      <w:pPr>
        <w:spacing w:after="40" w:line="480" w:lineRule="auto"/>
        <w:ind w:left="-4" w:right="58" w:firstLine="724"/>
        <w:rPr>
          <w:rFonts w:cstheme="minorHAnsi"/>
        </w:rPr>
      </w:pPr>
      <w:r w:rsidRPr="00AF0457">
        <w:rPr>
          <w:rFonts w:cstheme="minorHAnsi"/>
        </w:rPr>
        <w:t>W</w:t>
      </w:r>
      <w:r w:rsidR="000207A5" w:rsidRPr="00AF0457">
        <w:rPr>
          <w:rFonts w:cstheme="minorHAnsi"/>
        </w:rPr>
        <w:t xml:space="preserve">e used </w:t>
      </w:r>
      <w:r w:rsidR="001D7195" w:rsidRPr="00AF0457">
        <w:rPr>
          <w:rFonts w:cstheme="minorHAnsi"/>
        </w:rPr>
        <w:t xml:space="preserve">Poisson </w:t>
      </w:r>
      <w:r w:rsidR="000207A5" w:rsidRPr="00AF0457">
        <w:rPr>
          <w:rFonts w:cstheme="minorHAnsi"/>
        </w:rPr>
        <w:t xml:space="preserve">regression models to </w:t>
      </w:r>
      <w:r w:rsidR="0049059D" w:rsidRPr="00AF0457">
        <w:rPr>
          <w:rFonts w:cstheme="minorHAnsi"/>
        </w:rPr>
        <w:t>assess</w:t>
      </w:r>
      <w:r w:rsidR="000207A5" w:rsidRPr="00AF0457">
        <w:rPr>
          <w:rFonts w:cstheme="minorHAnsi"/>
        </w:rPr>
        <w:t xml:space="preserve"> incidence of hypertension incorporating an offset for time elapsed between </w:t>
      </w:r>
      <w:r w:rsidR="00AC2E83" w:rsidRPr="00AF0457">
        <w:rPr>
          <w:rFonts w:cstheme="minorHAnsi"/>
        </w:rPr>
        <w:t>V1 and V2</w:t>
      </w:r>
      <w:r w:rsidR="000207A5" w:rsidRPr="00AF0457">
        <w:rPr>
          <w:rFonts w:cstheme="minorHAnsi"/>
        </w:rPr>
        <w:t>.</w:t>
      </w:r>
      <w:r w:rsidR="00670BB4" w:rsidRPr="00AF0457">
        <w:rPr>
          <w:rFonts w:cstheme="minorHAnsi"/>
        </w:rPr>
        <w:t xml:space="preserve"> </w:t>
      </w:r>
      <w:r w:rsidR="00997CEF" w:rsidRPr="00AF0457">
        <w:rPr>
          <w:rFonts w:cstheme="minorHAnsi"/>
        </w:rPr>
        <w:t>A</w:t>
      </w:r>
      <w:r w:rsidR="00670BB4" w:rsidRPr="00AF0457">
        <w:rPr>
          <w:rFonts w:cstheme="minorHAnsi"/>
        </w:rPr>
        <w:t xml:space="preserve">mong individuals free of hypertension at </w:t>
      </w:r>
      <w:r w:rsidR="0011555B" w:rsidRPr="00AF0457">
        <w:rPr>
          <w:rFonts w:cstheme="minorHAnsi"/>
        </w:rPr>
        <w:t>V1</w:t>
      </w:r>
      <w:r w:rsidR="00670BB4" w:rsidRPr="00AF0457">
        <w:rPr>
          <w:rFonts w:cstheme="minorHAnsi"/>
        </w:rPr>
        <w:t xml:space="preserve">, we examined associations of </w:t>
      </w:r>
      <w:r w:rsidR="00681B74" w:rsidRPr="00AF0457">
        <w:rPr>
          <w:rFonts w:cstheme="minorHAnsi"/>
        </w:rPr>
        <w:t xml:space="preserve">baseline </w:t>
      </w:r>
      <w:r w:rsidR="00693253" w:rsidRPr="00AF0457">
        <w:rPr>
          <w:rFonts w:cstheme="minorHAnsi"/>
        </w:rPr>
        <w:t>thyroid-related</w:t>
      </w:r>
      <w:r w:rsidR="00670BB4" w:rsidRPr="00AF0457">
        <w:rPr>
          <w:rFonts w:cstheme="minorHAnsi"/>
        </w:rPr>
        <w:t xml:space="preserve"> hormones with</w:t>
      </w:r>
      <w:r w:rsidR="00681B74" w:rsidRPr="00AF0457">
        <w:rPr>
          <w:rFonts w:cstheme="minorHAnsi"/>
        </w:rPr>
        <w:t xml:space="preserve"> the development of </w:t>
      </w:r>
      <w:r w:rsidR="00670BB4" w:rsidRPr="00AF0457">
        <w:rPr>
          <w:rFonts w:cstheme="minorHAnsi"/>
        </w:rPr>
        <w:t>hypertension</w:t>
      </w:r>
      <w:r w:rsidR="00681B74" w:rsidRPr="00AF0457">
        <w:rPr>
          <w:rFonts w:cstheme="minorHAnsi"/>
        </w:rPr>
        <w:t xml:space="preserve"> from normotension and prehypertension</w:t>
      </w:r>
      <w:r w:rsidR="00F62E97" w:rsidRPr="00AF0457">
        <w:rPr>
          <w:rFonts w:cstheme="minorHAnsi"/>
        </w:rPr>
        <w:t xml:space="preserve"> at V1</w:t>
      </w:r>
      <w:r w:rsidR="0043628C" w:rsidRPr="00AF0457">
        <w:rPr>
          <w:rFonts w:cstheme="minorHAnsi"/>
        </w:rPr>
        <w:t xml:space="preserve"> and</w:t>
      </w:r>
      <w:r w:rsidR="00681B74" w:rsidRPr="00AF0457">
        <w:rPr>
          <w:rFonts w:cstheme="minorHAnsi"/>
        </w:rPr>
        <w:t xml:space="preserve"> the development of</w:t>
      </w:r>
      <w:r w:rsidR="00670BB4" w:rsidRPr="00AF0457">
        <w:rPr>
          <w:rFonts w:cstheme="minorHAnsi"/>
        </w:rPr>
        <w:t xml:space="preserve"> </w:t>
      </w:r>
      <w:r w:rsidR="0043628C" w:rsidRPr="00AF0457">
        <w:rPr>
          <w:rFonts w:cstheme="minorHAnsi"/>
        </w:rPr>
        <w:t>prehypertension</w:t>
      </w:r>
      <w:r w:rsidR="00681B74" w:rsidRPr="00AF0457">
        <w:rPr>
          <w:rFonts w:cstheme="minorHAnsi"/>
        </w:rPr>
        <w:t xml:space="preserve"> from normotension</w:t>
      </w:r>
      <w:r w:rsidR="00F62E97" w:rsidRPr="00AF0457">
        <w:rPr>
          <w:rFonts w:cstheme="minorHAnsi"/>
        </w:rPr>
        <w:t xml:space="preserve"> at V1</w:t>
      </w:r>
      <w:r w:rsidR="0043628C" w:rsidRPr="00AF0457">
        <w:rPr>
          <w:rFonts w:cstheme="minorHAnsi"/>
        </w:rPr>
        <w:t xml:space="preserve"> and present incidence rate ratios (IRR: 95% CI).</w:t>
      </w:r>
      <w:r w:rsidR="00F73C21" w:rsidRPr="00AF0457">
        <w:rPr>
          <w:rFonts w:cstheme="minorHAnsi"/>
        </w:rPr>
        <w:t xml:space="preserve"> Using linear regression</w:t>
      </w:r>
      <w:r w:rsidR="00260CCA" w:rsidRPr="00AF0457">
        <w:rPr>
          <w:rFonts w:cstheme="minorHAnsi"/>
        </w:rPr>
        <w:t xml:space="preserve"> models</w:t>
      </w:r>
      <w:r w:rsidR="00F73C21" w:rsidRPr="00AF0457">
        <w:rPr>
          <w:rFonts w:cstheme="minorHAnsi"/>
        </w:rPr>
        <w:t xml:space="preserve">, we examined associations of baseline thyroid-related hormones with change in BP measures between V1 and V2. </w:t>
      </w:r>
      <w:r w:rsidR="00FE7DB7" w:rsidRPr="00AF0457">
        <w:rPr>
          <w:rFonts w:cstheme="minorHAnsi"/>
        </w:rPr>
        <w:t>Furthermore,</w:t>
      </w:r>
      <w:r w:rsidR="00677345" w:rsidRPr="00AF0457">
        <w:rPr>
          <w:rFonts w:cstheme="minorHAnsi"/>
        </w:rPr>
        <w:t xml:space="preserve"> </w:t>
      </w:r>
      <w:r w:rsidR="00FE7DB7" w:rsidRPr="00AF0457">
        <w:rPr>
          <w:rFonts w:cstheme="minorHAnsi"/>
        </w:rPr>
        <w:t xml:space="preserve">we </w:t>
      </w:r>
      <w:r w:rsidR="00077FB6" w:rsidRPr="00AF0457">
        <w:rPr>
          <w:rFonts w:cstheme="minorHAnsi"/>
        </w:rPr>
        <w:t>assessed non-linear dose</w:t>
      </w:r>
      <w:r w:rsidR="006F2B34" w:rsidRPr="00AF0457">
        <w:rPr>
          <w:rFonts w:cstheme="minorHAnsi"/>
        </w:rPr>
        <w:t>-</w:t>
      </w:r>
      <w:r w:rsidR="00077FB6" w:rsidRPr="00AF0457">
        <w:rPr>
          <w:rFonts w:cstheme="minorHAnsi"/>
        </w:rPr>
        <w:t>response associations using quartiles of thyroid-related hormones</w:t>
      </w:r>
      <w:r w:rsidR="00402743">
        <w:rPr>
          <w:rFonts w:cstheme="minorHAnsi"/>
        </w:rPr>
        <w:t>.</w:t>
      </w:r>
    </w:p>
    <w:p w14:paraId="266CA9B9" w14:textId="3150401C" w:rsidR="003E2EE8" w:rsidRPr="00AF0457" w:rsidRDefault="00A456EB" w:rsidP="00CC21FA">
      <w:pPr>
        <w:spacing w:after="40" w:line="480" w:lineRule="auto"/>
        <w:ind w:left="-4" w:right="58" w:firstLine="724"/>
        <w:rPr>
          <w:rFonts w:cstheme="minorHAnsi"/>
          <w:bCs/>
        </w:rPr>
      </w:pPr>
      <w:r w:rsidRPr="00AF0457">
        <w:rPr>
          <w:rFonts w:cstheme="minorHAnsi"/>
          <w:bCs/>
        </w:rPr>
        <w:t xml:space="preserve">Multivariable </w:t>
      </w:r>
      <w:r w:rsidR="000207A5" w:rsidRPr="00AF0457">
        <w:rPr>
          <w:rFonts w:cstheme="minorHAnsi"/>
          <w:bCs/>
        </w:rPr>
        <w:t>models adjusted fo</w:t>
      </w:r>
      <w:r w:rsidR="004C59AD" w:rsidRPr="00AF0457">
        <w:rPr>
          <w:rFonts w:cstheme="minorHAnsi"/>
          <w:bCs/>
        </w:rPr>
        <w:t xml:space="preserve">r </w:t>
      </w:r>
      <w:r w:rsidR="000207A5" w:rsidRPr="00AF0457">
        <w:rPr>
          <w:rFonts w:cstheme="minorHAnsi"/>
          <w:bCs/>
        </w:rPr>
        <w:t>age, Hispanic/Latino background, HCHS/SOL study recruitment center, acculturation score-MESA, educational attainment, family history of hypertension, NSAIDs</w:t>
      </w:r>
      <w:r w:rsidR="00153573" w:rsidRPr="00AF0457">
        <w:rPr>
          <w:rFonts w:cstheme="minorHAnsi"/>
          <w:bCs/>
        </w:rPr>
        <w:t>,</w:t>
      </w:r>
      <w:r w:rsidR="000207A5" w:rsidRPr="00AF0457">
        <w:rPr>
          <w:rFonts w:cstheme="minorHAnsi"/>
          <w:bCs/>
        </w:rPr>
        <w:t xml:space="preserve"> lipid lowering medication use</w:t>
      </w:r>
      <w:r w:rsidR="00451A15" w:rsidRPr="00AF0457">
        <w:rPr>
          <w:rFonts w:cstheme="minorHAnsi"/>
          <w:bCs/>
        </w:rPr>
        <w:t xml:space="preserve">, </w:t>
      </w:r>
      <w:bookmarkEnd w:id="47"/>
      <w:r w:rsidR="000207A5" w:rsidRPr="00AF0457">
        <w:rPr>
          <w:rFonts w:cstheme="minorHAnsi"/>
          <w:bCs/>
        </w:rPr>
        <w:t>physical activity level, alcohol consumption, smoking status</w:t>
      </w:r>
      <w:r w:rsidR="00293D17" w:rsidRPr="00AF0457">
        <w:rPr>
          <w:rFonts w:cstheme="minorHAnsi"/>
          <w:bCs/>
        </w:rPr>
        <w:t>,</w:t>
      </w:r>
      <w:r w:rsidR="000207A5" w:rsidRPr="00AF0457">
        <w:rPr>
          <w:rFonts w:cstheme="minorHAnsi"/>
          <w:bCs/>
        </w:rPr>
        <w:t xml:space="preserve"> AHEI-2010</w:t>
      </w:r>
      <w:r w:rsidR="00451A15" w:rsidRPr="00AF0457">
        <w:rPr>
          <w:rFonts w:cstheme="minorHAnsi"/>
          <w:bCs/>
        </w:rPr>
        <w:t>,</w:t>
      </w:r>
      <w:r w:rsidR="00112251" w:rsidRPr="00AF0457">
        <w:rPr>
          <w:rFonts w:cstheme="minorHAnsi"/>
          <w:bCs/>
        </w:rPr>
        <w:t xml:space="preserve"> </w:t>
      </w:r>
      <w:r w:rsidR="001D4727" w:rsidRPr="00AF0457">
        <w:rPr>
          <w:rFonts w:cstheme="minorHAnsi"/>
          <w:bCs/>
        </w:rPr>
        <w:t>BMI</w:t>
      </w:r>
      <w:r w:rsidR="000207A5" w:rsidRPr="00AF0457">
        <w:rPr>
          <w:rFonts w:cstheme="minorHAnsi"/>
          <w:bCs/>
        </w:rPr>
        <w:t>, waist-to-hip ratio</w:t>
      </w:r>
      <w:r w:rsidR="00A82932" w:rsidRPr="00AF0457">
        <w:rPr>
          <w:rFonts w:cstheme="minorHAnsi"/>
          <w:bCs/>
        </w:rPr>
        <w:t xml:space="preserve">, </w:t>
      </w:r>
      <w:r w:rsidR="00A82932" w:rsidRPr="00AF0457">
        <w:rPr>
          <w:rFonts w:cstheme="minorHAnsi"/>
        </w:rPr>
        <w:t>change in BMI and waist-to-hip ratio,</w:t>
      </w:r>
      <w:r w:rsidR="000207A5" w:rsidRPr="00AF0457">
        <w:rPr>
          <w:rFonts w:cstheme="minorHAnsi"/>
          <w:bCs/>
        </w:rPr>
        <w:t xml:space="preserve"> total lipids</w:t>
      </w:r>
      <w:r w:rsidR="005B7573" w:rsidRPr="00AF0457">
        <w:rPr>
          <w:rFonts w:cstheme="minorHAnsi"/>
          <w:bCs/>
        </w:rPr>
        <w:t>,</w:t>
      </w:r>
      <w:r w:rsidR="000207A5" w:rsidRPr="00AF0457">
        <w:rPr>
          <w:rFonts w:cstheme="minorHAnsi"/>
          <w:bCs/>
        </w:rPr>
        <w:t xml:space="preserve"> </w:t>
      </w:r>
      <w:r w:rsidR="000207A5" w:rsidRPr="00AF0457">
        <w:rPr>
          <w:rFonts w:cstheme="minorHAnsi"/>
        </w:rPr>
        <w:t>hsCRP, prediabetes, sleep apnea</w:t>
      </w:r>
      <w:r w:rsidR="006F2B34" w:rsidRPr="00AF0457">
        <w:rPr>
          <w:rFonts w:cstheme="minorHAnsi"/>
        </w:rPr>
        <w:t>,</w:t>
      </w:r>
      <w:r w:rsidR="000207A5" w:rsidRPr="00AF0457">
        <w:rPr>
          <w:rFonts w:cstheme="minorHAnsi"/>
        </w:rPr>
        <w:t xml:space="preserve"> and </w:t>
      </w:r>
      <w:r w:rsidR="0089494D" w:rsidRPr="00AF0457">
        <w:rPr>
          <w:rFonts w:cstheme="minorHAnsi"/>
        </w:rPr>
        <w:t xml:space="preserve">chronic </w:t>
      </w:r>
      <w:r w:rsidR="000207A5" w:rsidRPr="00AF0457">
        <w:rPr>
          <w:rFonts w:cstheme="minorHAnsi"/>
        </w:rPr>
        <w:t>kidney disease.</w:t>
      </w:r>
      <w:r w:rsidR="00291D8F" w:rsidRPr="00AF0457">
        <w:rPr>
          <w:rFonts w:cstheme="minorHAnsi"/>
        </w:rPr>
        <w:t xml:space="preserve"> </w:t>
      </w:r>
      <w:r w:rsidR="00F80D5E" w:rsidRPr="00AF0457">
        <w:rPr>
          <w:rFonts w:cstheme="minorHAnsi"/>
        </w:rPr>
        <w:t>Models</w:t>
      </w:r>
      <w:r w:rsidR="00373EFA" w:rsidRPr="00AF0457">
        <w:rPr>
          <w:rFonts w:cstheme="minorHAnsi"/>
        </w:rPr>
        <w:t xml:space="preserve"> assessing associations of</w:t>
      </w:r>
      <w:r w:rsidR="007E49C7" w:rsidRPr="00AF0457">
        <w:rPr>
          <w:rFonts w:cstheme="minorHAnsi"/>
        </w:rPr>
        <w:t xml:space="preserve"> thyroid-related</w:t>
      </w:r>
      <w:r w:rsidR="00373EFA" w:rsidRPr="00AF0457">
        <w:rPr>
          <w:rFonts w:cstheme="minorHAnsi"/>
        </w:rPr>
        <w:t xml:space="preserve"> hormones with</w:t>
      </w:r>
      <w:r w:rsidR="000207A5" w:rsidRPr="00AF0457">
        <w:rPr>
          <w:rFonts w:cstheme="minorHAnsi"/>
        </w:rPr>
        <w:t xml:space="preserve"> change in </w:t>
      </w:r>
      <w:r w:rsidR="00670266" w:rsidRPr="00AF0457">
        <w:rPr>
          <w:rFonts w:cstheme="minorHAnsi"/>
        </w:rPr>
        <w:t>BP</w:t>
      </w:r>
      <w:r w:rsidR="000207A5" w:rsidRPr="00AF0457">
        <w:rPr>
          <w:rFonts w:cstheme="minorHAnsi"/>
        </w:rPr>
        <w:t xml:space="preserve"> measures additionally adjusted for baseline </w:t>
      </w:r>
      <w:r w:rsidR="00670266" w:rsidRPr="00AF0457">
        <w:rPr>
          <w:rFonts w:cstheme="minorHAnsi"/>
        </w:rPr>
        <w:t>BP</w:t>
      </w:r>
      <w:r w:rsidR="000207A5" w:rsidRPr="00AF0457">
        <w:rPr>
          <w:rFonts w:cstheme="minorHAnsi"/>
        </w:rPr>
        <w:t xml:space="preserve"> measures and </w:t>
      </w:r>
      <w:r w:rsidR="00F25FE2" w:rsidRPr="00AF0457">
        <w:rPr>
          <w:rFonts w:cstheme="minorHAnsi"/>
        </w:rPr>
        <w:t xml:space="preserve">the </w:t>
      </w:r>
      <w:r w:rsidR="000207A5" w:rsidRPr="00AF0457">
        <w:rPr>
          <w:rFonts w:cstheme="minorHAnsi"/>
        </w:rPr>
        <w:t xml:space="preserve">follow-up time between </w:t>
      </w:r>
      <w:r w:rsidR="00BB121C" w:rsidRPr="00AF0457">
        <w:rPr>
          <w:rFonts w:cstheme="minorHAnsi"/>
        </w:rPr>
        <w:t>V1 and V2</w:t>
      </w:r>
      <w:r w:rsidR="004F2F01" w:rsidRPr="00AF0457">
        <w:rPr>
          <w:rFonts w:cstheme="minorHAnsi"/>
        </w:rPr>
        <w:t>.</w:t>
      </w:r>
      <w:r w:rsidR="0050024E">
        <w:rPr>
          <w:rFonts w:cstheme="minorHAnsi"/>
        </w:rPr>
        <w:t xml:space="preserve"> </w:t>
      </w:r>
      <w:r w:rsidR="0045254F" w:rsidRPr="0045254F">
        <w:rPr>
          <w:rFonts w:cstheme="minorHAnsi"/>
        </w:rPr>
        <w:t>We also conducted additional analysis to evaluate interaction by sex using Wald tests which assessed the inclusion of sex and cross-product terms (hormone*sex) to linear and Poisson models</w:t>
      </w:r>
      <w:r w:rsidR="00235BAF">
        <w:rPr>
          <w:rFonts w:cstheme="minorHAnsi"/>
        </w:rPr>
        <w:t>.</w:t>
      </w:r>
      <w:r w:rsidR="0045254F" w:rsidRPr="0045254F">
        <w:rPr>
          <w:rFonts w:cstheme="minorHAnsi"/>
        </w:rPr>
        <w:t xml:space="preserve"> Overall, findings from Wald tests supported inclusion of sex and cross product terms (hormone*sex) to linear regression models in line with </w:t>
      </w:r>
      <w:r w:rsidR="0045254F" w:rsidRPr="00862448">
        <w:rPr>
          <w:rFonts w:cstheme="minorHAnsi"/>
          <w:i/>
          <w:iCs/>
        </w:rPr>
        <w:t>a priori</w:t>
      </w:r>
      <w:r w:rsidR="0045254F" w:rsidRPr="0045254F">
        <w:rPr>
          <w:rFonts w:cstheme="minorHAnsi"/>
        </w:rPr>
        <w:t xml:space="preserve"> sex stratification while </w:t>
      </w:r>
      <w:r w:rsidR="0045254F" w:rsidRPr="0045254F">
        <w:rPr>
          <w:rFonts w:cstheme="minorHAnsi"/>
        </w:rPr>
        <w:lastRenderedPageBreak/>
        <w:t>Wald tests for Poisson models demonstrated mixed findings (results not shown)</w:t>
      </w:r>
      <w:r w:rsidR="0050024E">
        <w:rPr>
          <w:rFonts w:cstheme="minorHAnsi"/>
        </w:rPr>
        <w:t>.</w:t>
      </w:r>
      <w:r w:rsidR="0071261D" w:rsidRPr="00AF0457">
        <w:rPr>
          <w:rFonts w:cstheme="minorHAnsi"/>
        </w:rPr>
        <w:t xml:space="preserve"> </w:t>
      </w:r>
      <w:r w:rsidR="003A7083" w:rsidRPr="00AF0457">
        <w:rPr>
          <w:rFonts w:cstheme="minorHAnsi"/>
        </w:rPr>
        <w:t>All statistical analyses were carried out using STATA (version 1</w:t>
      </w:r>
      <w:r w:rsidR="005F570F" w:rsidRPr="00AF0457">
        <w:rPr>
          <w:rFonts w:cstheme="minorHAnsi"/>
        </w:rPr>
        <w:t>7.0</w:t>
      </w:r>
      <w:r w:rsidR="003A7083" w:rsidRPr="00AF0457">
        <w:rPr>
          <w:rFonts w:cstheme="minorHAnsi"/>
        </w:rPr>
        <w:t>, StataCorp, College Station, TX)</w:t>
      </w:r>
      <w:r w:rsidR="00FE31E2" w:rsidRPr="00AF0457">
        <w:rPr>
          <w:rFonts w:cstheme="minorHAnsi"/>
        </w:rPr>
        <w:t>.</w:t>
      </w:r>
    </w:p>
    <w:p w14:paraId="4CF09E0D" w14:textId="5B7B5B5B" w:rsidR="000207A5" w:rsidRPr="00AF0457" w:rsidRDefault="000207A5" w:rsidP="00CC21FA">
      <w:pPr>
        <w:spacing w:before="240" w:after="40" w:line="480" w:lineRule="auto"/>
        <w:ind w:right="58"/>
        <w:rPr>
          <w:rFonts w:cstheme="minorHAnsi"/>
          <w:b/>
          <w:bCs/>
        </w:rPr>
      </w:pPr>
      <w:r w:rsidRPr="00AF0457">
        <w:rPr>
          <w:rFonts w:cstheme="minorHAnsi"/>
          <w:b/>
          <w:bCs/>
        </w:rPr>
        <w:t>Results</w:t>
      </w:r>
    </w:p>
    <w:p w14:paraId="72481008" w14:textId="77777777" w:rsidR="004339F8" w:rsidRPr="00AF0457" w:rsidRDefault="004339F8" w:rsidP="00CC21FA">
      <w:pPr>
        <w:spacing w:after="40" w:line="480" w:lineRule="auto"/>
        <w:ind w:right="58"/>
        <w:rPr>
          <w:rFonts w:cstheme="minorHAnsi"/>
          <w:b/>
          <w:bCs/>
        </w:rPr>
      </w:pPr>
      <w:r w:rsidRPr="00AF0457">
        <w:rPr>
          <w:rFonts w:cstheme="minorHAnsi"/>
          <w:b/>
          <w:bCs/>
        </w:rPr>
        <w:t>Descriptive analyses</w:t>
      </w:r>
    </w:p>
    <w:p w14:paraId="3CF5749B" w14:textId="0676BB13" w:rsidR="00A202BD" w:rsidRDefault="004339F8" w:rsidP="00CC21FA">
      <w:pPr>
        <w:spacing w:after="40" w:line="480" w:lineRule="auto"/>
        <w:rPr>
          <w:rFonts w:cstheme="minorHAnsi"/>
          <w:bCs/>
        </w:rPr>
      </w:pPr>
      <w:r w:rsidRPr="00AF0457">
        <w:rPr>
          <w:rFonts w:cstheme="minorHAnsi"/>
          <w:bCs/>
        </w:rPr>
        <w:t xml:space="preserve">Our analyses </w:t>
      </w:r>
      <w:r w:rsidRPr="00AF0457">
        <w:rPr>
          <w:rFonts w:cstheme="minorHAnsi"/>
        </w:rPr>
        <w:t xml:space="preserve">included </w:t>
      </w:r>
      <w:r w:rsidR="00E841A3" w:rsidRPr="00AF0457">
        <w:rPr>
          <w:rFonts w:cstheme="minorHAnsi"/>
        </w:rPr>
        <w:t>1,789</w:t>
      </w:r>
      <w:r w:rsidRPr="00AF0457">
        <w:rPr>
          <w:rFonts w:cstheme="minorHAnsi"/>
        </w:rPr>
        <w:t xml:space="preserve"> </w:t>
      </w:r>
      <w:r w:rsidR="0000059C" w:rsidRPr="00AF0457">
        <w:rPr>
          <w:rFonts w:cstheme="minorHAnsi"/>
        </w:rPr>
        <w:t>adults</w:t>
      </w:r>
      <w:r w:rsidRPr="00AF0457">
        <w:rPr>
          <w:rFonts w:cstheme="minorHAnsi"/>
        </w:rPr>
        <w:t xml:space="preserve"> </w:t>
      </w:r>
      <w:r w:rsidR="00E841A3" w:rsidRPr="00AF0457">
        <w:rPr>
          <w:rFonts w:cstheme="minorHAnsi"/>
        </w:rPr>
        <w:t xml:space="preserve">among whom 716 were </w:t>
      </w:r>
      <w:r w:rsidR="00ED6582" w:rsidRPr="00AF0457">
        <w:rPr>
          <w:rFonts w:cstheme="minorHAnsi"/>
        </w:rPr>
        <w:t xml:space="preserve">postmenopausal </w:t>
      </w:r>
      <w:r w:rsidR="00E841A3" w:rsidRPr="00AF0457">
        <w:rPr>
          <w:rFonts w:cstheme="minorHAnsi"/>
        </w:rPr>
        <w:t>women and 1,073 were men.</w:t>
      </w:r>
      <w:r w:rsidR="00042C1D" w:rsidRPr="00AF0457">
        <w:rPr>
          <w:rFonts w:cstheme="minorHAnsi"/>
        </w:rPr>
        <w:t xml:space="preserve"> </w:t>
      </w:r>
      <w:r w:rsidR="00FE1FDF" w:rsidRPr="00AF0457">
        <w:rPr>
          <w:rFonts w:cstheme="minorHAnsi"/>
        </w:rPr>
        <w:t>At V1, w</w:t>
      </w:r>
      <w:r w:rsidR="00ED6582" w:rsidRPr="00AF0457">
        <w:rPr>
          <w:rFonts w:cstheme="minorHAnsi"/>
        </w:rPr>
        <w:t>e observed similar</w:t>
      </w:r>
      <w:r w:rsidR="00032AD7" w:rsidRPr="00AF0457">
        <w:rPr>
          <w:rFonts w:cstheme="minorHAnsi"/>
        </w:rPr>
        <w:t xml:space="preserve"> prevalence of hypertension</w:t>
      </w:r>
      <w:r w:rsidR="009834D5" w:rsidRPr="00AF0457">
        <w:rPr>
          <w:rFonts w:cstheme="minorHAnsi"/>
        </w:rPr>
        <w:t xml:space="preserve"> (58% </w:t>
      </w:r>
      <w:r w:rsidR="001019E6" w:rsidRPr="00AF0457">
        <w:rPr>
          <w:rFonts w:cstheme="minorHAnsi"/>
        </w:rPr>
        <w:t>and</w:t>
      </w:r>
      <w:r w:rsidR="009834D5" w:rsidRPr="00AF0457">
        <w:rPr>
          <w:rFonts w:cstheme="minorHAnsi"/>
        </w:rPr>
        <w:t xml:space="preserve"> 59%)</w:t>
      </w:r>
      <w:r w:rsidR="00032AD7" w:rsidRPr="00AF0457">
        <w:rPr>
          <w:rFonts w:cstheme="minorHAnsi"/>
        </w:rPr>
        <w:t xml:space="preserve"> and prehypertension</w:t>
      </w:r>
      <w:r w:rsidR="009834D5" w:rsidRPr="00AF0457">
        <w:rPr>
          <w:rFonts w:cstheme="minorHAnsi"/>
        </w:rPr>
        <w:t xml:space="preserve"> (15% </w:t>
      </w:r>
      <w:r w:rsidR="001019E6" w:rsidRPr="00AF0457">
        <w:rPr>
          <w:rFonts w:cstheme="minorHAnsi"/>
        </w:rPr>
        <w:t>and</w:t>
      </w:r>
      <w:r w:rsidR="009834D5" w:rsidRPr="00AF0457">
        <w:rPr>
          <w:rFonts w:cstheme="minorHAnsi"/>
        </w:rPr>
        <w:t xml:space="preserve"> 16%)</w:t>
      </w:r>
      <w:r w:rsidR="001019E6" w:rsidRPr="00AF0457">
        <w:rPr>
          <w:rFonts w:cstheme="minorHAnsi"/>
        </w:rPr>
        <w:t xml:space="preserve"> in men and postmenopausal women</w:t>
      </w:r>
      <w:r w:rsidR="00032AD7" w:rsidRPr="00AF0457">
        <w:rPr>
          <w:rFonts w:cstheme="minorHAnsi"/>
        </w:rPr>
        <w:t>.</w:t>
      </w:r>
      <w:r w:rsidR="00DD14D8" w:rsidRPr="00AF0457">
        <w:rPr>
          <w:rFonts w:cstheme="minorHAnsi"/>
        </w:rPr>
        <w:t xml:space="preserve"> </w:t>
      </w:r>
      <w:r w:rsidR="005B2454" w:rsidRPr="00AF0457">
        <w:rPr>
          <w:rFonts w:cstheme="minorHAnsi"/>
        </w:rPr>
        <w:t>Compared to men, w</w:t>
      </w:r>
      <w:r w:rsidR="00DD14D8" w:rsidRPr="00AF0457">
        <w:rPr>
          <w:rFonts w:cstheme="minorHAnsi"/>
        </w:rPr>
        <w:t xml:space="preserve">omen </w:t>
      </w:r>
      <w:r w:rsidR="005B2454" w:rsidRPr="00AF0457">
        <w:rPr>
          <w:rFonts w:cstheme="minorHAnsi"/>
        </w:rPr>
        <w:t>were older</w:t>
      </w:r>
      <w:r w:rsidR="00DD14D8" w:rsidRPr="00AF0457">
        <w:rPr>
          <w:rFonts w:cstheme="minorHAnsi"/>
        </w:rPr>
        <w:t xml:space="preserve"> </w:t>
      </w:r>
      <w:r w:rsidR="005B2454" w:rsidRPr="00AF0457">
        <w:rPr>
          <w:rFonts w:cstheme="minorHAnsi"/>
        </w:rPr>
        <w:t>(</w:t>
      </w:r>
      <w:r w:rsidR="00DD14D8" w:rsidRPr="00AF0457">
        <w:rPr>
          <w:rFonts w:cstheme="minorHAnsi"/>
        </w:rPr>
        <w:t>59.3 years</w:t>
      </w:r>
      <w:r w:rsidR="005B2454" w:rsidRPr="00AF0457">
        <w:rPr>
          <w:rFonts w:cstheme="minorHAnsi"/>
        </w:rPr>
        <w:t xml:space="preserve"> </w:t>
      </w:r>
      <w:r w:rsidR="00A627DA" w:rsidRPr="00AF0457">
        <w:rPr>
          <w:rFonts w:cstheme="minorHAnsi"/>
        </w:rPr>
        <w:t>and</w:t>
      </w:r>
      <w:r w:rsidR="00DD14D8" w:rsidRPr="00AF0457">
        <w:rPr>
          <w:rFonts w:cstheme="minorHAnsi"/>
        </w:rPr>
        <w:t xml:space="preserve"> 55.5 years</w:t>
      </w:r>
      <w:r w:rsidR="005B2454" w:rsidRPr="00AF0457">
        <w:rPr>
          <w:rFonts w:cstheme="minorHAnsi"/>
        </w:rPr>
        <w:t>)</w:t>
      </w:r>
      <w:r w:rsidR="00FD2320" w:rsidRPr="00AF0457">
        <w:rPr>
          <w:rFonts w:cstheme="minorHAnsi"/>
        </w:rPr>
        <w:t>, less active, had</w:t>
      </w:r>
      <w:r w:rsidR="00BD5C1E" w:rsidRPr="00AF0457">
        <w:rPr>
          <w:rFonts w:cstheme="minorHAnsi"/>
        </w:rPr>
        <w:t xml:space="preserve"> a</w:t>
      </w:r>
      <w:r w:rsidR="00FD2320" w:rsidRPr="00AF0457">
        <w:rPr>
          <w:rFonts w:cstheme="minorHAnsi"/>
        </w:rPr>
        <w:t xml:space="preserve"> higher proportion of obesity, </w:t>
      </w:r>
      <w:r w:rsidR="00E86773" w:rsidRPr="00AF0457">
        <w:rPr>
          <w:rFonts w:cstheme="minorHAnsi"/>
        </w:rPr>
        <w:t xml:space="preserve">were </w:t>
      </w:r>
      <w:r w:rsidR="00FD2320" w:rsidRPr="00AF0457">
        <w:rPr>
          <w:rFonts w:cstheme="minorHAnsi"/>
        </w:rPr>
        <w:t>never smokers</w:t>
      </w:r>
      <w:r w:rsidR="00F47B19" w:rsidRPr="00AF0457">
        <w:rPr>
          <w:rFonts w:cstheme="minorHAnsi"/>
        </w:rPr>
        <w:t xml:space="preserve">, </w:t>
      </w:r>
      <w:r w:rsidR="00E86773" w:rsidRPr="00AF0457">
        <w:rPr>
          <w:rFonts w:cstheme="minorHAnsi"/>
        </w:rPr>
        <w:t xml:space="preserve">were </w:t>
      </w:r>
      <w:r w:rsidR="00F47B19" w:rsidRPr="00AF0457">
        <w:rPr>
          <w:rFonts w:cstheme="minorHAnsi"/>
        </w:rPr>
        <w:t>never drinkers,</w:t>
      </w:r>
      <w:r w:rsidR="00FD2320" w:rsidRPr="00AF0457">
        <w:rPr>
          <w:rFonts w:cstheme="minorHAnsi"/>
        </w:rPr>
        <w:t xml:space="preserve"> and </w:t>
      </w:r>
      <w:r w:rsidR="008C7194" w:rsidRPr="00AF0457">
        <w:rPr>
          <w:rFonts w:cstheme="minorHAnsi"/>
        </w:rPr>
        <w:t xml:space="preserve">used more </w:t>
      </w:r>
      <w:r w:rsidR="00D8710E" w:rsidRPr="00AF0457">
        <w:rPr>
          <w:rFonts w:cstheme="minorHAnsi"/>
        </w:rPr>
        <w:t>BP</w:t>
      </w:r>
      <w:r w:rsidR="00FD2320" w:rsidRPr="00AF0457">
        <w:rPr>
          <w:rFonts w:cstheme="minorHAnsi"/>
        </w:rPr>
        <w:t xml:space="preserve"> medication</w:t>
      </w:r>
      <w:r w:rsidR="006529B9" w:rsidRPr="00AF0457">
        <w:rPr>
          <w:rFonts w:cstheme="minorHAnsi"/>
        </w:rPr>
        <w:t xml:space="preserve"> </w:t>
      </w:r>
      <w:r w:rsidR="00DD14D8" w:rsidRPr="00AF0457">
        <w:rPr>
          <w:rFonts w:cstheme="minorHAnsi"/>
        </w:rPr>
        <w:t>(Table 1).</w:t>
      </w:r>
      <w:r w:rsidR="00515188">
        <w:rPr>
          <w:rFonts w:cstheme="minorHAnsi"/>
        </w:rPr>
        <w:t xml:space="preserve"> TSH levels</w:t>
      </w:r>
      <w:r w:rsidR="00F86815">
        <w:rPr>
          <w:rFonts w:cstheme="minorHAnsi"/>
        </w:rPr>
        <w:t xml:space="preserve"> (1.78</w:t>
      </w:r>
      <w:r w:rsidR="00F86815" w:rsidRPr="00515188">
        <w:t xml:space="preserve"> </w:t>
      </w:r>
      <w:r w:rsidR="00F86815" w:rsidRPr="00515188">
        <w:rPr>
          <w:rFonts w:cstheme="minorHAnsi"/>
        </w:rPr>
        <w:t>mIU/L</w:t>
      </w:r>
      <w:r w:rsidR="00F86815">
        <w:rPr>
          <w:rFonts w:cstheme="minorHAnsi"/>
        </w:rPr>
        <w:t xml:space="preserve"> and 1.63</w:t>
      </w:r>
      <w:r w:rsidR="00F86815" w:rsidRPr="00515188">
        <w:t xml:space="preserve"> </w:t>
      </w:r>
      <w:r w:rsidR="00F86815" w:rsidRPr="00515188">
        <w:rPr>
          <w:rFonts w:cstheme="minorHAnsi"/>
        </w:rPr>
        <w:t>mIU/L</w:t>
      </w:r>
      <w:r w:rsidR="00F86815">
        <w:rPr>
          <w:rFonts w:cstheme="minorHAnsi"/>
        </w:rPr>
        <w:t>)</w:t>
      </w:r>
      <w:r w:rsidR="00515188">
        <w:rPr>
          <w:rFonts w:cstheme="minorHAnsi"/>
        </w:rPr>
        <w:t xml:space="preserve"> were higher in women compared to men while T3</w:t>
      </w:r>
      <w:r w:rsidR="006E7B49">
        <w:rPr>
          <w:rFonts w:cstheme="minorHAnsi"/>
        </w:rPr>
        <w:t xml:space="preserve"> (1</w:t>
      </w:r>
      <w:r w:rsidR="00FB1B0C">
        <w:rPr>
          <w:rFonts w:cstheme="minorHAnsi"/>
        </w:rPr>
        <w:t>28.7</w:t>
      </w:r>
      <w:r w:rsidR="006E7B49" w:rsidRPr="00515188">
        <w:t xml:space="preserve"> </w:t>
      </w:r>
      <w:r w:rsidR="006E7B49" w:rsidRPr="006E7B49">
        <w:rPr>
          <w:rFonts w:cstheme="minorHAnsi"/>
        </w:rPr>
        <w:t xml:space="preserve">ng/dL </w:t>
      </w:r>
      <w:r w:rsidR="006E7B49">
        <w:rPr>
          <w:rFonts w:cstheme="minorHAnsi"/>
        </w:rPr>
        <w:t>and 1</w:t>
      </w:r>
      <w:r w:rsidR="00FB1B0C">
        <w:rPr>
          <w:rFonts w:cstheme="minorHAnsi"/>
        </w:rPr>
        <w:t>23.4</w:t>
      </w:r>
      <w:r w:rsidR="006E7B49" w:rsidRPr="00515188">
        <w:t xml:space="preserve"> </w:t>
      </w:r>
      <w:r w:rsidR="006E7B49" w:rsidRPr="006E7B49">
        <w:rPr>
          <w:rFonts w:cstheme="minorHAnsi"/>
        </w:rPr>
        <w:t>ng/dL</w:t>
      </w:r>
      <w:r w:rsidR="006E7B49">
        <w:rPr>
          <w:rFonts w:cstheme="minorHAnsi"/>
        </w:rPr>
        <w:t>)</w:t>
      </w:r>
      <w:r w:rsidR="00515188">
        <w:rPr>
          <w:rFonts w:cstheme="minorHAnsi"/>
        </w:rPr>
        <w:t xml:space="preserve"> and FT4</w:t>
      </w:r>
      <w:r w:rsidR="006E7B49">
        <w:rPr>
          <w:rFonts w:cstheme="minorHAnsi"/>
        </w:rPr>
        <w:t xml:space="preserve"> (1</w:t>
      </w:r>
      <w:r w:rsidR="00FB1B0C">
        <w:rPr>
          <w:rFonts w:cstheme="minorHAnsi"/>
        </w:rPr>
        <w:t>.16</w:t>
      </w:r>
      <w:r w:rsidR="006E7B49" w:rsidRPr="00515188">
        <w:t xml:space="preserve"> </w:t>
      </w:r>
      <w:r w:rsidR="006E7B49" w:rsidRPr="006E7B49">
        <w:rPr>
          <w:rFonts w:cstheme="minorHAnsi"/>
        </w:rPr>
        <w:t>ng/dL</w:t>
      </w:r>
      <w:r w:rsidR="006E7B49">
        <w:rPr>
          <w:rFonts w:cstheme="minorHAnsi"/>
        </w:rPr>
        <w:t xml:space="preserve"> and 1.</w:t>
      </w:r>
      <w:r w:rsidR="00FB1B0C">
        <w:rPr>
          <w:rFonts w:cstheme="minorHAnsi"/>
        </w:rPr>
        <w:t>13</w:t>
      </w:r>
      <w:r w:rsidR="006E7B49" w:rsidRPr="00515188">
        <w:t xml:space="preserve"> </w:t>
      </w:r>
      <w:r w:rsidR="006E7B49" w:rsidRPr="006E7B49">
        <w:rPr>
          <w:rFonts w:cstheme="minorHAnsi"/>
        </w:rPr>
        <w:t>ng/dL</w:t>
      </w:r>
      <w:r w:rsidR="006E7B49">
        <w:rPr>
          <w:rFonts w:cstheme="minorHAnsi"/>
        </w:rPr>
        <w:t>)</w:t>
      </w:r>
      <w:r w:rsidR="00515188">
        <w:rPr>
          <w:rFonts w:cstheme="minorHAnsi"/>
        </w:rPr>
        <w:t xml:space="preserve"> levels were higher in men compared to women (Table 1).</w:t>
      </w:r>
      <w:r w:rsidR="00DD14D8" w:rsidRPr="00AF0457">
        <w:rPr>
          <w:rFonts w:cstheme="minorHAnsi"/>
        </w:rPr>
        <w:t xml:space="preserve"> </w:t>
      </w:r>
      <w:r w:rsidR="0094123A" w:rsidRPr="00AF0457">
        <w:rPr>
          <w:rFonts w:cstheme="minorHAnsi"/>
          <w:bCs/>
        </w:rPr>
        <w:t>Thyroid</w:t>
      </w:r>
      <w:r w:rsidR="00693253" w:rsidRPr="00AF0457">
        <w:rPr>
          <w:rFonts w:cstheme="minorHAnsi"/>
          <w:bCs/>
        </w:rPr>
        <w:t>-</w:t>
      </w:r>
      <w:r w:rsidR="0094123A" w:rsidRPr="00AF0457">
        <w:rPr>
          <w:rFonts w:cstheme="minorHAnsi"/>
          <w:bCs/>
        </w:rPr>
        <w:t>related hormone</w:t>
      </w:r>
      <w:r w:rsidR="00072521" w:rsidRPr="00AF0457">
        <w:rPr>
          <w:rFonts w:cstheme="minorHAnsi"/>
          <w:bCs/>
        </w:rPr>
        <w:t xml:space="preserve"> levels</w:t>
      </w:r>
      <w:r w:rsidR="00ED355D" w:rsidRPr="00AF0457">
        <w:rPr>
          <w:rFonts w:cstheme="minorHAnsi"/>
          <w:bCs/>
        </w:rPr>
        <w:t xml:space="preserve"> </w:t>
      </w:r>
      <w:r w:rsidR="0094123A" w:rsidRPr="00AF0457">
        <w:rPr>
          <w:rFonts w:cstheme="minorHAnsi"/>
          <w:bCs/>
        </w:rPr>
        <w:t>were</w:t>
      </w:r>
      <w:r w:rsidRPr="00AF0457">
        <w:rPr>
          <w:rFonts w:cstheme="minorHAnsi"/>
          <w:bCs/>
        </w:rPr>
        <w:t xml:space="preserve"> not significant</w:t>
      </w:r>
      <w:r w:rsidR="0094123A" w:rsidRPr="00AF0457">
        <w:rPr>
          <w:rFonts w:cstheme="minorHAnsi"/>
          <w:bCs/>
        </w:rPr>
        <w:t>ly</w:t>
      </w:r>
      <w:r w:rsidRPr="00AF0457">
        <w:rPr>
          <w:rFonts w:cstheme="minorHAnsi"/>
          <w:bCs/>
        </w:rPr>
        <w:t xml:space="preserve"> differ</w:t>
      </w:r>
      <w:r w:rsidR="00ED355D" w:rsidRPr="00AF0457">
        <w:rPr>
          <w:rFonts w:cstheme="minorHAnsi"/>
          <w:bCs/>
        </w:rPr>
        <w:t>en</w:t>
      </w:r>
      <w:r w:rsidR="0094123A" w:rsidRPr="00AF0457">
        <w:rPr>
          <w:rFonts w:cstheme="minorHAnsi"/>
          <w:bCs/>
        </w:rPr>
        <w:t>t</w:t>
      </w:r>
      <w:r w:rsidR="00ED355D" w:rsidRPr="00AF0457">
        <w:rPr>
          <w:rFonts w:cstheme="minorHAnsi"/>
          <w:bCs/>
        </w:rPr>
        <w:t xml:space="preserve"> </w:t>
      </w:r>
      <w:r w:rsidRPr="00AF0457">
        <w:rPr>
          <w:rFonts w:cstheme="minorHAnsi"/>
          <w:bCs/>
        </w:rPr>
        <w:t xml:space="preserve">by </w:t>
      </w:r>
      <w:r w:rsidR="00987EF5" w:rsidRPr="00AF0457">
        <w:rPr>
          <w:rFonts w:cstheme="minorHAnsi"/>
          <w:bCs/>
        </w:rPr>
        <w:t>hypertension status</w:t>
      </w:r>
      <w:r w:rsidR="00EE1060" w:rsidRPr="00AF0457">
        <w:rPr>
          <w:rFonts w:cstheme="minorHAnsi"/>
          <w:bCs/>
        </w:rPr>
        <w:t xml:space="preserve"> at V1</w:t>
      </w:r>
      <w:r w:rsidR="00987EF5" w:rsidRPr="00AF0457">
        <w:rPr>
          <w:rFonts w:cstheme="minorHAnsi"/>
          <w:bCs/>
        </w:rPr>
        <w:t xml:space="preserve"> </w:t>
      </w:r>
      <w:r w:rsidR="0009624A" w:rsidRPr="00AF0457">
        <w:rPr>
          <w:rFonts w:cstheme="minorHAnsi"/>
          <w:bCs/>
        </w:rPr>
        <w:t>in</w:t>
      </w:r>
      <w:r w:rsidR="00ED355D" w:rsidRPr="00AF0457">
        <w:rPr>
          <w:rFonts w:cstheme="minorHAnsi"/>
          <w:bCs/>
        </w:rPr>
        <w:t xml:space="preserve"> </w:t>
      </w:r>
      <w:r w:rsidR="00B87701" w:rsidRPr="00AF0457">
        <w:rPr>
          <w:rFonts w:cstheme="minorHAnsi"/>
          <w:bCs/>
        </w:rPr>
        <w:t>either</w:t>
      </w:r>
      <w:r w:rsidR="00ED355D" w:rsidRPr="00AF0457">
        <w:rPr>
          <w:rFonts w:cstheme="minorHAnsi"/>
          <w:bCs/>
        </w:rPr>
        <w:t xml:space="preserve"> men </w:t>
      </w:r>
      <w:r w:rsidR="00B87701" w:rsidRPr="00AF0457">
        <w:rPr>
          <w:rFonts w:cstheme="minorHAnsi"/>
          <w:bCs/>
        </w:rPr>
        <w:t>or</w:t>
      </w:r>
      <w:r w:rsidR="00ED355D" w:rsidRPr="00AF0457">
        <w:rPr>
          <w:rFonts w:cstheme="minorHAnsi"/>
          <w:bCs/>
        </w:rPr>
        <w:t xml:space="preserve"> </w:t>
      </w:r>
      <w:r w:rsidR="007A1FF4" w:rsidRPr="00AF0457">
        <w:rPr>
          <w:rFonts w:cstheme="minorHAnsi"/>
          <w:bCs/>
        </w:rPr>
        <w:t xml:space="preserve">postmenopausal </w:t>
      </w:r>
      <w:r w:rsidR="00ED355D" w:rsidRPr="00AF0457">
        <w:rPr>
          <w:rFonts w:cstheme="minorHAnsi"/>
          <w:bCs/>
        </w:rPr>
        <w:t>women</w:t>
      </w:r>
      <w:r w:rsidR="007A1FF4" w:rsidRPr="00AF0457">
        <w:rPr>
          <w:rFonts w:cstheme="minorHAnsi"/>
          <w:bCs/>
        </w:rPr>
        <w:t xml:space="preserve"> (Table S2)</w:t>
      </w:r>
      <w:r w:rsidR="00E5469E">
        <w:rPr>
          <w:rFonts w:cstheme="minorHAnsi"/>
          <w:bCs/>
        </w:rPr>
        <w:t>.</w:t>
      </w:r>
      <w:r w:rsidR="0028465E" w:rsidRPr="00A85A6E">
        <w:rPr>
          <w:rFonts w:cstheme="minorHAnsi"/>
          <w:vertAlign w:val="superscript"/>
        </w:rPr>
        <w:fldChar w:fldCharType="begin"/>
      </w:r>
      <w:r w:rsidR="0028465E" w:rsidRPr="00A85A6E">
        <w:rPr>
          <w:rFonts w:cstheme="minorHAnsi"/>
          <w:vertAlign w:val="superscript"/>
        </w:rPr>
        <w:instrText xml:space="preserve"> NOTEREF _Ref147074474 \h </w:instrText>
      </w:r>
      <w:r w:rsidR="0028465E">
        <w:rPr>
          <w:rFonts w:cstheme="minorHAnsi"/>
          <w:vertAlign w:val="superscript"/>
        </w:rPr>
        <w:instrText xml:space="preserve"> \* MERGEFORMAT </w:instrText>
      </w:r>
      <w:r w:rsidR="0028465E" w:rsidRPr="00A85A6E">
        <w:rPr>
          <w:rFonts w:cstheme="minorHAnsi"/>
          <w:vertAlign w:val="superscript"/>
        </w:rPr>
      </w:r>
      <w:r w:rsidR="0028465E" w:rsidRPr="00A85A6E">
        <w:rPr>
          <w:rFonts w:cstheme="minorHAnsi"/>
          <w:vertAlign w:val="superscript"/>
        </w:rPr>
        <w:fldChar w:fldCharType="separate"/>
      </w:r>
      <w:r w:rsidR="000F6C53">
        <w:rPr>
          <w:rFonts w:cstheme="minorHAnsi"/>
          <w:vertAlign w:val="superscript"/>
        </w:rPr>
        <w:t>54</w:t>
      </w:r>
      <w:r w:rsidR="0028465E" w:rsidRPr="00A85A6E">
        <w:rPr>
          <w:rFonts w:cstheme="minorHAnsi"/>
          <w:vertAlign w:val="superscript"/>
        </w:rPr>
        <w:fldChar w:fldCharType="end"/>
      </w:r>
    </w:p>
    <w:p w14:paraId="2A0E09CC" w14:textId="70C47CD2" w:rsidR="004339F8" w:rsidRPr="00AF0457" w:rsidRDefault="004339F8" w:rsidP="00CC21FA">
      <w:pPr>
        <w:spacing w:before="240" w:after="40" w:line="480" w:lineRule="auto"/>
        <w:rPr>
          <w:rFonts w:cstheme="minorHAnsi"/>
          <w:bCs/>
        </w:rPr>
      </w:pPr>
      <w:r w:rsidRPr="00AF0457">
        <w:rPr>
          <w:rFonts w:cstheme="minorHAnsi"/>
          <w:b/>
          <w:bCs/>
        </w:rPr>
        <w:t>Multivariable analyses</w:t>
      </w:r>
    </w:p>
    <w:p w14:paraId="42B49E71" w14:textId="59D32AEA" w:rsidR="00C7607E" w:rsidRPr="00AF0457" w:rsidRDefault="00911567" w:rsidP="00CC21FA">
      <w:pPr>
        <w:spacing w:after="40" w:line="480" w:lineRule="auto"/>
        <w:ind w:right="58"/>
        <w:rPr>
          <w:rFonts w:cstheme="minorHAnsi"/>
          <w:b/>
          <w:bCs/>
        </w:rPr>
      </w:pPr>
      <w:r w:rsidRPr="00AF0457">
        <w:rPr>
          <w:rFonts w:cstheme="minorHAnsi"/>
          <w:b/>
          <w:bCs/>
        </w:rPr>
        <w:t xml:space="preserve">Association of </w:t>
      </w:r>
      <w:r w:rsidR="00693253" w:rsidRPr="00AF0457">
        <w:rPr>
          <w:rFonts w:cstheme="minorHAnsi"/>
          <w:b/>
          <w:bCs/>
        </w:rPr>
        <w:t>thyroid-related</w:t>
      </w:r>
      <w:r w:rsidRPr="00AF0457">
        <w:rPr>
          <w:rFonts w:cstheme="minorHAnsi"/>
          <w:b/>
          <w:bCs/>
        </w:rPr>
        <w:t xml:space="preserve"> hormones with change in blood pressure and development of hypertension in postmenopausal women</w:t>
      </w:r>
    </w:p>
    <w:p w14:paraId="1131373D" w14:textId="7638B886" w:rsidR="00C322F8" w:rsidRPr="00AF0457" w:rsidRDefault="00357631" w:rsidP="00CC21FA">
      <w:pPr>
        <w:spacing w:after="40" w:line="480" w:lineRule="auto"/>
        <w:rPr>
          <w:rFonts w:cstheme="minorHAnsi"/>
          <w:bCs/>
        </w:rPr>
      </w:pPr>
      <w:r w:rsidRPr="00AF0457">
        <w:rPr>
          <w:rFonts w:cstheme="minorHAnsi"/>
          <w:bCs/>
        </w:rPr>
        <w:t xml:space="preserve">In postmenopausal women, </w:t>
      </w:r>
      <w:r w:rsidR="008059BC" w:rsidRPr="00AF0457">
        <w:rPr>
          <w:rFonts w:cstheme="minorHAnsi"/>
          <w:bCs/>
        </w:rPr>
        <w:t>a one</w:t>
      </w:r>
      <w:r w:rsidR="00BD3930" w:rsidRPr="00AF0457">
        <w:rPr>
          <w:rFonts w:cstheme="minorHAnsi"/>
          <w:bCs/>
        </w:rPr>
        <w:t>-</w:t>
      </w:r>
      <w:r w:rsidR="008059BC" w:rsidRPr="00AF0457">
        <w:rPr>
          <w:rFonts w:cstheme="minorHAnsi"/>
          <w:bCs/>
        </w:rPr>
        <w:t>unit increase in the</w:t>
      </w:r>
      <w:r w:rsidR="006F7896" w:rsidRPr="00AF0457">
        <w:rPr>
          <w:rFonts w:cstheme="minorHAnsi"/>
          <w:bCs/>
        </w:rPr>
        <w:t xml:space="preserve"> ratio of</w:t>
      </w:r>
      <w:r w:rsidR="00E51573" w:rsidRPr="00AF0457">
        <w:rPr>
          <w:rFonts w:cstheme="minorHAnsi"/>
          <w:bCs/>
        </w:rPr>
        <w:t xml:space="preserve"> </w:t>
      </w:r>
      <w:r w:rsidR="007B603F" w:rsidRPr="00AF0457">
        <w:rPr>
          <w:rFonts w:cstheme="minorHAnsi"/>
          <w:bCs/>
        </w:rPr>
        <w:t>TSH</w:t>
      </w:r>
      <w:r w:rsidR="006F7896" w:rsidRPr="00AF0457">
        <w:rPr>
          <w:rFonts w:cstheme="minorHAnsi"/>
          <w:bCs/>
        </w:rPr>
        <w:t xml:space="preserve"> to </w:t>
      </w:r>
      <w:r w:rsidRPr="00AF0457">
        <w:rPr>
          <w:rFonts w:cstheme="minorHAnsi"/>
          <w:bCs/>
        </w:rPr>
        <w:t>FT4</w:t>
      </w:r>
      <w:r w:rsidR="007B603F" w:rsidRPr="00AF0457">
        <w:rPr>
          <w:rFonts w:cstheme="minorHAnsi"/>
          <w:bCs/>
        </w:rPr>
        <w:t xml:space="preserve"> (β=0.04 mmHg, 95% CI:</w:t>
      </w:r>
      <w:r w:rsidR="007B603F" w:rsidRPr="00AF0457">
        <w:rPr>
          <w:rFonts w:cstheme="minorHAnsi"/>
        </w:rPr>
        <w:t xml:space="preserve"> </w:t>
      </w:r>
      <w:r w:rsidR="007B603F" w:rsidRPr="00AF0457">
        <w:rPr>
          <w:rFonts w:cstheme="minorHAnsi"/>
          <w:bCs/>
        </w:rPr>
        <w:t xml:space="preserve">0.01,0.06) and </w:t>
      </w:r>
      <w:r w:rsidR="008059BC" w:rsidRPr="00AF0457">
        <w:rPr>
          <w:rFonts w:cstheme="minorHAnsi"/>
          <w:bCs/>
        </w:rPr>
        <w:t xml:space="preserve">a </w:t>
      </w:r>
      <w:r w:rsidR="00BD3930" w:rsidRPr="00AF0457">
        <w:rPr>
          <w:rFonts w:cstheme="minorHAnsi"/>
          <w:bCs/>
        </w:rPr>
        <w:t>1-</w:t>
      </w:r>
      <w:r w:rsidR="008059BC" w:rsidRPr="00AF0457">
        <w:rPr>
          <w:rFonts w:cstheme="minorHAnsi"/>
          <w:bCs/>
        </w:rPr>
        <w:t xml:space="preserve">SD increase in </w:t>
      </w:r>
      <w:r w:rsidR="00F64E1A" w:rsidRPr="00AF0457">
        <w:rPr>
          <w:rFonts w:cstheme="minorHAnsi"/>
          <w:bCs/>
        </w:rPr>
        <w:t>TSH (β=1.68 mmHg, 95% CI:</w:t>
      </w:r>
      <w:r w:rsidR="00F64E1A" w:rsidRPr="00AF0457">
        <w:rPr>
          <w:rFonts w:cstheme="minorHAnsi"/>
        </w:rPr>
        <w:t xml:space="preserve"> </w:t>
      </w:r>
      <w:r w:rsidR="00F64E1A" w:rsidRPr="00AF0457">
        <w:rPr>
          <w:rFonts w:cstheme="minorHAnsi"/>
          <w:bCs/>
        </w:rPr>
        <w:t>0.52,2.83) w</w:t>
      </w:r>
      <w:r w:rsidR="007B603F" w:rsidRPr="00AF0457">
        <w:rPr>
          <w:rFonts w:cstheme="minorHAnsi"/>
          <w:bCs/>
        </w:rPr>
        <w:t>ere</w:t>
      </w:r>
      <w:r w:rsidR="00AC1210" w:rsidRPr="00AF0457">
        <w:rPr>
          <w:rFonts w:cstheme="minorHAnsi"/>
          <w:bCs/>
        </w:rPr>
        <w:t xml:space="preserve"> </w:t>
      </w:r>
      <w:r w:rsidR="00C47BA5" w:rsidRPr="00AF0457">
        <w:rPr>
          <w:rFonts w:cstheme="minorHAnsi"/>
          <w:bCs/>
        </w:rPr>
        <w:t>positively</w:t>
      </w:r>
      <w:r w:rsidR="00AC1210" w:rsidRPr="00AF0457">
        <w:rPr>
          <w:rFonts w:cstheme="minorHAnsi"/>
          <w:bCs/>
        </w:rPr>
        <w:t xml:space="preserve"> </w:t>
      </w:r>
      <w:r w:rsidR="00F64E1A" w:rsidRPr="00AF0457">
        <w:rPr>
          <w:rFonts w:cstheme="minorHAnsi"/>
          <w:bCs/>
        </w:rPr>
        <w:t xml:space="preserve">associated with </w:t>
      </w:r>
      <w:r w:rsidR="00524A2C" w:rsidRPr="00AF0457">
        <w:rPr>
          <w:rFonts w:cstheme="minorHAnsi"/>
          <w:bCs/>
        </w:rPr>
        <w:t>change in</w:t>
      </w:r>
      <w:r w:rsidR="00245D1A" w:rsidRPr="00AF0457">
        <w:rPr>
          <w:rFonts w:cstheme="minorHAnsi"/>
          <w:bCs/>
        </w:rPr>
        <w:t xml:space="preserve"> DBP, </w:t>
      </w:r>
      <w:r w:rsidR="008059BC" w:rsidRPr="00AF0457">
        <w:rPr>
          <w:rFonts w:cstheme="minorHAnsi"/>
          <w:bCs/>
        </w:rPr>
        <w:t xml:space="preserve">while a </w:t>
      </w:r>
      <w:r w:rsidR="00DA551E" w:rsidRPr="00AF0457">
        <w:rPr>
          <w:rFonts w:cstheme="minorHAnsi"/>
          <w:bCs/>
        </w:rPr>
        <w:t>1-</w:t>
      </w:r>
      <w:r w:rsidR="008059BC" w:rsidRPr="00AF0457">
        <w:rPr>
          <w:rFonts w:cstheme="minorHAnsi"/>
          <w:bCs/>
        </w:rPr>
        <w:t>SD increase in</w:t>
      </w:r>
      <w:r w:rsidR="00F64E1A" w:rsidRPr="00AF0457">
        <w:rPr>
          <w:rFonts w:cstheme="minorHAnsi"/>
          <w:bCs/>
        </w:rPr>
        <w:t xml:space="preserve"> T3 (β=1.13 mmHg, 95% CI:</w:t>
      </w:r>
      <w:r w:rsidR="00F64E1A" w:rsidRPr="00AF0457">
        <w:rPr>
          <w:rFonts w:cstheme="minorHAnsi"/>
        </w:rPr>
        <w:t xml:space="preserve"> </w:t>
      </w:r>
      <w:r w:rsidR="00F64E1A" w:rsidRPr="00AF0457">
        <w:rPr>
          <w:rFonts w:cstheme="minorHAnsi"/>
          <w:bCs/>
        </w:rPr>
        <w:t xml:space="preserve">0.13,2.13) was </w:t>
      </w:r>
      <w:r w:rsidR="00C47BA5" w:rsidRPr="00AF0457">
        <w:rPr>
          <w:rFonts w:cstheme="minorHAnsi"/>
          <w:bCs/>
        </w:rPr>
        <w:t xml:space="preserve">positively </w:t>
      </w:r>
      <w:r w:rsidR="00F64E1A" w:rsidRPr="00AF0457">
        <w:rPr>
          <w:rFonts w:cstheme="minorHAnsi"/>
          <w:bCs/>
        </w:rPr>
        <w:t xml:space="preserve">associated with </w:t>
      </w:r>
      <w:r w:rsidR="00524A2C" w:rsidRPr="00AF0457">
        <w:rPr>
          <w:rFonts w:cstheme="minorHAnsi"/>
          <w:bCs/>
        </w:rPr>
        <w:t>change in</w:t>
      </w:r>
      <w:r w:rsidR="008059BC" w:rsidRPr="00AF0457">
        <w:rPr>
          <w:rFonts w:cstheme="minorHAnsi"/>
          <w:bCs/>
        </w:rPr>
        <w:t xml:space="preserve"> </w:t>
      </w:r>
      <w:r w:rsidR="00F64E1A" w:rsidRPr="00AF0457">
        <w:rPr>
          <w:rFonts w:cstheme="minorHAnsi"/>
          <w:bCs/>
        </w:rPr>
        <w:t>pulse pressure</w:t>
      </w:r>
      <w:r w:rsidR="00985280" w:rsidRPr="00AF0457">
        <w:rPr>
          <w:rFonts w:cstheme="minorHAnsi"/>
          <w:bCs/>
        </w:rPr>
        <w:t>.</w:t>
      </w:r>
      <w:r w:rsidR="00963F63" w:rsidRPr="00AF0457">
        <w:rPr>
          <w:rFonts w:cstheme="minorHAnsi"/>
          <w:bCs/>
        </w:rPr>
        <w:t xml:space="preserve"> </w:t>
      </w:r>
      <w:r w:rsidR="00347A0B" w:rsidRPr="00AF0457">
        <w:rPr>
          <w:rFonts w:cstheme="minorHAnsi"/>
          <w:bCs/>
        </w:rPr>
        <w:t xml:space="preserve">Conversely, </w:t>
      </w:r>
      <w:r w:rsidR="00405A67" w:rsidRPr="00AF0457">
        <w:rPr>
          <w:rFonts w:cstheme="minorHAnsi"/>
          <w:bCs/>
        </w:rPr>
        <w:t xml:space="preserve">the </w:t>
      </w:r>
      <w:r w:rsidR="00C8679B" w:rsidRPr="00AF0457">
        <w:rPr>
          <w:rFonts w:cstheme="minorHAnsi"/>
          <w:bCs/>
        </w:rPr>
        <w:t xml:space="preserve">ratio of </w:t>
      </w:r>
      <w:r w:rsidR="00F33700" w:rsidRPr="00AF0457">
        <w:rPr>
          <w:rFonts w:cstheme="minorHAnsi"/>
          <w:bCs/>
        </w:rPr>
        <w:t>TSH</w:t>
      </w:r>
      <w:r w:rsidR="00C8679B" w:rsidRPr="00AF0457">
        <w:rPr>
          <w:rFonts w:cstheme="minorHAnsi"/>
          <w:bCs/>
        </w:rPr>
        <w:t xml:space="preserve"> to </w:t>
      </w:r>
      <w:r w:rsidR="00F33700" w:rsidRPr="00AF0457">
        <w:rPr>
          <w:rFonts w:cstheme="minorHAnsi"/>
          <w:bCs/>
        </w:rPr>
        <w:t>T3, TSHI</w:t>
      </w:r>
      <w:r w:rsidR="003D3A43" w:rsidRPr="00AF0457">
        <w:rPr>
          <w:rFonts w:cstheme="minorHAnsi"/>
          <w:bCs/>
        </w:rPr>
        <w:t>,</w:t>
      </w:r>
      <w:r w:rsidR="00F33700" w:rsidRPr="00AF0457">
        <w:rPr>
          <w:rFonts w:cstheme="minorHAnsi"/>
          <w:bCs/>
        </w:rPr>
        <w:t xml:space="preserve"> and TT4RI were </w:t>
      </w:r>
      <w:r w:rsidR="00524A2C" w:rsidRPr="00AF0457">
        <w:rPr>
          <w:rFonts w:cstheme="minorHAnsi"/>
          <w:bCs/>
        </w:rPr>
        <w:t>inversely</w:t>
      </w:r>
      <w:r w:rsidR="00F33700" w:rsidRPr="00AF0457">
        <w:rPr>
          <w:rFonts w:cstheme="minorHAnsi"/>
          <w:bCs/>
        </w:rPr>
        <w:t xml:space="preserve"> associated with </w:t>
      </w:r>
      <w:r w:rsidR="00524A2C" w:rsidRPr="00AF0457">
        <w:rPr>
          <w:rFonts w:cstheme="minorHAnsi"/>
          <w:bCs/>
        </w:rPr>
        <w:t xml:space="preserve">change in </w:t>
      </w:r>
      <w:r w:rsidR="00F33700" w:rsidRPr="00AF0457">
        <w:rPr>
          <w:rFonts w:cstheme="minorHAnsi"/>
          <w:bCs/>
        </w:rPr>
        <w:t>pulse press</w:t>
      </w:r>
      <w:r w:rsidR="00963F63" w:rsidRPr="00AF0457">
        <w:rPr>
          <w:rFonts w:cstheme="minorHAnsi"/>
          <w:bCs/>
        </w:rPr>
        <w:t xml:space="preserve">ure (Table 2). </w:t>
      </w:r>
      <w:r w:rsidR="0041375C" w:rsidRPr="00AF0457">
        <w:rPr>
          <w:rFonts w:cstheme="minorHAnsi"/>
          <w:bCs/>
        </w:rPr>
        <w:t xml:space="preserve">The ratio of </w:t>
      </w:r>
      <w:r w:rsidR="008E2420" w:rsidRPr="00AF0457">
        <w:rPr>
          <w:rFonts w:cstheme="minorHAnsi"/>
          <w:bCs/>
        </w:rPr>
        <w:t>T3</w:t>
      </w:r>
      <w:r w:rsidR="0041375C" w:rsidRPr="00AF0457">
        <w:rPr>
          <w:rFonts w:cstheme="minorHAnsi"/>
          <w:bCs/>
        </w:rPr>
        <w:t xml:space="preserve"> to </w:t>
      </w:r>
      <w:r w:rsidRPr="00AF0457">
        <w:rPr>
          <w:rFonts w:cstheme="minorHAnsi"/>
          <w:bCs/>
        </w:rPr>
        <w:t>FT4</w:t>
      </w:r>
      <w:r w:rsidR="008E2420" w:rsidRPr="00AF0457">
        <w:rPr>
          <w:rFonts w:cstheme="minorHAnsi"/>
          <w:bCs/>
        </w:rPr>
        <w:t xml:space="preserve"> was associated with </w:t>
      </w:r>
      <w:r w:rsidR="00704627" w:rsidRPr="00AF0457">
        <w:rPr>
          <w:rFonts w:cstheme="minorHAnsi"/>
          <w:bCs/>
        </w:rPr>
        <w:t>developing</w:t>
      </w:r>
      <w:r w:rsidR="00790A97" w:rsidRPr="00AF0457">
        <w:rPr>
          <w:rFonts w:cstheme="minorHAnsi"/>
          <w:bCs/>
        </w:rPr>
        <w:t xml:space="preserve"> </w:t>
      </w:r>
      <w:r w:rsidR="008E2420" w:rsidRPr="00AF0457">
        <w:rPr>
          <w:rFonts w:cstheme="minorHAnsi"/>
          <w:bCs/>
        </w:rPr>
        <w:t>prehypertension</w:t>
      </w:r>
      <w:r w:rsidR="00790A97" w:rsidRPr="00AF0457">
        <w:rPr>
          <w:rFonts w:cstheme="minorHAnsi"/>
          <w:bCs/>
        </w:rPr>
        <w:t xml:space="preserve"> from normotensi</w:t>
      </w:r>
      <w:r w:rsidR="00704627" w:rsidRPr="00AF0457">
        <w:rPr>
          <w:rFonts w:cstheme="minorHAnsi"/>
          <w:bCs/>
        </w:rPr>
        <w:t>on</w:t>
      </w:r>
      <w:r w:rsidR="00790A97" w:rsidRPr="00AF0457">
        <w:rPr>
          <w:rFonts w:cstheme="minorHAnsi"/>
          <w:bCs/>
        </w:rPr>
        <w:t xml:space="preserve"> </w:t>
      </w:r>
      <w:r w:rsidR="00325F88" w:rsidRPr="00AF0457">
        <w:rPr>
          <w:rFonts w:cstheme="minorHAnsi"/>
          <w:bCs/>
        </w:rPr>
        <w:t>(IRR=1.03, 95% CI:</w:t>
      </w:r>
      <w:r w:rsidR="00325F88" w:rsidRPr="00AF0457">
        <w:rPr>
          <w:rFonts w:cstheme="minorHAnsi"/>
        </w:rPr>
        <w:t xml:space="preserve"> </w:t>
      </w:r>
      <w:r w:rsidR="00325F88" w:rsidRPr="00AF0457">
        <w:rPr>
          <w:rFonts w:cstheme="minorHAnsi"/>
          <w:bCs/>
        </w:rPr>
        <w:t>1.00, 1.05) and hypertension fro</w:t>
      </w:r>
      <w:r w:rsidR="00704627" w:rsidRPr="00AF0457">
        <w:rPr>
          <w:rFonts w:cstheme="minorHAnsi"/>
          <w:bCs/>
        </w:rPr>
        <w:t>m</w:t>
      </w:r>
      <w:r w:rsidR="00325F88" w:rsidRPr="00AF0457">
        <w:rPr>
          <w:rFonts w:cstheme="minorHAnsi"/>
          <w:bCs/>
        </w:rPr>
        <w:t xml:space="preserve"> prehypertensi</w:t>
      </w:r>
      <w:r w:rsidR="00704627" w:rsidRPr="00AF0457">
        <w:rPr>
          <w:rFonts w:cstheme="minorHAnsi"/>
          <w:bCs/>
        </w:rPr>
        <w:t>on</w:t>
      </w:r>
      <w:r w:rsidR="00325F88" w:rsidRPr="00AF0457">
        <w:rPr>
          <w:rFonts w:cstheme="minorHAnsi"/>
          <w:bCs/>
        </w:rPr>
        <w:t xml:space="preserve"> (IRR=1.01, 95% CI:</w:t>
      </w:r>
      <w:r w:rsidR="00325F88" w:rsidRPr="00AF0457">
        <w:rPr>
          <w:rFonts w:cstheme="minorHAnsi"/>
        </w:rPr>
        <w:t xml:space="preserve"> </w:t>
      </w:r>
      <w:r w:rsidR="00325F88" w:rsidRPr="00AF0457">
        <w:rPr>
          <w:rFonts w:cstheme="minorHAnsi"/>
          <w:bCs/>
        </w:rPr>
        <w:t>1.00, 1.02)</w:t>
      </w:r>
      <w:r w:rsidR="003D3A43" w:rsidRPr="00AF0457">
        <w:rPr>
          <w:rFonts w:cstheme="minorHAnsi"/>
          <w:bCs/>
        </w:rPr>
        <w:t>,</w:t>
      </w:r>
      <w:r w:rsidR="00E76837" w:rsidRPr="00AF0457">
        <w:rPr>
          <w:rFonts w:cstheme="minorHAnsi"/>
          <w:bCs/>
        </w:rPr>
        <w:t xml:space="preserve"> while</w:t>
      </w:r>
      <w:r w:rsidR="00BE33BF" w:rsidRPr="00AF0457">
        <w:rPr>
          <w:rFonts w:cstheme="minorHAnsi"/>
          <w:bCs/>
        </w:rPr>
        <w:t xml:space="preserve"> </w:t>
      </w:r>
      <w:r w:rsidR="008059BC" w:rsidRPr="00AF0457">
        <w:rPr>
          <w:rFonts w:cstheme="minorHAnsi"/>
          <w:bCs/>
        </w:rPr>
        <w:t xml:space="preserve">a </w:t>
      </w:r>
      <w:r w:rsidR="00BC46E5" w:rsidRPr="00AF0457">
        <w:rPr>
          <w:rFonts w:cstheme="minorHAnsi"/>
          <w:bCs/>
        </w:rPr>
        <w:t>1-</w:t>
      </w:r>
      <w:r w:rsidR="008059BC" w:rsidRPr="00AF0457">
        <w:rPr>
          <w:rFonts w:cstheme="minorHAnsi"/>
          <w:bCs/>
        </w:rPr>
        <w:t xml:space="preserve">SD increase in </w:t>
      </w:r>
      <w:r w:rsidR="004A0BC6" w:rsidRPr="00AF0457">
        <w:rPr>
          <w:rFonts w:cstheme="minorHAnsi"/>
          <w:bCs/>
        </w:rPr>
        <w:t xml:space="preserve">T3 </w:t>
      </w:r>
      <w:r w:rsidR="0071602F" w:rsidRPr="00AF0457">
        <w:rPr>
          <w:rFonts w:cstheme="minorHAnsi"/>
          <w:bCs/>
        </w:rPr>
        <w:t>(IRR=1.55, 95% CI:</w:t>
      </w:r>
      <w:r w:rsidR="0071602F" w:rsidRPr="00AF0457">
        <w:rPr>
          <w:rFonts w:cstheme="minorHAnsi"/>
        </w:rPr>
        <w:t xml:space="preserve"> </w:t>
      </w:r>
      <w:r w:rsidR="0071602F" w:rsidRPr="00AF0457">
        <w:rPr>
          <w:rFonts w:cstheme="minorHAnsi"/>
          <w:bCs/>
        </w:rPr>
        <w:t xml:space="preserve">1.13, 2.12) </w:t>
      </w:r>
      <w:r w:rsidR="004A0BC6" w:rsidRPr="00AF0457">
        <w:rPr>
          <w:rFonts w:cstheme="minorHAnsi"/>
          <w:bCs/>
        </w:rPr>
        <w:t xml:space="preserve">was </w:t>
      </w:r>
      <w:r w:rsidR="00BE33BF" w:rsidRPr="00AF0457">
        <w:rPr>
          <w:rFonts w:cstheme="minorHAnsi"/>
          <w:bCs/>
        </w:rPr>
        <w:t xml:space="preserve">significantly </w:t>
      </w:r>
      <w:r w:rsidR="004A0BC6" w:rsidRPr="00AF0457">
        <w:rPr>
          <w:rFonts w:cstheme="minorHAnsi"/>
          <w:bCs/>
        </w:rPr>
        <w:t>associated with</w:t>
      </w:r>
      <w:r w:rsidR="00243A00" w:rsidRPr="00AF0457">
        <w:rPr>
          <w:rFonts w:cstheme="minorHAnsi"/>
          <w:bCs/>
        </w:rPr>
        <w:t xml:space="preserve"> </w:t>
      </w:r>
      <w:r w:rsidR="007B75C7" w:rsidRPr="00AF0457">
        <w:rPr>
          <w:rFonts w:cstheme="minorHAnsi"/>
          <w:bCs/>
        </w:rPr>
        <w:t>developing</w:t>
      </w:r>
      <w:r w:rsidR="0071602F" w:rsidRPr="00AF0457">
        <w:rPr>
          <w:rFonts w:cstheme="minorHAnsi"/>
          <w:bCs/>
        </w:rPr>
        <w:t xml:space="preserve"> hypertension</w:t>
      </w:r>
      <w:r w:rsidR="00243A00" w:rsidRPr="00AF0457">
        <w:rPr>
          <w:rFonts w:cstheme="minorHAnsi"/>
          <w:bCs/>
        </w:rPr>
        <w:t xml:space="preserve"> from prehypertensi</w:t>
      </w:r>
      <w:r w:rsidR="007B75C7" w:rsidRPr="00AF0457">
        <w:rPr>
          <w:rFonts w:cstheme="minorHAnsi"/>
          <w:bCs/>
        </w:rPr>
        <w:t>on</w:t>
      </w:r>
      <w:r w:rsidR="00294BFB" w:rsidRPr="00AF0457">
        <w:rPr>
          <w:rFonts w:cstheme="minorHAnsi"/>
          <w:bCs/>
        </w:rPr>
        <w:t xml:space="preserve"> (</w:t>
      </w:r>
      <w:r w:rsidR="00245D1A" w:rsidRPr="00AF0457">
        <w:rPr>
          <w:rFonts w:cstheme="minorHAnsi"/>
          <w:bCs/>
        </w:rPr>
        <w:t>Table 3</w:t>
      </w:r>
      <w:r w:rsidR="00294BFB" w:rsidRPr="00AF0457">
        <w:rPr>
          <w:rFonts w:cstheme="minorHAnsi"/>
          <w:bCs/>
        </w:rPr>
        <w:t>)</w:t>
      </w:r>
      <w:r w:rsidR="007B08FD" w:rsidRPr="00AF0457">
        <w:rPr>
          <w:rFonts w:cstheme="minorHAnsi"/>
          <w:bCs/>
        </w:rPr>
        <w:t>.</w:t>
      </w:r>
      <w:r w:rsidR="00294BFB" w:rsidRPr="00AF0457">
        <w:rPr>
          <w:rFonts w:cstheme="minorHAnsi"/>
          <w:bCs/>
        </w:rPr>
        <w:t xml:space="preserve"> </w:t>
      </w:r>
      <w:r w:rsidR="007B08FD" w:rsidRPr="00AF0457">
        <w:rPr>
          <w:rFonts w:cstheme="minorHAnsi"/>
          <w:bCs/>
        </w:rPr>
        <w:t xml:space="preserve">In contrast, </w:t>
      </w:r>
      <w:r w:rsidR="005615BE" w:rsidRPr="00AF0457">
        <w:rPr>
          <w:rFonts w:cstheme="minorHAnsi"/>
          <w:bCs/>
        </w:rPr>
        <w:t xml:space="preserve">the </w:t>
      </w:r>
      <w:r w:rsidR="00E5137C" w:rsidRPr="00AF0457">
        <w:rPr>
          <w:rFonts w:cstheme="minorHAnsi"/>
          <w:bCs/>
        </w:rPr>
        <w:t xml:space="preserve">ratio of </w:t>
      </w:r>
      <w:r w:rsidR="005D11D4" w:rsidRPr="00AF0457">
        <w:rPr>
          <w:rFonts w:cstheme="minorHAnsi"/>
          <w:bCs/>
        </w:rPr>
        <w:t>TSH</w:t>
      </w:r>
      <w:r w:rsidR="00E5137C" w:rsidRPr="00AF0457">
        <w:rPr>
          <w:rFonts w:cstheme="minorHAnsi"/>
          <w:bCs/>
        </w:rPr>
        <w:t xml:space="preserve"> to </w:t>
      </w:r>
      <w:r w:rsidRPr="00AF0457">
        <w:rPr>
          <w:rFonts w:cstheme="minorHAnsi"/>
          <w:bCs/>
        </w:rPr>
        <w:t>FT4</w:t>
      </w:r>
      <w:r w:rsidR="005D11D4" w:rsidRPr="00AF0457">
        <w:rPr>
          <w:rFonts w:cstheme="minorHAnsi"/>
          <w:bCs/>
        </w:rPr>
        <w:t xml:space="preserve"> (IRR=0.85, 95% CI:</w:t>
      </w:r>
      <w:r w:rsidR="005D11D4" w:rsidRPr="00AF0457">
        <w:rPr>
          <w:rFonts w:cstheme="minorHAnsi"/>
        </w:rPr>
        <w:t xml:space="preserve"> </w:t>
      </w:r>
      <w:r w:rsidR="005D11D4" w:rsidRPr="00AF0457">
        <w:rPr>
          <w:rFonts w:cstheme="minorHAnsi"/>
          <w:bCs/>
        </w:rPr>
        <w:t>0.72, 1.00)</w:t>
      </w:r>
      <w:r w:rsidR="00025857" w:rsidRPr="00AF0457">
        <w:rPr>
          <w:rFonts w:cstheme="minorHAnsi"/>
          <w:bCs/>
        </w:rPr>
        <w:t xml:space="preserve"> and TSH</w:t>
      </w:r>
      <w:r w:rsidR="005615BE" w:rsidRPr="00AF0457">
        <w:rPr>
          <w:rFonts w:cstheme="minorHAnsi"/>
          <w:bCs/>
        </w:rPr>
        <w:t xml:space="preserve"> to </w:t>
      </w:r>
      <w:r w:rsidR="00025857" w:rsidRPr="00AF0457">
        <w:rPr>
          <w:rFonts w:cstheme="minorHAnsi"/>
          <w:bCs/>
        </w:rPr>
        <w:t xml:space="preserve">T3 </w:t>
      </w:r>
      <w:r w:rsidR="00025857" w:rsidRPr="00AF0457">
        <w:rPr>
          <w:rFonts w:cstheme="minorHAnsi"/>
          <w:bCs/>
        </w:rPr>
        <w:lastRenderedPageBreak/>
        <w:t>(IRR=0.</w:t>
      </w:r>
      <w:r w:rsidR="00B5021F" w:rsidRPr="00AF0457">
        <w:rPr>
          <w:rFonts w:cstheme="minorHAnsi"/>
          <w:bCs/>
        </w:rPr>
        <w:t>6</w:t>
      </w:r>
      <w:r w:rsidR="00025857" w:rsidRPr="00AF0457">
        <w:rPr>
          <w:rFonts w:cstheme="minorHAnsi"/>
          <w:bCs/>
        </w:rPr>
        <w:t>5, 95% CI:</w:t>
      </w:r>
      <w:r w:rsidR="00025857" w:rsidRPr="00AF0457">
        <w:rPr>
          <w:rFonts w:cstheme="minorHAnsi"/>
        </w:rPr>
        <w:t xml:space="preserve"> </w:t>
      </w:r>
      <w:r w:rsidR="00025857" w:rsidRPr="00AF0457">
        <w:rPr>
          <w:rFonts w:cstheme="minorHAnsi"/>
          <w:bCs/>
        </w:rPr>
        <w:t>0.</w:t>
      </w:r>
      <w:r w:rsidR="00B5021F" w:rsidRPr="00AF0457">
        <w:rPr>
          <w:rFonts w:cstheme="minorHAnsi"/>
          <w:bCs/>
        </w:rPr>
        <w:t>46</w:t>
      </w:r>
      <w:r w:rsidR="00025857" w:rsidRPr="00AF0457">
        <w:rPr>
          <w:rFonts w:cstheme="minorHAnsi"/>
          <w:bCs/>
        </w:rPr>
        <w:t>, 0</w:t>
      </w:r>
      <w:r w:rsidR="00B5021F" w:rsidRPr="00AF0457">
        <w:rPr>
          <w:rFonts w:cstheme="minorHAnsi"/>
          <w:bCs/>
        </w:rPr>
        <w:t>.94</w:t>
      </w:r>
      <w:r w:rsidR="00025857" w:rsidRPr="00AF0457">
        <w:rPr>
          <w:rFonts w:cstheme="minorHAnsi"/>
          <w:bCs/>
        </w:rPr>
        <w:t>)</w:t>
      </w:r>
      <w:r w:rsidR="00D51C90" w:rsidRPr="00AF0457">
        <w:rPr>
          <w:rFonts w:cstheme="minorHAnsi"/>
          <w:bCs/>
        </w:rPr>
        <w:t xml:space="preserve"> </w:t>
      </w:r>
      <w:r w:rsidR="00E51573" w:rsidRPr="00AF0457">
        <w:rPr>
          <w:rFonts w:cstheme="minorHAnsi"/>
          <w:bCs/>
        </w:rPr>
        <w:t>w</w:t>
      </w:r>
      <w:r w:rsidR="00025857" w:rsidRPr="00AF0457">
        <w:rPr>
          <w:rFonts w:cstheme="minorHAnsi"/>
          <w:bCs/>
        </w:rPr>
        <w:t>ere</w:t>
      </w:r>
      <w:r w:rsidR="00BB0568" w:rsidRPr="00AF0457">
        <w:rPr>
          <w:rFonts w:cstheme="minorHAnsi"/>
          <w:bCs/>
        </w:rPr>
        <w:t xml:space="preserve"> significantly associated with decreased risk of </w:t>
      </w:r>
      <w:r w:rsidR="00FB5DBE" w:rsidRPr="00AF0457">
        <w:rPr>
          <w:rFonts w:cstheme="minorHAnsi"/>
          <w:bCs/>
        </w:rPr>
        <w:t>developing</w:t>
      </w:r>
      <w:r w:rsidR="00BB0568" w:rsidRPr="00AF0457">
        <w:rPr>
          <w:rFonts w:cstheme="minorHAnsi"/>
          <w:bCs/>
        </w:rPr>
        <w:t xml:space="preserve"> hypertension from prehypertensi</w:t>
      </w:r>
      <w:r w:rsidR="00FB5DBE" w:rsidRPr="00AF0457">
        <w:rPr>
          <w:rFonts w:cstheme="minorHAnsi"/>
          <w:bCs/>
        </w:rPr>
        <w:t>on</w:t>
      </w:r>
      <w:r w:rsidR="00A17AB9" w:rsidRPr="00AF0457">
        <w:rPr>
          <w:rFonts w:cstheme="minorHAnsi"/>
          <w:bCs/>
        </w:rPr>
        <w:t xml:space="preserve"> </w:t>
      </w:r>
      <w:r w:rsidR="00470BE7" w:rsidRPr="00AF0457">
        <w:rPr>
          <w:rFonts w:cstheme="minorHAnsi"/>
          <w:bCs/>
        </w:rPr>
        <w:t>while</w:t>
      </w:r>
      <w:r w:rsidR="008F0427" w:rsidRPr="00AF0457">
        <w:rPr>
          <w:rFonts w:cstheme="minorHAnsi"/>
          <w:bCs/>
        </w:rPr>
        <w:t xml:space="preserve"> PTFQI and TFQI were associated with decreased risk of developing prehypertension from normotension (Table 3)</w:t>
      </w:r>
      <w:r w:rsidR="00735DD8" w:rsidRPr="00AF0457">
        <w:rPr>
          <w:rFonts w:cstheme="minorHAnsi"/>
          <w:bCs/>
        </w:rPr>
        <w:t>.</w:t>
      </w:r>
      <w:r w:rsidR="00CC0B98">
        <w:rPr>
          <w:rFonts w:cstheme="minorHAnsi"/>
          <w:bCs/>
        </w:rPr>
        <w:t xml:space="preserve"> </w:t>
      </w:r>
      <w:r w:rsidR="00EC0478">
        <w:rPr>
          <w:rFonts w:cstheme="minorHAnsi"/>
          <w:bCs/>
        </w:rPr>
        <w:t>W</w:t>
      </w:r>
      <w:r w:rsidR="00191C1A">
        <w:rPr>
          <w:rFonts w:cstheme="minorHAnsi"/>
          <w:bCs/>
        </w:rPr>
        <w:t xml:space="preserve">e did not observe significant non-linear associations of thyroid-related hormones with </w:t>
      </w:r>
      <w:r w:rsidR="00695A09">
        <w:rPr>
          <w:rFonts w:cstheme="minorHAnsi"/>
          <w:bCs/>
        </w:rPr>
        <w:t xml:space="preserve">change in </w:t>
      </w:r>
      <w:r w:rsidR="00191C1A">
        <w:rPr>
          <w:rFonts w:cstheme="minorHAnsi"/>
          <w:bCs/>
        </w:rPr>
        <w:t>BP measures among postmenopausal women in quartile models</w:t>
      </w:r>
      <w:r w:rsidR="00EC0478">
        <w:rPr>
          <w:rFonts w:cstheme="minorHAnsi"/>
          <w:bCs/>
        </w:rPr>
        <w:t xml:space="preserve"> (Table S3)</w:t>
      </w:r>
      <w:r w:rsidR="00191C1A">
        <w:rPr>
          <w:rFonts w:cstheme="minorHAnsi"/>
          <w:bCs/>
        </w:rPr>
        <w:t>.</w:t>
      </w:r>
      <w:r w:rsidR="00271D3D" w:rsidRPr="00A85A6E">
        <w:rPr>
          <w:rFonts w:cstheme="minorHAnsi"/>
          <w:vertAlign w:val="superscript"/>
        </w:rPr>
        <w:fldChar w:fldCharType="begin"/>
      </w:r>
      <w:r w:rsidR="00271D3D" w:rsidRPr="00A85A6E">
        <w:rPr>
          <w:rFonts w:cstheme="minorHAnsi"/>
          <w:vertAlign w:val="superscript"/>
        </w:rPr>
        <w:instrText xml:space="preserve"> NOTEREF _Ref147074474 \h </w:instrText>
      </w:r>
      <w:r w:rsidR="00271D3D">
        <w:rPr>
          <w:rFonts w:cstheme="minorHAnsi"/>
          <w:vertAlign w:val="superscript"/>
        </w:rPr>
        <w:instrText xml:space="preserve"> \* MERGEFORMAT </w:instrText>
      </w:r>
      <w:r w:rsidR="00271D3D" w:rsidRPr="00A85A6E">
        <w:rPr>
          <w:rFonts w:cstheme="minorHAnsi"/>
          <w:vertAlign w:val="superscript"/>
        </w:rPr>
      </w:r>
      <w:r w:rsidR="00271D3D" w:rsidRPr="00A85A6E">
        <w:rPr>
          <w:rFonts w:cstheme="minorHAnsi"/>
          <w:vertAlign w:val="superscript"/>
        </w:rPr>
        <w:fldChar w:fldCharType="separate"/>
      </w:r>
      <w:r w:rsidR="000F6C53">
        <w:rPr>
          <w:rFonts w:cstheme="minorHAnsi"/>
          <w:vertAlign w:val="superscript"/>
        </w:rPr>
        <w:t>54</w:t>
      </w:r>
      <w:r w:rsidR="00271D3D" w:rsidRPr="00A85A6E">
        <w:rPr>
          <w:rFonts w:cstheme="minorHAnsi"/>
          <w:vertAlign w:val="superscript"/>
        </w:rPr>
        <w:fldChar w:fldCharType="end"/>
      </w:r>
      <w:r w:rsidR="00D540F0">
        <w:rPr>
          <w:rFonts w:cstheme="minorHAnsi"/>
          <w:bCs/>
        </w:rPr>
        <w:t xml:space="preserve"> FT4 and T3</w:t>
      </w:r>
      <w:r w:rsidR="003108DB">
        <w:rPr>
          <w:rFonts w:cstheme="minorHAnsi"/>
          <w:bCs/>
        </w:rPr>
        <w:t>, however,</w:t>
      </w:r>
      <w:r w:rsidR="00D540F0">
        <w:rPr>
          <w:rFonts w:cstheme="minorHAnsi"/>
          <w:bCs/>
        </w:rPr>
        <w:t xml:space="preserve"> demonstrated non-linear associations with </w:t>
      </w:r>
      <w:r w:rsidR="001777A5">
        <w:rPr>
          <w:rFonts w:cstheme="minorHAnsi"/>
          <w:bCs/>
        </w:rPr>
        <w:t xml:space="preserve">the </w:t>
      </w:r>
      <w:r w:rsidR="00D540F0">
        <w:rPr>
          <w:rFonts w:cstheme="minorHAnsi"/>
          <w:bCs/>
        </w:rPr>
        <w:t>develop</w:t>
      </w:r>
      <w:r w:rsidR="001777A5">
        <w:rPr>
          <w:rFonts w:cstheme="minorHAnsi"/>
          <w:bCs/>
        </w:rPr>
        <w:t>ment of</w:t>
      </w:r>
      <w:r w:rsidR="00D540F0">
        <w:rPr>
          <w:rFonts w:cstheme="minorHAnsi"/>
          <w:bCs/>
        </w:rPr>
        <w:t xml:space="preserve"> prehypertension from normotension</w:t>
      </w:r>
      <w:r w:rsidR="003B23CC">
        <w:rPr>
          <w:rFonts w:cstheme="minorHAnsi"/>
          <w:bCs/>
        </w:rPr>
        <w:t xml:space="preserve"> (p for trend=</w:t>
      </w:r>
      <w:r w:rsidR="003B23CC" w:rsidRPr="00BA7F8A">
        <w:t>0.027</w:t>
      </w:r>
      <w:r w:rsidR="003B23CC">
        <w:rPr>
          <w:rFonts w:cstheme="minorHAnsi"/>
          <w:bCs/>
        </w:rPr>
        <w:t>)</w:t>
      </w:r>
      <w:r w:rsidR="00D540F0">
        <w:rPr>
          <w:rFonts w:cstheme="minorHAnsi"/>
          <w:bCs/>
        </w:rPr>
        <w:t xml:space="preserve"> and hypertension from prehypertension</w:t>
      </w:r>
      <w:r w:rsidR="003B23CC">
        <w:rPr>
          <w:rFonts w:cstheme="minorHAnsi"/>
          <w:bCs/>
        </w:rPr>
        <w:t xml:space="preserve"> (p for trend=</w:t>
      </w:r>
      <w:r w:rsidR="003B23CC" w:rsidRPr="00BA7F8A">
        <w:t>0.023</w:t>
      </w:r>
      <w:r w:rsidR="003B23CC">
        <w:rPr>
          <w:rFonts w:cstheme="minorHAnsi"/>
          <w:bCs/>
        </w:rPr>
        <w:t>)</w:t>
      </w:r>
      <w:r w:rsidR="001777A5">
        <w:rPr>
          <w:rFonts w:cstheme="minorHAnsi"/>
          <w:bCs/>
        </w:rPr>
        <w:t>,</w:t>
      </w:r>
      <w:r w:rsidR="00D540F0">
        <w:rPr>
          <w:rFonts w:cstheme="minorHAnsi"/>
          <w:bCs/>
        </w:rPr>
        <w:t xml:space="preserve"> respectively (</w:t>
      </w:r>
      <w:r w:rsidR="00F87198">
        <w:t>Figure 1 and</w:t>
      </w:r>
      <w:r w:rsidR="00F87198">
        <w:rPr>
          <w:rFonts w:cstheme="minorHAnsi"/>
          <w:bCs/>
        </w:rPr>
        <w:t xml:space="preserve"> </w:t>
      </w:r>
      <w:r w:rsidR="00D540F0">
        <w:rPr>
          <w:rFonts w:cstheme="minorHAnsi"/>
          <w:bCs/>
        </w:rPr>
        <w:t>Table S4).</w:t>
      </w:r>
      <w:r w:rsidR="00271D3D" w:rsidRPr="00A85A6E">
        <w:rPr>
          <w:rFonts w:cstheme="minorHAnsi"/>
          <w:vertAlign w:val="superscript"/>
        </w:rPr>
        <w:fldChar w:fldCharType="begin"/>
      </w:r>
      <w:r w:rsidR="00271D3D" w:rsidRPr="00A85A6E">
        <w:rPr>
          <w:rFonts w:cstheme="minorHAnsi"/>
          <w:vertAlign w:val="superscript"/>
        </w:rPr>
        <w:instrText xml:space="preserve"> NOTEREF _Ref147074474 \h </w:instrText>
      </w:r>
      <w:r w:rsidR="00271D3D">
        <w:rPr>
          <w:rFonts w:cstheme="minorHAnsi"/>
          <w:vertAlign w:val="superscript"/>
        </w:rPr>
        <w:instrText xml:space="preserve"> \* MERGEFORMAT </w:instrText>
      </w:r>
      <w:r w:rsidR="00271D3D" w:rsidRPr="00A85A6E">
        <w:rPr>
          <w:rFonts w:cstheme="minorHAnsi"/>
          <w:vertAlign w:val="superscript"/>
        </w:rPr>
      </w:r>
      <w:r w:rsidR="00271D3D" w:rsidRPr="00A85A6E">
        <w:rPr>
          <w:rFonts w:cstheme="minorHAnsi"/>
          <w:vertAlign w:val="superscript"/>
        </w:rPr>
        <w:fldChar w:fldCharType="separate"/>
      </w:r>
      <w:r w:rsidR="000F6C53">
        <w:rPr>
          <w:rFonts w:cstheme="minorHAnsi"/>
          <w:vertAlign w:val="superscript"/>
        </w:rPr>
        <w:t>54</w:t>
      </w:r>
      <w:r w:rsidR="00271D3D" w:rsidRPr="00A85A6E">
        <w:rPr>
          <w:rFonts w:cstheme="minorHAnsi"/>
          <w:vertAlign w:val="superscript"/>
        </w:rPr>
        <w:fldChar w:fldCharType="end"/>
      </w:r>
    </w:p>
    <w:p w14:paraId="70DD628C" w14:textId="29D5FBFF" w:rsidR="00C7607E" w:rsidRPr="00AF0457" w:rsidRDefault="00424E01" w:rsidP="00CC21FA">
      <w:pPr>
        <w:spacing w:before="240" w:after="40" w:line="480" w:lineRule="auto"/>
        <w:ind w:right="58"/>
        <w:rPr>
          <w:rFonts w:cstheme="minorHAnsi"/>
          <w:b/>
          <w:bCs/>
        </w:rPr>
      </w:pPr>
      <w:r w:rsidRPr="00AF0457">
        <w:rPr>
          <w:rFonts w:cstheme="minorHAnsi"/>
          <w:b/>
          <w:bCs/>
        </w:rPr>
        <w:t xml:space="preserve">Association of </w:t>
      </w:r>
      <w:r w:rsidR="00693253" w:rsidRPr="00AF0457">
        <w:rPr>
          <w:rFonts w:cstheme="minorHAnsi"/>
          <w:b/>
          <w:bCs/>
        </w:rPr>
        <w:t>thyroid-related</w:t>
      </w:r>
      <w:r w:rsidRPr="00AF0457">
        <w:rPr>
          <w:rFonts w:cstheme="minorHAnsi"/>
          <w:b/>
          <w:bCs/>
        </w:rPr>
        <w:t xml:space="preserve"> hormones with change in blood pressure and development of hypertension in </w:t>
      </w:r>
      <w:r w:rsidR="00E3367D" w:rsidRPr="00AF0457">
        <w:rPr>
          <w:rFonts w:cstheme="minorHAnsi"/>
          <w:b/>
          <w:bCs/>
        </w:rPr>
        <w:t>m</w:t>
      </w:r>
      <w:r w:rsidR="00C92E41" w:rsidRPr="00AF0457">
        <w:rPr>
          <w:rFonts w:cstheme="minorHAnsi"/>
          <w:b/>
          <w:bCs/>
        </w:rPr>
        <w:t>en</w:t>
      </w:r>
    </w:p>
    <w:p w14:paraId="7C76FA63" w14:textId="56359B41" w:rsidR="003D3A43" w:rsidRPr="00AF0457" w:rsidRDefault="008643A1" w:rsidP="00CC21FA">
      <w:pPr>
        <w:spacing w:after="40" w:line="480" w:lineRule="auto"/>
        <w:rPr>
          <w:rFonts w:cstheme="minorHAnsi"/>
        </w:rPr>
      </w:pPr>
      <w:r w:rsidRPr="00AF0457">
        <w:rPr>
          <w:rFonts w:cstheme="minorHAnsi"/>
          <w:bCs/>
        </w:rPr>
        <w:t>In men,</w:t>
      </w:r>
      <w:r w:rsidR="00F64E1A" w:rsidRPr="00AF0457">
        <w:rPr>
          <w:rFonts w:cstheme="minorHAnsi"/>
          <w:bCs/>
        </w:rPr>
        <w:t xml:space="preserve"> </w:t>
      </w:r>
      <w:r w:rsidRPr="00AF0457">
        <w:rPr>
          <w:rFonts w:cstheme="minorHAnsi"/>
          <w:bCs/>
        </w:rPr>
        <w:t>a</w:t>
      </w:r>
      <w:r w:rsidR="00D075CE" w:rsidRPr="00AF0457">
        <w:rPr>
          <w:rFonts w:cstheme="minorHAnsi"/>
          <w:bCs/>
        </w:rPr>
        <w:t xml:space="preserve"> </w:t>
      </w:r>
      <w:r w:rsidR="00495966" w:rsidRPr="00AF0457">
        <w:rPr>
          <w:rFonts w:cstheme="minorHAnsi"/>
          <w:bCs/>
        </w:rPr>
        <w:t>one</w:t>
      </w:r>
      <w:r w:rsidR="00422DF0" w:rsidRPr="00AF0457">
        <w:rPr>
          <w:rFonts w:cstheme="minorHAnsi"/>
          <w:bCs/>
        </w:rPr>
        <w:t>-</w:t>
      </w:r>
      <w:r w:rsidR="00495966" w:rsidRPr="00AF0457">
        <w:rPr>
          <w:rFonts w:cstheme="minorHAnsi"/>
          <w:bCs/>
        </w:rPr>
        <w:t>unit increase</w:t>
      </w:r>
      <w:r w:rsidR="00854C69" w:rsidRPr="00AF0457">
        <w:rPr>
          <w:rFonts w:cstheme="minorHAnsi"/>
          <w:bCs/>
        </w:rPr>
        <w:t xml:space="preserve"> </w:t>
      </w:r>
      <w:r w:rsidR="00D075CE" w:rsidRPr="00AF0457">
        <w:rPr>
          <w:rFonts w:cstheme="minorHAnsi"/>
          <w:bCs/>
        </w:rPr>
        <w:t>in the</w:t>
      </w:r>
      <w:r w:rsidR="00422DF0" w:rsidRPr="00AF0457">
        <w:rPr>
          <w:rFonts w:cstheme="minorHAnsi"/>
          <w:bCs/>
        </w:rPr>
        <w:t xml:space="preserve"> ratio of</w:t>
      </w:r>
      <w:r w:rsidR="00D075CE" w:rsidRPr="00AF0457">
        <w:rPr>
          <w:rFonts w:cstheme="minorHAnsi"/>
          <w:bCs/>
        </w:rPr>
        <w:t xml:space="preserve"> </w:t>
      </w:r>
      <w:r w:rsidR="00F64E1A" w:rsidRPr="00AF0457">
        <w:rPr>
          <w:rFonts w:cstheme="minorHAnsi"/>
          <w:bCs/>
        </w:rPr>
        <w:t>TSH</w:t>
      </w:r>
      <w:r w:rsidR="00422DF0" w:rsidRPr="00AF0457">
        <w:rPr>
          <w:rFonts w:cstheme="minorHAnsi"/>
          <w:bCs/>
        </w:rPr>
        <w:t xml:space="preserve"> to </w:t>
      </w:r>
      <w:r w:rsidR="00357631" w:rsidRPr="00AF0457">
        <w:rPr>
          <w:rFonts w:cstheme="minorHAnsi"/>
          <w:bCs/>
        </w:rPr>
        <w:t>FT4</w:t>
      </w:r>
      <w:r w:rsidR="00422DF0" w:rsidRPr="00AF0457">
        <w:rPr>
          <w:rFonts w:cstheme="minorHAnsi"/>
          <w:bCs/>
        </w:rPr>
        <w:t xml:space="preserve"> </w:t>
      </w:r>
      <w:r w:rsidR="00F64E1A" w:rsidRPr="00AF0457">
        <w:rPr>
          <w:rFonts w:cstheme="minorHAnsi"/>
          <w:bCs/>
        </w:rPr>
        <w:t>(β=0.30 mmHg, 95% CI:</w:t>
      </w:r>
      <w:r w:rsidR="00F64E1A" w:rsidRPr="00AF0457">
        <w:rPr>
          <w:rFonts w:cstheme="minorHAnsi"/>
        </w:rPr>
        <w:t xml:space="preserve"> </w:t>
      </w:r>
      <w:r w:rsidR="00F64E1A" w:rsidRPr="00AF0457">
        <w:rPr>
          <w:rFonts w:cstheme="minorHAnsi"/>
          <w:bCs/>
        </w:rPr>
        <w:t xml:space="preserve">0.05,0.54) and </w:t>
      </w:r>
      <w:r w:rsidR="00D075CE" w:rsidRPr="00AF0457">
        <w:rPr>
          <w:rFonts w:cstheme="minorHAnsi"/>
          <w:bCs/>
        </w:rPr>
        <w:t xml:space="preserve">a </w:t>
      </w:r>
      <w:r w:rsidR="001F2CF1" w:rsidRPr="00AF0457">
        <w:rPr>
          <w:rFonts w:cstheme="minorHAnsi"/>
          <w:bCs/>
        </w:rPr>
        <w:t>1-</w:t>
      </w:r>
      <w:r w:rsidR="00D075CE" w:rsidRPr="00AF0457">
        <w:rPr>
          <w:rFonts w:cstheme="minorHAnsi"/>
          <w:bCs/>
        </w:rPr>
        <w:t xml:space="preserve">SD increase in </w:t>
      </w:r>
      <w:r w:rsidR="00F64E1A" w:rsidRPr="00AF0457">
        <w:rPr>
          <w:rFonts w:cstheme="minorHAnsi"/>
          <w:bCs/>
        </w:rPr>
        <w:t>TSH (β=2.87 mmHg, 95% CI:</w:t>
      </w:r>
      <w:r w:rsidR="00F64E1A" w:rsidRPr="00AF0457">
        <w:rPr>
          <w:rFonts w:cstheme="minorHAnsi"/>
        </w:rPr>
        <w:t xml:space="preserve"> </w:t>
      </w:r>
      <w:r w:rsidR="00F64E1A" w:rsidRPr="00AF0457">
        <w:rPr>
          <w:rFonts w:cstheme="minorHAnsi"/>
          <w:bCs/>
        </w:rPr>
        <w:t>0.06,5.69) w</w:t>
      </w:r>
      <w:r w:rsidR="002354FE" w:rsidRPr="00AF0457">
        <w:rPr>
          <w:rFonts w:cstheme="minorHAnsi"/>
          <w:bCs/>
        </w:rPr>
        <w:t>ere</w:t>
      </w:r>
      <w:r w:rsidR="00B71096" w:rsidRPr="00AF0457">
        <w:rPr>
          <w:rFonts w:cstheme="minorHAnsi"/>
          <w:bCs/>
        </w:rPr>
        <w:t xml:space="preserve"> also</w:t>
      </w:r>
      <w:r w:rsidR="00F64E1A" w:rsidRPr="00AF0457">
        <w:rPr>
          <w:rFonts w:cstheme="minorHAnsi"/>
          <w:bCs/>
        </w:rPr>
        <w:t xml:space="preserve"> </w:t>
      </w:r>
      <w:r w:rsidR="006554C4" w:rsidRPr="00AF0457">
        <w:rPr>
          <w:rFonts w:cstheme="minorHAnsi"/>
          <w:bCs/>
        </w:rPr>
        <w:t xml:space="preserve">positively </w:t>
      </w:r>
      <w:r w:rsidR="00F64E1A" w:rsidRPr="00AF0457">
        <w:rPr>
          <w:rFonts w:cstheme="minorHAnsi"/>
          <w:bCs/>
        </w:rPr>
        <w:t>associated with</w:t>
      </w:r>
      <w:r w:rsidR="00D748F4" w:rsidRPr="00AF0457">
        <w:rPr>
          <w:rFonts w:cstheme="minorHAnsi"/>
          <w:bCs/>
        </w:rPr>
        <w:t xml:space="preserve"> </w:t>
      </w:r>
      <w:r w:rsidR="004B1F43" w:rsidRPr="00AF0457">
        <w:rPr>
          <w:rFonts w:cstheme="minorHAnsi"/>
          <w:bCs/>
        </w:rPr>
        <w:t xml:space="preserve">change in </w:t>
      </w:r>
      <w:r w:rsidR="00F64E1A" w:rsidRPr="00AF0457">
        <w:rPr>
          <w:rFonts w:cstheme="minorHAnsi"/>
          <w:bCs/>
        </w:rPr>
        <w:t xml:space="preserve">DBP while </w:t>
      </w:r>
      <w:r w:rsidR="00D075CE" w:rsidRPr="00AF0457">
        <w:rPr>
          <w:rFonts w:cstheme="minorHAnsi"/>
          <w:bCs/>
        </w:rPr>
        <w:t xml:space="preserve">a </w:t>
      </w:r>
      <w:r w:rsidR="00D85EE3" w:rsidRPr="00AF0457">
        <w:rPr>
          <w:rFonts w:cstheme="minorHAnsi"/>
          <w:bCs/>
        </w:rPr>
        <w:t>1-</w:t>
      </w:r>
      <w:r w:rsidR="00D075CE" w:rsidRPr="00AF0457">
        <w:rPr>
          <w:rFonts w:cstheme="minorHAnsi"/>
          <w:bCs/>
        </w:rPr>
        <w:t xml:space="preserve">SD increase in </w:t>
      </w:r>
      <w:r w:rsidR="00F64E1A" w:rsidRPr="00AF0457">
        <w:rPr>
          <w:rFonts w:cstheme="minorHAnsi"/>
          <w:bCs/>
        </w:rPr>
        <w:t>T3 (β=1.30 mmHg, 95% CI:</w:t>
      </w:r>
      <w:r w:rsidR="00F64E1A" w:rsidRPr="00AF0457">
        <w:rPr>
          <w:rFonts w:cstheme="minorHAnsi"/>
        </w:rPr>
        <w:t xml:space="preserve"> </w:t>
      </w:r>
      <w:r w:rsidR="00F64E1A" w:rsidRPr="00AF0457">
        <w:rPr>
          <w:rFonts w:cstheme="minorHAnsi"/>
          <w:bCs/>
        </w:rPr>
        <w:t xml:space="preserve">0.28,2.32) was </w:t>
      </w:r>
      <w:r w:rsidR="0014136E" w:rsidRPr="00AF0457">
        <w:rPr>
          <w:rFonts w:cstheme="minorHAnsi"/>
          <w:bCs/>
        </w:rPr>
        <w:t>positively</w:t>
      </w:r>
      <w:r w:rsidR="000F6029" w:rsidRPr="00AF0457">
        <w:rPr>
          <w:rFonts w:cstheme="minorHAnsi"/>
          <w:bCs/>
        </w:rPr>
        <w:t xml:space="preserve"> </w:t>
      </w:r>
      <w:r w:rsidR="00F64E1A" w:rsidRPr="00AF0457">
        <w:rPr>
          <w:rFonts w:cstheme="minorHAnsi"/>
          <w:bCs/>
        </w:rPr>
        <w:t xml:space="preserve">associated with </w:t>
      </w:r>
      <w:r w:rsidR="00314D14" w:rsidRPr="00AF0457">
        <w:rPr>
          <w:rFonts w:cstheme="minorHAnsi"/>
          <w:bCs/>
        </w:rPr>
        <w:t xml:space="preserve">change in </w:t>
      </w:r>
      <w:r w:rsidR="00F64E1A" w:rsidRPr="00AF0457">
        <w:rPr>
          <w:rFonts w:cstheme="minorHAnsi"/>
          <w:bCs/>
        </w:rPr>
        <w:t>pulse pressure.</w:t>
      </w:r>
      <w:r w:rsidR="00443138" w:rsidRPr="00AF0457">
        <w:rPr>
          <w:rFonts w:cstheme="minorHAnsi"/>
          <w:bCs/>
        </w:rPr>
        <w:t xml:space="preserve"> </w:t>
      </w:r>
      <w:r w:rsidR="00AA3EEE" w:rsidRPr="00AF0457">
        <w:rPr>
          <w:rFonts w:cstheme="minorHAnsi"/>
          <w:bCs/>
        </w:rPr>
        <w:t>In addition, a</w:t>
      </w:r>
      <w:r w:rsidR="00D075CE" w:rsidRPr="00AF0457">
        <w:rPr>
          <w:rFonts w:cstheme="minorHAnsi"/>
          <w:bCs/>
        </w:rPr>
        <w:t xml:space="preserve"> </w:t>
      </w:r>
      <w:r w:rsidR="00BE56DB" w:rsidRPr="00AF0457">
        <w:rPr>
          <w:rFonts w:cstheme="minorHAnsi"/>
          <w:bCs/>
        </w:rPr>
        <w:t>1-</w:t>
      </w:r>
      <w:r w:rsidR="00D075CE" w:rsidRPr="00AF0457">
        <w:rPr>
          <w:rFonts w:cstheme="minorHAnsi"/>
          <w:bCs/>
        </w:rPr>
        <w:t xml:space="preserve">SD increase in </w:t>
      </w:r>
      <w:r w:rsidR="00704D91" w:rsidRPr="00AF0457">
        <w:rPr>
          <w:rFonts w:cstheme="minorHAnsi"/>
          <w:bCs/>
        </w:rPr>
        <w:t>TSH (IRR=1.42, 95% CI:</w:t>
      </w:r>
      <w:r w:rsidR="00704D91" w:rsidRPr="00AF0457">
        <w:rPr>
          <w:rFonts w:cstheme="minorHAnsi"/>
        </w:rPr>
        <w:t xml:space="preserve"> </w:t>
      </w:r>
      <w:r w:rsidR="00704D91" w:rsidRPr="00AF0457">
        <w:rPr>
          <w:rFonts w:cstheme="minorHAnsi"/>
          <w:bCs/>
        </w:rPr>
        <w:t>1.15, 1.75)</w:t>
      </w:r>
      <w:r w:rsidR="00C530C8" w:rsidRPr="00AF0457">
        <w:rPr>
          <w:rFonts w:cstheme="minorHAnsi"/>
          <w:bCs/>
        </w:rPr>
        <w:t xml:space="preserve">, </w:t>
      </w:r>
      <w:r w:rsidR="00704D91" w:rsidRPr="00AF0457">
        <w:rPr>
          <w:rFonts w:cstheme="minorHAnsi"/>
          <w:bCs/>
        </w:rPr>
        <w:t>T3 (IRR=1.17, 95% CI:</w:t>
      </w:r>
      <w:r w:rsidR="00704D91" w:rsidRPr="00AF0457">
        <w:rPr>
          <w:rFonts w:cstheme="minorHAnsi"/>
        </w:rPr>
        <w:t xml:space="preserve"> </w:t>
      </w:r>
      <w:r w:rsidR="00704D91" w:rsidRPr="00AF0457">
        <w:rPr>
          <w:rFonts w:cstheme="minorHAnsi"/>
          <w:bCs/>
        </w:rPr>
        <w:t>1.00, 1.37)</w:t>
      </w:r>
      <w:r w:rsidR="003D3A43" w:rsidRPr="00AF0457">
        <w:rPr>
          <w:rFonts w:cstheme="minorHAnsi"/>
          <w:bCs/>
        </w:rPr>
        <w:t>,</w:t>
      </w:r>
      <w:r w:rsidR="00704D91" w:rsidRPr="00AF0457">
        <w:rPr>
          <w:rFonts w:cstheme="minorHAnsi"/>
          <w:bCs/>
        </w:rPr>
        <w:t xml:space="preserve"> and</w:t>
      </w:r>
      <w:r w:rsidR="00D03F07" w:rsidRPr="00AF0457">
        <w:rPr>
          <w:rFonts w:cstheme="minorHAnsi"/>
          <w:bCs/>
        </w:rPr>
        <w:t xml:space="preserve"> in contrast </w:t>
      </w:r>
      <w:r w:rsidR="003D3A43" w:rsidRPr="00AF0457">
        <w:rPr>
          <w:rFonts w:cstheme="minorHAnsi"/>
          <w:bCs/>
        </w:rPr>
        <w:t xml:space="preserve">to </w:t>
      </w:r>
      <w:r w:rsidR="00D03F07" w:rsidRPr="00AF0457">
        <w:rPr>
          <w:rFonts w:cstheme="minorHAnsi"/>
          <w:bCs/>
        </w:rPr>
        <w:t>the findings in postmenopausal women,</w:t>
      </w:r>
      <w:r w:rsidR="00704D91" w:rsidRPr="00AF0457">
        <w:rPr>
          <w:rFonts w:cstheme="minorHAnsi"/>
          <w:bCs/>
        </w:rPr>
        <w:t xml:space="preserve"> </w:t>
      </w:r>
      <w:r w:rsidR="00D075CE" w:rsidRPr="00AF0457">
        <w:rPr>
          <w:rFonts w:cstheme="minorHAnsi"/>
          <w:bCs/>
        </w:rPr>
        <w:t>a one</w:t>
      </w:r>
      <w:r w:rsidR="004504FD" w:rsidRPr="00AF0457">
        <w:rPr>
          <w:rFonts w:cstheme="minorHAnsi"/>
          <w:bCs/>
        </w:rPr>
        <w:t>-</w:t>
      </w:r>
      <w:r w:rsidR="00D075CE" w:rsidRPr="00AF0457">
        <w:rPr>
          <w:rFonts w:cstheme="minorHAnsi"/>
          <w:bCs/>
        </w:rPr>
        <w:t>unit increase in the</w:t>
      </w:r>
      <w:r w:rsidR="004504FD" w:rsidRPr="00AF0457">
        <w:rPr>
          <w:rFonts w:cstheme="minorHAnsi"/>
          <w:bCs/>
        </w:rPr>
        <w:t xml:space="preserve"> ratio of</w:t>
      </w:r>
      <w:r w:rsidR="00D075CE" w:rsidRPr="00AF0457">
        <w:rPr>
          <w:rFonts w:cstheme="minorHAnsi"/>
          <w:bCs/>
        </w:rPr>
        <w:t xml:space="preserve"> </w:t>
      </w:r>
      <w:r w:rsidR="00704D91" w:rsidRPr="00AF0457">
        <w:rPr>
          <w:rFonts w:cstheme="minorHAnsi"/>
          <w:bCs/>
        </w:rPr>
        <w:t>TSH</w:t>
      </w:r>
      <w:r w:rsidR="004504FD" w:rsidRPr="00AF0457">
        <w:rPr>
          <w:rFonts w:cstheme="minorHAnsi"/>
          <w:bCs/>
        </w:rPr>
        <w:t xml:space="preserve"> to </w:t>
      </w:r>
      <w:r w:rsidR="00357631" w:rsidRPr="00AF0457">
        <w:rPr>
          <w:rFonts w:cstheme="minorHAnsi"/>
          <w:bCs/>
        </w:rPr>
        <w:t>FT4</w:t>
      </w:r>
      <w:r w:rsidR="00704D91" w:rsidRPr="00AF0457">
        <w:rPr>
          <w:rFonts w:cstheme="minorHAnsi"/>
          <w:bCs/>
        </w:rPr>
        <w:t xml:space="preserve"> (IRR=1.20, 95% CI:</w:t>
      </w:r>
      <w:r w:rsidR="00704D91" w:rsidRPr="00AF0457">
        <w:rPr>
          <w:rFonts w:cstheme="minorHAnsi"/>
        </w:rPr>
        <w:t xml:space="preserve"> </w:t>
      </w:r>
      <w:r w:rsidR="00704D91" w:rsidRPr="00AF0457">
        <w:rPr>
          <w:rFonts w:cstheme="minorHAnsi"/>
          <w:bCs/>
        </w:rPr>
        <w:t>1.07, 1.35)</w:t>
      </w:r>
      <w:r w:rsidR="00181BA1" w:rsidRPr="00AF0457">
        <w:rPr>
          <w:rFonts w:cstheme="minorHAnsi"/>
          <w:bCs/>
        </w:rPr>
        <w:t xml:space="preserve"> and TSH</w:t>
      </w:r>
      <w:r w:rsidR="004504FD" w:rsidRPr="00AF0457">
        <w:rPr>
          <w:rFonts w:cstheme="minorHAnsi"/>
          <w:bCs/>
        </w:rPr>
        <w:t xml:space="preserve"> to </w:t>
      </w:r>
      <w:r w:rsidR="00181BA1" w:rsidRPr="00AF0457">
        <w:rPr>
          <w:rFonts w:cstheme="minorHAnsi"/>
          <w:bCs/>
        </w:rPr>
        <w:t>T3 (IRR=1.20, 95% CI:</w:t>
      </w:r>
      <w:r w:rsidR="00181BA1" w:rsidRPr="00AF0457">
        <w:rPr>
          <w:rFonts w:cstheme="minorHAnsi"/>
        </w:rPr>
        <w:t xml:space="preserve"> </w:t>
      </w:r>
      <w:r w:rsidR="00181BA1" w:rsidRPr="00AF0457">
        <w:rPr>
          <w:rFonts w:cstheme="minorHAnsi"/>
          <w:bCs/>
        </w:rPr>
        <w:t xml:space="preserve">1.07, 1.35) </w:t>
      </w:r>
      <w:r w:rsidR="00704D91" w:rsidRPr="00AF0457">
        <w:rPr>
          <w:rFonts w:cstheme="minorHAnsi"/>
          <w:bCs/>
        </w:rPr>
        <w:t>w</w:t>
      </w:r>
      <w:r w:rsidR="00181BA1" w:rsidRPr="00AF0457">
        <w:rPr>
          <w:rFonts w:cstheme="minorHAnsi"/>
          <w:bCs/>
        </w:rPr>
        <w:t>ere</w:t>
      </w:r>
      <w:r w:rsidR="00704D91" w:rsidRPr="00AF0457">
        <w:rPr>
          <w:rFonts w:cstheme="minorHAnsi"/>
          <w:bCs/>
        </w:rPr>
        <w:t xml:space="preserve"> significantly associated with </w:t>
      </w:r>
      <w:r w:rsidR="00AA3EEE" w:rsidRPr="00AF0457">
        <w:rPr>
          <w:rFonts w:cstheme="minorHAnsi"/>
          <w:bCs/>
        </w:rPr>
        <w:t>developing</w:t>
      </w:r>
      <w:r w:rsidR="00704D91" w:rsidRPr="00AF0457">
        <w:rPr>
          <w:rFonts w:cstheme="minorHAnsi"/>
          <w:bCs/>
        </w:rPr>
        <w:t xml:space="preserve"> hypertension from</w:t>
      </w:r>
      <w:r w:rsidR="00AA3EEE" w:rsidRPr="00AF0457">
        <w:rPr>
          <w:rFonts w:cstheme="minorHAnsi"/>
          <w:bCs/>
        </w:rPr>
        <w:t xml:space="preserve"> </w:t>
      </w:r>
      <w:r w:rsidR="00704D91" w:rsidRPr="00AF0457">
        <w:rPr>
          <w:rFonts w:cstheme="minorHAnsi"/>
          <w:bCs/>
        </w:rPr>
        <w:t>prehypertensi</w:t>
      </w:r>
      <w:r w:rsidR="00AA3EEE" w:rsidRPr="00AF0457">
        <w:rPr>
          <w:rFonts w:cstheme="minorHAnsi"/>
          <w:bCs/>
        </w:rPr>
        <w:t xml:space="preserve">on </w:t>
      </w:r>
      <w:r w:rsidR="00704D91" w:rsidRPr="00AF0457">
        <w:rPr>
          <w:rFonts w:cstheme="minorHAnsi"/>
          <w:bCs/>
        </w:rPr>
        <w:t xml:space="preserve">(Table </w:t>
      </w:r>
      <w:r w:rsidR="00AA3EEE" w:rsidRPr="00AF0457">
        <w:rPr>
          <w:rFonts w:cstheme="minorHAnsi"/>
          <w:bCs/>
        </w:rPr>
        <w:t>4</w:t>
      </w:r>
      <w:r w:rsidR="00704D91" w:rsidRPr="00AF0457">
        <w:rPr>
          <w:rFonts w:cstheme="minorHAnsi"/>
          <w:bCs/>
        </w:rPr>
        <w:t>).</w:t>
      </w:r>
      <w:r w:rsidR="005E56A3" w:rsidRPr="00AF0457">
        <w:rPr>
          <w:rFonts w:cstheme="minorHAnsi"/>
          <w:bCs/>
        </w:rPr>
        <w:t xml:space="preserve"> PTFQI, TSHI and TT4RI were also significantly associated with developing</w:t>
      </w:r>
      <w:r w:rsidR="00532F31" w:rsidRPr="00AF0457">
        <w:rPr>
          <w:rFonts w:cstheme="minorHAnsi"/>
          <w:bCs/>
        </w:rPr>
        <w:t xml:space="preserve"> hypertension from</w:t>
      </w:r>
      <w:r w:rsidR="005E56A3" w:rsidRPr="00AF0457">
        <w:rPr>
          <w:rFonts w:cstheme="minorHAnsi"/>
          <w:bCs/>
        </w:rPr>
        <w:t xml:space="preserve"> prehypertension</w:t>
      </w:r>
      <w:r w:rsidR="00244D47" w:rsidRPr="00AF0457">
        <w:rPr>
          <w:rFonts w:cstheme="minorHAnsi"/>
          <w:bCs/>
        </w:rPr>
        <w:t xml:space="preserve"> (Table 4)</w:t>
      </w:r>
      <w:r w:rsidR="004114F6" w:rsidRPr="00AF0457">
        <w:rPr>
          <w:rFonts w:cstheme="minorHAnsi"/>
          <w:bCs/>
        </w:rPr>
        <w:t>.</w:t>
      </w:r>
      <w:r w:rsidR="00FD7821">
        <w:rPr>
          <w:rFonts w:cstheme="minorHAnsi"/>
          <w:bCs/>
        </w:rPr>
        <w:t xml:space="preserve"> In quartile models, T3 demonstrated non-linear associations with change in pulse pressure</w:t>
      </w:r>
      <w:r w:rsidR="001517E2">
        <w:rPr>
          <w:rFonts w:cstheme="minorHAnsi"/>
          <w:bCs/>
        </w:rPr>
        <w:t xml:space="preserve"> </w:t>
      </w:r>
      <w:r w:rsidR="001517E2">
        <w:rPr>
          <w:rFonts w:cstheme="minorHAnsi"/>
        </w:rPr>
        <w:t>(p for trend=</w:t>
      </w:r>
      <w:r w:rsidR="00300ACE" w:rsidRPr="00300ACE">
        <w:t>0.005</w:t>
      </w:r>
      <w:r w:rsidR="001517E2">
        <w:t>)</w:t>
      </w:r>
      <w:r w:rsidR="00D053FD">
        <w:rPr>
          <w:rFonts w:cstheme="minorHAnsi"/>
          <w:bCs/>
        </w:rPr>
        <w:t xml:space="preserve"> and the development of hypertension from prehypertension</w:t>
      </w:r>
      <w:r w:rsidR="00FD7821">
        <w:rPr>
          <w:rFonts w:cstheme="minorHAnsi"/>
          <w:bCs/>
        </w:rPr>
        <w:t xml:space="preserve"> </w:t>
      </w:r>
      <w:r w:rsidR="001517E2">
        <w:rPr>
          <w:rFonts w:cstheme="minorHAnsi"/>
        </w:rPr>
        <w:t>(p for trend=</w:t>
      </w:r>
      <w:r w:rsidR="00DC7764" w:rsidRPr="00DC7764">
        <w:t>0.007</w:t>
      </w:r>
      <w:r w:rsidR="00DC7764">
        <w:t>), respectively (</w:t>
      </w:r>
      <w:r w:rsidR="00BF38D2">
        <w:t>Figure 1 and</w:t>
      </w:r>
      <w:r w:rsidR="00BF38D2">
        <w:rPr>
          <w:rFonts w:cstheme="minorHAnsi"/>
          <w:bCs/>
        </w:rPr>
        <w:t xml:space="preserve"> </w:t>
      </w:r>
      <w:r w:rsidR="00FD7821">
        <w:rPr>
          <w:rFonts w:cstheme="minorHAnsi"/>
          <w:bCs/>
        </w:rPr>
        <w:t>Table</w:t>
      </w:r>
      <w:r w:rsidR="00D053FD">
        <w:rPr>
          <w:rFonts w:cstheme="minorHAnsi"/>
          <w:bCs/>
        </w:rPr>
        <w:t>s</w:t>
      </w:r>
      <w:r w:rsidR="00FD7821">
        <w:rPr>
          <w:rFonts w:cstheme="minorHAnsi"/>
          <w:bCs/>
        </w:rPr>
        <w:t xml:space="preserve"> S3</w:t>
      </w:r>
      <w:r w:rsidR="00D053FD">
        <w:rPr>
          <w:rFonts w:cstheme="minorHAnsi"/>
          <w:bCs/>
        </w:rPr>
        <w:t xml:space="preserve"> and S5</w:t>
      </w:r>
      <w:r w:rsidR="00FD7821">
        <w:rPr>
          <w:rFonts w:cstheme="minorHAnsi"/>
          <w:bCs/>
        </w:rPr>
        <w:t>).</w:t>
      </w:r>
      <w:r w:rsidR="003A2B57" w:rsidRPr="00A85A6E">
        <w:rPr>
          <w:rFonts w:cstheme="minorHAnsi"/>
          <w:vertAlign w:val="superscript"/>
        </w:rPr>
        <w:fldChar w:fldCharType="begin"/>
      </w:r>
      <w:r w:rsidR="003A2B57" w:rsidRPr="00A85A6E">
        <w:rPr>
          <w:rFonts w:cstheme="minorHAnsi"/>
          <w:vertAlign w:val="superscript"/>
        </w:rPr>
        <w:instrText xml:space="preserve"> NOTEREF _Ref147074474 \h </w:instrText>
      </w:r>
      <w:r w:rsidR="003A2B57">
        <w:rPr>
          <w:rFonts w:cstheme="minorHAnsi"/>
          <w:vertAlign w:val="superscript"/>
        </w:rPr>
        <w:instrText xml:space="preserve"> \* MERGEFORMAT </w:instrText>
      </w:r>
      <w:r w:rsidR="003A2B57" w:rsidRPr="00A85A6E">
        <w:rPr>
          <w:rFonts w:cstheme="minorHAnsi"/>
          <w:vertAlign w:val="superscript"/>
        </w:rPr>
      </w:r>
      <w:r w:rsidR="003A2B57" w:rsidRPr="00A85A6E">
        <w:rPr>
          <w:rFonts w:cstheme="minorHAnsi"/>
          <w:vertAlign w:val="superscript"/>
        </w:rPr>
        <w:fldChar w:fldCharType="separate"/>
      </w:r>
      <w:r w:rsidR="000F6C53">
        <w:rPr>
          <w:rFonts w:cstheme="minorHAnsi"/>
          <w:vertAlign w:val="superscript"/>
        </w:rPr>
        <w:t>54</w:t>
      </w:r>
      <w:r w:rsidR="003A2B57" w:rsidRPr="00A85A6E">
        <w:rPr>
          <w:rFonts w:cstheme="minorHAnsi"/>
          <w:vertAlign w:val="superscript"/>
        </w:rPr>
        <w:fldChar w:fldCharType="end"/>
      </w:r>
    </w:p>
    <w:p w14:paraId="3E9719F9" w14:textId="5005756F" w:rsidR="002A52FB" w:rsidRPr="00AF0457" w:rsidRDefault="002A52FB" w:rsidP="00CC21FA">
      <w:pPr>
        <w:spacing w:before="240" w:after="40" w:line="480" w:lineRule="auto"/>
        <w:rPr>
          <w:rFonts w:cstheme="minorHAnsi"/>
          <w:b/>
        </w:rPr>
      </w:pPr>
      <w:r w:rsidRPr="00AF0457">
        <w:rPr>
          <w:rFonts w:cstheme="minorHAnsi"/>
          <w:b/>
        </w:rPr>
        <w:t>Euthyroid analyses</w:t>
      </w:r>
    </w:p>
    <w:p w14:paraId="0EC16BEE" w14:textId="4E6750F4" w:rsidR="003D3A43" w:rsidRPr="00451981" w:rsidRDefault="00A565DF" w:rsidP="00CC21FA">
      <w:pPr>
        <w:spacing w:after="40" w:line="480" w:lineRule="auto"/>
        <w:ind w:right="58"/>
        <w:rPr>
          <w:rFonts w:cstheme="minorHAnsi"/>
        </w:rPr>
      </w:pPr>
      <w:r w:rsidRPr="00ED3148">
        <w:rPr>
          <w:rFonts w:cstheme="minorHAnsi"/>
        </w:rPr>
        <w:t>In both linear</w:t>
      </w:r>
      <w:r w:rsidR="002D5C49">
        <w:rPr>
          <w:rFonts w:cstheme="minorHAnsi"/>
        </w:rPr>
        <w:t xml:space="preserve"> (Table S6)</w:t>
      </w:r>
      <w:r w:rsidR="003A2B57" w:rsidRPr="00A85A6E">
        <w:rPr>
          <w:rFonts w:cstheme="minorHAnsi"/>
          <w:vertAlign w:val="superscript"/>
        </w:rPr>
        <w:fldChar w:fldCharType="begin"/>
      </w:r>
      <w:r w:rsidR="003A2B57" w:rsidRPr="00A85A6E">
        <w:rPr>
          <w:rFonts w:cstheme="minorHAnsi"/>
          <w:vertAlign w:val="superscript"/>
        </w:rPr>
        <w:instrText xml:space="preserve"> NOTEREF _Ref147074474 \h </w:instrText>
      </w:r>
      <w:r w:rsidR="003A2B57">
        <w:rPr>
          <w:rFonts w:cstheme="minorHAnsi"/>
          <w:vertAlign w:val="superscript"/>
        </w:rPr>
        <w:instrText xml:space="preserve"> \* MERGEFORMAT </w:instrText>
      </w:r>
      <w:r w:rsidR="003A2B57" w:rsidRPr="00A85A6E">
        <w:rPr>
          <w:rFonts w:cstheme="minorHAnsi"/>
          <w:vertAlign w:val="superscript"/>
        </w:rPr>
      </w:r>
      <w:r w:rsidR="003A2B57" w:rsidRPr="00A85A6E">
        <w:rPr>
          <w:rFonts w:cstheme="minorHAnsi"/>
          <w:vertAlign w:val="superscript"/>
        </w:rPr>
        <w:fldChar w:fldCharType="separate"/>
      </w:r>
      <w:r w:rsidR="000F6C53">
        <w:rPr>
          <w:rFonts w:cstheme="minorHAnsi"/>
          <w:vertAlign w:val="superscript"/>
        </w:rPr>
        <w:t>54</w:t>
      </w:r>
      <w:r w:rsidR="003A2B57" w:rsidRPr="00A85A6E">
        <w:rPr>
          <w:rFonts w:cstheme="minorHAnsi"/>
          <w:vertAlign w:val="superscript"/>
        </w:rPr>
        <w:fldChar w:fldCharType="end"/>
      </w:r>
      <w:r w:rsidRPr="00ED3148">
        <w:rPr>
          <w:rFonts w:cstheme="minorHAnsi"/>
        </w:rPr>
        <w:t xml:space="preserve"> and quartile models</w:t>
      </w:r>
      <w:r w:rsidR="002D5C49">
        <w:rPr>
          <w:rFonts w:cstheme="minorHAnsi"/>
        </w:rPr>
        <w:t xml:space="preserve"> </w:t>
      </w:r>
      <w:r w:rsidR="002D5C49" w:rsidRPr="00374009">
        <w:rPr>
          <w:rFonts w:cstheme="minorHAnsi"/>
        </w:rPr>
        <w:t>(p for trend=</w:t>
      </w:r>
      <w:r w:rsidR="002D5C49" w:rsidRPr="00374009">
        <w:t>0.014</w:t>
      </w:r>
      <w:r w:rsidR="002D5C49">
        <w:t>;</w:t>
      </w:r>
      <w:r w:rsidR="002D5C49" w:rsidRPr="00374009">
        <w:t xml:space="preserve"> </w:t>
      </w:r>
      <w:r w:rsidR="002D5C49" w:rsidRPr="00374009">
        <w:rPr>
          <w:rFonts w:cstheme="minorHAnsi"/>
        </w:rPr>
        <w:t>Table S7)</w:t>
      </w:r>
      <w:r w:rsidRPr="00ED3148">
        <w:rPr>
          <w:rFonts w:cstheme="minorHAnsi"/>
        </w:rPr>
        <w:t>,</w:t>
      </w:r>
      <w:r w:rsidR="003A2B57" w:rsidRPr="00A85A6E">
        <w:rPr>
          <w:rFonts w:cstheme="minorHAnsi"/>
          <w:vertAlign w:val="superscript"/>
        </w:rPr>
        <w:fldChar w:fldCharType="begin"/>
      </w:r>
      <w:r w:rsidR="003A2B57" w:rsidRPr="00A85A6E">
        <w:rPr>
          <w:rFonts w:cstheme="minorHAnsi"/>
          <w:vertAlign w:val="superscript"/>
        </w:rPr>
        <w:instrText xml:space="preserve"> NOTEREF _Ref147074474 \h </w:instrText>
      </w:r>
      <w:r w:rsidR="003A2B57">
        <w:rPr>
          <w:rFonts w:cstheme="minorHAnsi"/>
          <w:vertAlign w:val="superscript"/>
        </w:rPr>
        <w:instrText xml:space="preserve"> \* MERGEFORMAT </w:instrText>
      </w:r>
      <w:r w:rsidR="003A2B57" w:rsidRPr="00A85A6E">
        <w:rPr>
          <w:rFonts w:cstheme="minorHAnsi"/>
          <w:vertAlign w:val="superscript"/>
        </w:rPr>
      </w:r>
      <w:r w:rsidR="003A2B57" w:rsidRPr="00A85A6E">
        <w:rPr>
          <w:rFonts w:cstheme="minorHAnsi"/>
          <w:vertAlign w:val="superscript"/>
        </w:rPr>
        <w:fldChar w:fldCharType="separate"/>
      </w:r>
      <w:r w:rsidR="000F6C53">
        <w:rPr>
          <w:rFonts w:cstheme="minorHAnsi"/>
          <w:vertAlign w:val="superscript"/>
        </w:rPr>
        <w:t>54</w:t>
      </w:r>
      <w:r w:rsidR="003A2B57" w:rsidRPr="00A85A6E">
        <w:rPr>
          <w:rFonts w:cstheme="minorHAnsi"/>
          <w:vertAlign w:val="superscript"/>
        </w:rPr>
        <w:fldChar w:fldCharType="end"/>
      </w:r>
      <w:r w:rsidRPr="00ED3148">
        <w:rPr>
          <w:rFonts w:cstheme="minorHAnsi"/>
        </w:rPr>
        <w:t xml:space="preserve"> T3 demonstrated significant associations with change in pulse pressure in </w:t>
      </w:r>
      <w:r>
        <w:rPr>
          <w:rFonts w:cstheme="minorHAnsi"/>
        </w:rPr>
        <w:t xml:space="preserve">euthyroid </w:t>
      </w:r>
      <w:r w:rsidRPr="00ED3148">
        <w:rPr>
          <w:rFonts w:cstheme="minorHAnsi"/>
        </w:rPr>
        <w:t>men.</w:t>
      </w:r>
      <w:r w:rsidRPr="00A565DF">
        <w:rPr>
          <w:rFonts w:cstheme="minorHAnsi"/>
        </w:rPr>
        <w:t xml:space="preserve"> </w:t>
      </w:r>
      <w:r w:rsidR="002D5C49">
        <w:rPr>
          <w:rFonts w:cstheme="minorHAnsi"/>
          <w:bCs/>
        </w:rPr>
        <w:t>A</w:t>
      </w:r>
      <w:r w:rsidR="00274BAE" w:rsidRPr="00AF0457">
        <w:rPr>
          <w:rFonts w:cstheme="minorHAnsi"/>
          <w:bCs/>
        </w:rPr>
        <w:t xml:space="preserve"> </w:t>
      </w:r>
      <w:r w:rsidR="00064C6D" w:rsidRPr="00AF0457">
        <w:rPr>
          <w:rFonts w:cstheme="minorHAnsi"/>
          <w:bCs/>
        </w:rPr>
        <w:t>1-</w:t>
      </w:r>
      <w:r w:rsidR="00274BAE" w:rsidRPr="00AF0457">
        <w:rPr>
          <w:rFonts w:cstheme="minorHAnsi"/>
          <w:bCs/>
        </w:rPr>
        <w:t>SD increase in</w:t>
      </w:r>
      <w:r w:rsidR="00165360" w:rsidRPr="00AF0457">
        <w:rPr>
          <w:rFonts w:cstheme="minorHAnsi"/>
          <w:bCs/>
        </w:rPr>
        <w:t xml:space="preserve"> T3 was associated with </w:t>
      </w:r>
      <w:r w:rsidR="00EB7001" w:rsidRPr="00AF0457">
        <w:rPr>
          <w:rFonts w:cstheme="minorHAnsi"/>
          <w:bCs/>
        </w:rPr>
        <w:t xml:space="preserve">change in </w:t>
      </w:r>
      <w:r w:rsidR="00165360" w:rsidRPr="00AF0457">
        <w:rPr>
          <w:rFonts w:cstheme="minorHAnsi"/>
          <w:bCs/>
        </w:rPr>
        <w:t>pulse pressure</w:t>
      </w:r>
      <w:r w:rsidR="002D5C49">
        <w:rPr>
          <w:rFonts w:cstheme="minorHAnsi"/>
          <w:bCs/>
        </w:rPr>
        <w:t xml:space="preserve"> in euthyroid men</w:t>
      </w:r>
      <w:r w:rsidR="00165360" w:rsidRPr="00AF0457">
        <w:rPr>
          <w:rFonts w:cstheme="minorHAnsi"/>
          <w:bCs/>
        </w:rPr>
        <w:t xml:space="preserve"> (β=1.32 mmHg, 95% CI:</w:t>
      </w:r>
      <w:r w:rsidR="00165360" w:rsidRPr="00AF0457">
        <w:rPr>
          <w:rFonts w:cstheme="minorHAnsi"/>
        </w:rPr>
        <w:t xml:space="preserve"> </w:t>
      </w:r>
      <w:r w:rsidR="00165360" w:rsidRPr="00AF0457">
        <w:rPr>
          <w:rFonts w:cstheme="minorHAnsi"/>
          <w:bCs/>
        </w:rPr>
        <w:t>0.04,2.60</w:t>
      </w:r>
      <w:r w:rsidR="00EF70AA" w:rsidRPr="00AF0457">
        <w:rPr>
          <w:rFonts w:cstheme="minorHAnsi"/>
          <w:bCs/>
        </w:rPr>
        <w:t>; Table S</w:t>
      </w:r>
      <w:r w:rsidR="003449BC">
        <w:rPr>
          <w:rFonts w:cstheme="minorHAnsi"/>
          <w:bCs/>
        </w:rPr>
        <w:t>6</w:t>
      </w:r>
      <w:r w:rsidR="00165360" w:rsidRPr="00AF0457">
        <w:rPr>
          <w:rFonts w:cstheme="minorHAnsi"/>
          <w:bCs/>
        </w:rPr>
        <w:t>)</w:t>
      </w:r>
      <w:r w:rsidR="003D3A43" w:rsidRPr="00AF0457">
        <w:rPr>
          <w:rFonts w:cstheme="minorHAnsi"/>
          <w:bCs/>
        </w:rPr>
        <w:t>,</w:t>
      </w:r>
      <w:r w:rsidR="00851654" w:rsidRPr="00A85A6E">
        <w:rPr>
          <w:rFonts w:cstheme="minorHAnsi"/>
          <w:vertAlign w:val="superscript"/>
        </w:rPr>
        <w:fldChar w:fldCharType="begin"/>
      </w:r>
      <w:r w:rsidR="00851654" w:rsidRPr="00A85A6E">
        <w:rPr>
          <w:rFonts w:cstheme="minorHAnsi"/>
          <w:vertAlign w:val="superscript"/>
        </w:rPr>
        <w:instrText xml:space="preserve"> NOTEREF _Ref147074474 \h </w:instrText>
      </w:r>
      <w:r w:rsidR="00851654">
        <w:rPr>
          <w:rFonts w:cstheme="minorHAnsi"/>
          <w:vertAlign w:val="superscript"/>
        </w:rPr>
        <w:instrText xml:space="preserve"> \* MERGEFORMAT </w:instrText>
      </w:r>
      <w:r w:rsidR="00851654" w:rsidRPr="00A85A6E">
        <w:rPr>
          <w:rFonts w:cstheme="minorHAnsi"/>
          <w:vertAlign w:val="superscript"/>
        </w:rPr>
      </w:r>
      <w:r w:rsidR="00851654" w:rsidRPr="00A85A6E">
        <w:rPr>
          <w:rFonts w:cstheme="minorHAnsi"/>
          <w:vertAlign w:val="superscript"/>
        </w:rPr>
        <w:fldChar w:fldCharType="separate"/>
      </w:r>
      <w:r w:rsidR="000F6C53">
        <w:rPr>
          <w:rFonts w:cstheme="minorHAnsi"/>
          <w:vertAlign w:val="superscript"/>
        </w:rPr>
        <w:t>54</w:t>
      </w:r>
      <w:r w:rsidR="00851654" w:rsidRPr="00A85A6E">
        <w:rPr>
          <w:rFonts w:cstheme="minorHAnsi"/>
          <w:vertAlign w:val="superscript"/>
        </w:rPr>
        <w:fldChar w:fldCharType="end"/>
      </w:r>
      <w:r w:rsidR="00EF70AA" w:rsidRPr="00AF0457">
        <w:rPr>
          <w:rFonts w:cstheme="minorHAnsi"/>
          <w:bCs/>
        </w:rPr>
        <w:t xml:space="preserve"> </w:t>
      </w:r>
      <w:r w:rsidR="00165360" w:rsidRPr="00AF0457">
        <w:rPr>
          <w:rFonts w:cstheme="minorHAnsi"/>
          <w:bCs/>
        </w:rPr>
        <w:t>while in euthyroid</w:t>
      </w:r>
      <w:r w:rsidR="00E50F23" w:rsidRPr="00AF0457">
        <w:rPr>
          <w:rFonts w:cstheme="minorHAnsi"/>
          <w:bCs/>
        </w:rPr>
        <w:t xml:space="preserve"> postmenopausal women,</w:t>
      </w:r>
      <w:r w:rsidR="00F55506" w:rsidRPr="00AF0457">
        <w:rPr>
          <w:rFonts w:cstheme="minorHAnsi"/>
          <w:bCs/>
        </w:rPr>
        <w:t xml:space="preserve"> a </w:t>
      </w:r>
      <w:r w:rsidR="00064C6D" w:rsidRPr="00AF0457">
        <w:rPr>
          <w:rFonts w:cstheme="minorHAnsi"/>
          <w:bCs/>
        </w:rPr>
        <w:t>1-</w:t>
      </w:r>
      <w:r w:rsidR="00F55506" w:rsidRPr="00AF0457">
        <w:rPr>
          <w:rFonts w:cstheme="minorHAnsi"/>
          <w:bCs/>
        </w:rPr>
        <w:t>SD increase in</w:t>
      </w:r>
      <w:r w:rsidR="00E50F23" w:rsidRPr="00AF0457">
        <w:rPr>
          <w:rFonts w:cstheme="minorHAnsi"/>
          <w:bCs/>
        </w:rPr>
        <w:t xml:space="preserve"> T3 was associated with</w:t>
      </w:r>
      <w:r w:rsidR="00D77BBD" w:rsidRPr="00AF0457">
        <w:rPr>
          <w:rFonts w:cstheme="minorHAnsi"/>
          <w:bCs/>
        </w:rPr>
        <w:t xml:space="preserve"> </w:t>
      </w:r>
      <w:r w:rsidR="008E5471" w:rsidRPr="00AF0457">
        <w:rPr>
          <w:rFonts w:cstheme="minorHAnsi"/>
          <w:bCs/>
        </w:rPr>
        <w:t xml:space="preserve">change in </w:t>
      </w:r>
      <w:r w:rsidR="00E50F23" w:rsidRPr="00AF0457">
        <w:rPr>
          <w:rFonts w:cstheme="minorHAnsi"/>
          <w:bCs/>
        </w:rPr>
        <w:t>SBP</w:t>
      </w:r>
      <w:r w:rsidR="001D29A8" w:rsidRPr="00AF0457">
        <w:rPr>
          <w:rFonts w:cstheme="minorHAnsi"/>
          <w:bCs/>
        </w:rPr>
        <w:t xml:space="preserve"> </w:t>
      </w:r>
      <w:r w:rsidR="00B327E0" w:rsidRPr="00AF0457">
        <w:rPr>
          <w:rFonts w:cstheme="minorHAnsi"/>
          <w:bCs/>
        </w:rPr>
        <w:t>(β=3</w:t>
      </w:r>
      <w:r w:rsidR="00306F95" w:rsidRPr="00AF0457">
        <w:rPr>
          <w:rFonts w:cstheme="minorHAnsi"/>
          <w:bCs/>
        </w:rPr>
        <w:t>.33</w:t>
      </w:r>
      <w:r w:rsidR="00FA7F01" w:rsidRPr="00AF0457">
        <w:rPr>
          <w:rFonts w:cstheme="minorHAnsi"/>
          <w:bCs/>
        </w:rPr>
        <w:t xml:space="preserve"> </w:t>
      </w:r>
      <w:r w:rsidR="00B327E0" w:rsidRPr="00AF0457">
        <w:rPr>
          <w:rFonts w:cstheme="minorHAnsi"/>
          <w:bCs/>
        </w:rPr>
        <w:t>mmHg, 95% CI:</w:t>
      </w:r>
      <w:r w:rsidR="00B327E0" w:rsidRPr="00AF0457">
        <w:rPr>
          <w:rFonts w:cstheme="minorHAnsi"/>
        </w:rPr>
        <w:t xml:space="preserve"> </w:t>
      </w:r>
      <w:r w:rsidR="00306F95" w:rsidRPr="00AF0457">
        <w:rPr>
          <w:rFonts w:cstheme="minorHAnsi"/>
          <w:bCs/>
        </w:rPr>
        <w:lastRenderedPageBreak/>
        <w:t>1.29</w:t>
      </w:r>
      <w:r w:rsidR="00B327E0" w:rsidRPr="00AF0457">
        <w:rPr>
          <w:rFonts w:cstheme="minorHAnsi"/>
          <w:bCs/>
        </w:rPr>
        <w:t>,</w:t>
      </w:r>
      <w:r w:rsidR="00306F95" w:rsidRPr="00AF0457">
        <w:rPr>
          <w:rFonts w:cstheme="minorHAnsi"/>
          <w:bCs/>
        </w:rPr>
        <w:t>5.36</w:t>
      </w:r>
      <w:r w:rsidR="00B327E0" w:rsidRPr="00AF0457">
        <w:rPr>
          <w:rFonts w:cstheme="minorHAnsi"/>
          <w:bCs/>
        </w:rPr>
        <w:t>)</w:t>
      </w:r>
      <w:r w:rsidR="00E50F23" w:rsidRPr="00AF0457">
        <w:rPr>
          <w:rFonts w:cstheme="minorHAnsi"/>
          <w:bCs/>
        </w:rPr>
        <w:t xml:space="preserve">, </w:t>
      </w:r>
      <w:r w:rsidR="00550DDA" w:rsidRPr="00AF0457">
        <w:rPr>
          <w:rFonts w:cstheme="minorHAnsi"/>
          <w:bCs/>
        </w:rPr>
        <w:t xml:space="preserve">change in </w:t>
      </w:r>
      <w:r w:rsidR="00E50F23" w:rsidRPr="00AF0457">
        <w:rPr>
          <w:rFonts w:cstheme="minorHAnsi"/>
          <w:bCs/>
        </w:rPr>
        <w:t>DBP</w:t>
      </w:r>
      <w:r w:rsidR="00B327E0" w:rsidRPr="00AF0457">
        <w:rPr>
          <w:rFonts w:cstheme="minorHAnsi"/>
          <w:bCs/>
        </w:rPr>
        <w:t xml:space="preserve"> (β=1.3</w:t>
      </w:r>
      <w:r w:rsidR="00982AC4" w:rsidRPr="00AF0457">
        <w:rPr>
          <w:rFonts w:cstheme="minorHAnsi"/>
          <w:bCs/>
        </w:rPr>
        <w:t>8</w:t>
      </w:r>
      <w:r w:rsidR="00B327E0" w:rsidRPr="00AF0457">
        <w:rPr>
          <w:rFonts w:cstheme="minorHAnsi"/>
          <w:bCs/>
        </w:rPr>
        <w:t xml:space="preserve"> mmHg, 95% CI:</w:t>
      </w:r>
      <w:r w:rsidR="00B327E0" w:rsidRPr="00AF0457">
        <w:rPr>
          <w:rFonts w:cstheme="minorHAnsi"/>
        </w:rPr>
        <w:t xml:space="preserve"> </w:t>
      </w:r>
      <w:r w:rsidR="00B327E0" w:rsidRPr="00AF0457">
        <w:rPr>
          <w:rFonts w:cstheme="minorHAnsi"/>
          <w:bCs/>
        </w:rPr>
        <w:t>0.</w:t>
      </w:r>
      <w:r w:rsidR="00982AC4" w:rsidRPr="00AF0457">
        <w:rPr>
          <w:rFonts w:cstheme="minorHAnsi"/>
          <w:bCs/>
        </w:rPr>
        <w:t>23</w:t>
      </w:r>
      <w:r w:rsidR="00B327E0" w:rsidRPr="00AF0457">
        <w:rPr>
          <w:rFonts w:cstheme="minorHAnsi"/>
          <w:bCs/>
        </w:rPr>
        <w:t>,2.</w:t>
      </w:r>
      <w:r w:rsidR="00982AC4" w:rsidRPr="00AF0457">
        <w:rPr>
          <w:rFonts w:cstheme="minorHAnsi"/>
          <w:bCs/>
        </w:rPr>
        <w:t>54</w:t>
      </w:r>
      <w:r w:rsidR="00B327E0" w:rsidRPr="00AF0457">
        <w:rPr>
          <w:rFonts w:cstheme="minorHAnsi"/>
          <w:bCs/>
        </w:rPr>
        <w:t>)</w:t>
      </w:r>
      <w:r w:rsidR="00EF70AA" w:rsidRPr="00AF0457">
        <w:rPr>
          <w:rFonts w:cstheme="minorHAnsi"/>
          <w:bCs/>
        </w:rPr>
        <w:t>,</w:t>
      </w:r>
      <w:r w:rsidR="00E50F23" w:rsidRPr="00AF0457">
        <w:rPr>
          <w:rFonts w:cstheme="minorHAnsi"/>
          <w:bCs/>
        </w:rPr>
        <w:t xml:space="preserve"> </w:t>
      </w:r>
      <w:r w:rsidR="00550DDA" w:rsidRPr="00AF0457">
        <w:rPr>
          <w:rFonts w:cstheme="minorHAnsi"/>
          <w:bCs/>
        </w:rPr>
        <w:t xml:space="preserve">change in </w:t>
      </w:r>
      <w:r w:rsidR="00E50F23" w:rsidRPr="00AF0457">
        <w:rPr>
          <w:rFonts w:cstheme="minorHAnsi"/>
          <w:bCs/>
        </w:rPr>
        <w:t>pulse pressure</w:t>
      </w:r>
      <w:r w:rsidR="00026EB0" w:rsidRPr="00AF0457">
        <w:rPr>
          <w:rFonts w:cstheme="minorHAnsi"/>
          <w:bCs/>
        </w:rPr>
        <w:t xml:space="preserve"> </w:t>
      </w:r>
      <w:r w:rsidR="00B327E0" w:rsidRPr="00AF0457">
        <w:rPr>
          <w:rFonts w:cstheme="minorHAnsi"/>
          <w:bCs/>
        </w:rPr>
        <w:t>(β=2</w:t>
      </w:r>
      <w:r w:rsidR="00982AC4" w:rsidRPr="00AF0457">
        <w:rPr>
          <w:rFonts w:cstheme="minorHAnsi"/>
          <w:bCs/>
        </w:rPr>
        <w:t>.03</w:t>
      </w:r>
      <w:r w:rsidR="00B327E0" w:rsidRPr="00AF0457">
        <w:rPr>
          <w:rFonts w:cstheme="minorHAnsi"/>
          <w:bCs/>
        </w:rPr>
        <w:t xml:space="preserve"> mmHg, 95% CI:</w:t>
      </w:r>
      <w:r w:rsidR="00B327E0" w:rsidRPr="00AF0457">
        <w:rPr>
          <w:rFonts w:cstheme="minorHAnsi"/>
        </w:rPr>
        <w:t xml:space="preserve"> </w:t>
      </w:r>
      <w:r w:rsidR="00B327E0" w:rsidRPr="00AF0457">
        <w:rPr>
          <w:rFonts w:cstheme="minorHAnsi"/>
          <w:bCs/>
        </w:rPr>
        <w:t>0.</w:t>
      </w:r>
      <w:r w:rsidR="00982AC4" w:rsidRPr="00AF0457">
        <w:rPr>
          <w:rFonts w:cstheme="minorHAnsi"/>
          <w:bCs/>
        </w:rPr>
        <w:t>58</w:t>
      </w:r>
      <w:r w:rsidR="00B327E0" w:rsidRPr="00AF0457">
        <w:rPr>
          <w:rFonts w:cstheme="minorHAnsi"/>
          <w:bCs/>
        </w:rPr>
        <w:t>,</w:t>
      </w:r>
      <w:r w:rsidR="00982AC4" w:rsidRPr="00AF0457">
        <w:rPr>
          <w:rFonts w:cstheme="minorHAnsi"/>
          <w:bCs/>
        </w:rPr>
        <w:t>3.48</w:t>
      </w:r>
      <w:r w:rsidR="008D0BEC" w:rsidRPr="00AF0457">
        <w:rPr>
          <w:rFonts w:cstheme="minorHAnsi"/>
          <w:bCs/>
        </w:rPr>
        <w:t>; Table S</w:t>
      </w:r>
      <w:r w:rsidR="003449BC">
        <w:rPr>
          <w:rFonts w:cstheme="minorHAnsi"/>
          <w:bCs/>
        </w:rPr>
        <w:t>6</w:t>
      </w:r>
      <w:r w:rsidR="00B327E0" w:rsidRPr="00AF0457">
        <w:rPr>
          <w:rFonts w:cstheme="minorHAnsi"/>
          <w:bCs/>
        </w:rPr>
        <w:t>)</w:t>
      </w:r>
      <w:r w:rsidR="003D3A43" w:rsidRPr="00AF0457">
        <w:rPr>
          <w:rFonts w:cstheme="minorHAnsi"/>
          <w:bCs/>
        </w:rPr>
        <w:t>,</w:t>
      </w:r>
      <w:r w:rsidR="00851654" w:rsidRPr="00A85A6E">
        <w:rPr>
          <w:rFonts w:cstheme="minorHAnsi"/>
          <w:vertAlign w:val="superscript"/>
        </w:rPr>
        <w:fldChar w:fldCharType="begin"/>
      </w:r>
      <w:r w:rsidR="00851654" w:rsidRPr="00A85A6E">
        <w:rPr>
          <w:rFonts w:cstheme="minorHAnsi"/>
          <w:vertAlign w:val="superscript"/>
        </w:rPr>
        <w:instrText xml:space="preserve"> NOTEREF _Ref147074474 \h </w:instrText>
      </w:r>
      <w:r w:rsidR="00851654">
        <w:rPr>
          <w:rFonts w:cstheme="minorHAnsi"/>
          <w:vertAlign w:val="superscript"/>
        </w:rPr>
        <w:instrText xml:space="preserve"> \* MERGEFORMAT </w:instrText>
      </w:r>
      <w:r w:rsidR="00851654" w:rsidRPr="00A85A6E">
        <w:rPr>
          <w:rFonts w:cstheme="minorHAnsi"/>
          <w:vertAlign w:val="superscript"/>
        </w:rPr>
      </w:r>
      <w:r w:rsidR="00851654" w:rsidRPr="00A85A6E">
        <w:rPr>
          <w:rFonts w:cstheme="minorHAnsi"/>
          <w:vertAlign w:val="superscript"/>
        </w:rPr>
        <w:fldChar w:fldCharType="separate"/>
      </w:r>
      <w:r w:rsidR="000F6C53">
        <w:rPr>
          <w:rFonts w:cstheme="minorHAnsi"/>
          <w:vertAlign w:val="superscript"/>
        </w:rPr>
        <w:t>54</w:t>
      </w:r>
      <w:r w:rsidR="00851654" w:rsidRPr="00A85A6E">
        <w:rPr>
          <w:rFonts w:cstheme="minorHAnsi"/>
          <w:vertAlign w:val="superscript"/>
        </w:rPr>
        <w:fldChar w:fldCharType="end"/>
      </w:r>
      <w:r w:rsidR="00EF70AA" w:rsidRPr="00AF0457">
        <w:rPr>
          <w:rFonts w:cstheme="minorHAnsi"/>
          <w:bCs/>
        </w:rPr>
        <w:t xml:space="preserve"> and the development of hypertension from prehypertension</w:t>
      </w:r>
      <w:r w:rsidR="00952E93" w:rsidRPr="00AF0457">
        <w:rPr>
          <w:rFonts w:cstheme="minorHAnsi"/>
          <w:bCs/>
        </w:rPr>
        <w:t xml:space="preserve"> (IRR=1.</w:t>
      </w:r>
      <w:r w:rsidR="001038BD" w:rsidRPr="00AF0457">
        <w:rPr>
          <w:rFonts w:cstheme="minorHAnsi"/>
          <w:bCs/>
        </w:rPr>
        <w:t>44</w:t>
      </w:r>
      <w:r w:rsidR="00952E93" w:rsidRPr="00AF0457">
        <w:rPr>
          <w:rFonts w:cstheme="minorHAnsi"/>
          <w:bCs/>
        </w:rPr>
        <w:t>, 95% CI:</w:t>
      </w:r>
      <w:r w:rsidR="00952E93" w:rsidRPr="00AF0457">
        <w:rPr>
          <w:rFonts w:cstheme="minorHAnsi"/>
        </w:rPr>
        <w:t xml:space="preserve"> </w:t>
      </w:r>
      <w:r w:rsidR="00952E93" w:rsidRPr="00AF0457">
        <w:rPr>
          <w:rFonts w:cstheme="minorHAnsi"/>
          <w:bCs/>
        </w:rPr>
        <w:t>1.0</w:t>
      </w:r>
      <w:r w:rsidR="001038BD" w:rsidRPr="00AF0457">
        <w:rPr>
          <w:rFonts w:cstheme="minorHAnsi"/>
          <w:bCs/>
        </w:rPr>
        <w:t>4</w:t>
      </w:r>
      <w:r w:rsidR="00952E93" w:rsidRPr="00AF0457">
        <w:rPr>
          <w:rFonts w:cstheme="minorHAnsi"/>
          <w:bCs/>
        </w:rPr>
        <w:t xml:space="preserve">, </w:t>
      </w:r>
      <w:r w:rsidR="001038BD" w:rsidRPr="00AF0457">
        <w:rPr>
          <w:rFonts w:cstheme="minorHAnsi"/>
          <w:bCs/>
        </w:rPr>
        <w:t>2.00</w:t>
      </w:r>
      <w:r w:rsidR="00952E93" w:rsidRPr="00AF0457">
        <w:rPr>
          <w:rFonts w:cstheme="minorHAnsi"/>
          <w:bCs/>
        </w:rPr>
        <w:t xml:space="preserve">; </w:t>
      </w:r>
      <w:r w:rsidR="00245D1A" w:rsidRPr="00AF0457">
        <w:rPr>
          <w:rFonts w:cstheme="minorHAnsi"/>
          <w:bCs/>
        </w:rPr>
        <w:t xml:space="preserve">Table </w:t>
      </w:r>
      <w:r w:rsidR="00EF70AA" w:rsidRPr="00AF0457">
        <w:rPr>
          <w:rFonts w:cstheme="minorHAnsi"/>
          <w:bCs/>
        </w:rPr>
        <w:t>S</w:t>
      </w:r>
      <w:r w:rsidR="003449BC">
        <w:rPr>
          <w:rFonts w:cstheme="minorHAnsi"/>
          <w:bCs/>
        </w:rPr>
        <w:t>8</w:t>
      </w:r>
      <w:r w:rsidR="00EF70AA" w:rsidRPr="00AF0457">
        <w:rPr>
          <w:rFonts w:cstheme="minorHAnsi"/>
          <w:bCs/>
        </w:rPr>
        <w:t>)</w:t>
      </w:r>
      <w:r w:rsidR="00B327E0" w:rsidRPr="00AF0457">
        <w:rPr>
          <w:rFonts w:cstheme="minorHAnsi"/>
          <w:bCs/>
        </w:rPr>
        <w:t>.</w:t>
      </w:r>
      <w:r w:rsidR="00851654" w:rsidRPr="00A85A6E">
        <w:rPr>
          <w:rFonts w:cstheme="minorHAnsi"/>
          <w:vertAlign w:val="superscript"/>
        </w:rPr>
        <w:fldChar w:fldCharType="begin"/>
      </w:r>
      <w:r w:rsidR="00851654" w:rsidRPr="00A85A6E">
        <w:rPr>
          <w:rFonts w:cstheme="minorHAnsi"/>
          <w:vertAlign w:val="superscript"/>
        </w:rPr>
        <w:instrText xml:space="preserve"> NOTEREF _Ref147074474 \h </w:instrText>
      </w:r>
      <w:r w:rsidR="00851654">
        <w:rPr>
          <w:rFonts w:cstheme="minorHAnsi"/>
          <w:vertAlign w:val="superscript"/>
        </w:rPr>
        <w:instrText xml:space="preserve"> \* MERGEFORMAT </w:instrText>
      </w:r>
      <w:r w:rsidR="00851654" w:rsidRPr="00A85A6E">
        <w:rPr>
          <w:rFonts w:cstheme="minorHAnsi"/>
          <w:vertAlign w:val="superscript"/>
        </w:rPr>
      </w:r>
      <w:r w:rsidR="00851654" w:rsidRPr="00A85A6E">
        <w:rPr>
          <w:rFonts w:cstheme="minorHAnsi"/>
          <w:vertAlign w:val="superscript"/>
        </w:rPr>
        <w:fldChar w:fldCharType="separate"/>
      </w:r>
      <w:r w:rsidR="000F6C53">
        <w:rPr>
          <w:rFonts w:cstheme="minorHAnsi"/>
          <w:vertAlign w:val="superscript"/>
        </w:rPr>
        <w:t>54</w:t>
      </w:r>
      <w:r w:rsidR="00851654" w:rsidRPr="00A85A6E">
        <w:rPr>
          <w:rFonts w:cstheme="minorHAnsi"/>
          <w:vertAlign w:val="superscript"/>
        </w:rPr>
        <w:fldChar w:fldCharType="end"/>
      </w:r>
      <w:r w:rsidR="00B327E0" w:rsidRPr="00AF0457">
        <w:rPr>
          <w:rFonts w:cstheme="minorHAnsi"/>
          <w:bCs/>
        </w:rPr>
        <w:t xml:space="preserve"> </w:t>
      </w:r>
      <w:r w:rsidR="00FB73ED" w:rsidRPr="00AF0457">
        <w:rPr>
          <w:rFonts w:cstheme="minorHAnsi"/>
          <w:bCs/>
        </w:rPr>
        <w:t>In</w:t>
      </w:r>
      <w:r w:rsidR="00595C87" w:rsidRPr="00AF0457">
        <w:rPr>
          <w:rFonts w:cstheme="minorHAnsi"/>
          <w:bCs/>
        </w:rPr>
        <w:t xml:space="preserve"> addition,</w:t>
      </w:r>
      <w:r w:rsidR="00FB73ED" w:rsidRPr="00AF0457">
        <w:rPr>
          <w:rFonts w:cstheme="minorHAnsi"/>
          <w:bCs/>
        </w:rPr>
        <w:t xml:space="preserve"> </w:t>
      </w:r>
      <w:r w:rsidR="00451669" w:rsidRPr="00AF0457">
        <w:rPr>
          <w:rFonts w:cstheme="minorHAnsi"/>
          <w:bCs/>
        </w:rPr>
        <w:t xml:space="preserve">the ratio of </w:t>
      </w:r>
      <w:r w:rsidR="00DB4B7B" w:rsidRPr="00AF0457">
        <w:rPr>
          <w:rFonts w:cstheme="minorHAnsi"/>
          <w:bCs/>
        </w:rPr>
        <w:t>TSH</w:t>
      </w:r>
      <w:r w:rsidR="00451669" w:rsidRPr="00AF0457">
        <w:rPr>
          <w:rFonts w:cstheme="minorHAnsi"/>
          <w:bCs/>
        </w:rPr>
        <w:t xml:space="preserve"> to </w:t>
      </w:r>
      <w:r w:rsidR="00DB4B7B" w:rsidRPr="00AF0457">
        <w:rPr>
          <w:rFonts w:cstheme="minorHAnsi"/>
          <w:bCs/>
        </w:rPr>
        <w:t xml:space="preserve">T3 was </w:t>
      </w:r>
      <w:r w:rsidR="00D805EC" w:rsidRPr="00AF0457">
        <w:rPr>
          <w:rFonts w:cstheme="minorHAnsi"/>
          <w:bCs/>
        </w:rPr>
        <w:t xml:space="preserve">inversely </w:t>
      </w:r>
      <w:r w:rsidR="00DB4B7B" w:rsidRPr="00AF0457">
        <w:rPr>
          <w:rFonts w:cstheme="minorHAnsi"/>
          <w:bCs/>
        </w:rPr>
        <w:t xml:space="preserve">associated with </w:t>
      </w:r>
      <w:r w:rsidR="008E5471" w:rsidRPr="00AF0457">
        <w:rPr>
          <w:rFonts w:cstheme="minorHAnsi"/>
          <w:bCs/>
        </w:rPr>
        <w:t xml:space="preserve">change in </w:t>
      </w:r>
      <w:r w:rsidR="00DB4B7B" w:rsidRPr="00AF0457">
        <w:rPr>
          <w:rFonts w:cstheme="minorHAnsi"/>
          <w:bCs/>
        </w:rPr>
        <w:t>SBP</w:t>
      </w:r>
      <w:r w:rsidR="00FC407A" w:rsidRPr="00AF0457">
        <w:rPr>
          <w:rFonts w:cstheme="minorHAnsi"/>
          <w:bCs/>
        </w:rPr>
        <w:t>,</w:t>
      </w:r>
      <w:r w:rsidR="001E5ECC" w:rsidRPr="00AF0457">
        <w:rPr>
          <w:rFonts w:cstheme="minorHAnsi"/>
          <w:bCs/>
        </w:rPr>
        <w:t xml:space="preserve"> </w:t>
      </w:r>
      <w:r w:rsidR="00BE4F18" w:rsidRPr="00AF0457">
        <w:rPr>
          <w:rFonts w:cstheme="minorHAnsi"/>
          <w:bCs/>
        </w:rPr>
        <w:t xml:space="preserve">and </w:t>
      </w:r>
      <w:r w:rsidR="00763174" w:rsidRPr="00AF0457">
        <w:rPr>
          <w:rFonts w:cstheme="minorHAnsi"/>
          <w:bCs/>
        </w:rPr>
        <w:t>T3/</w:t>
      </w:r>
      <w:r w:rsidR="00357631" w:rsidRPr="00AF0457">
        <w:rPr>
          <w:rFonts w:cstheme="minorHAnsi"/>
          <w:bCs/>
        </w:rPr>
        <w:t>FT4</w:t>
      </w:r>
      <w:r w:rsidR="00763174" w:rsidRPr="00AF0457">
        <w:rPr>
          <w:rFonts w:cstheme="minorHAnsi"/>
          <w:bCs/>
        </w:rPr>
        <w:t xml:space="preserve"> ratio w</w:t>
      </w:r>
      <w:r w:rsidR="008E5471" w:rsidRPr="00AF0457">
        <w:rPr>
          <w:rFonts w:cstheme="minorHAnsi"/>
          <w:bCs/>
        </w:rPr>
        <w:t>as positively associated with</w:t>
      </w:r>
      <w:r w:rsidR="00763174" w:rsidRPr="00AF0457">
        <w:rPr>
          <w:rFonts w:cstheme="minorHAnsi"/>
          <w:bCs/>
        </w:rPr>
        <w:t xml:space="preserve"> </w:t>
      </w:r>
      <w:r w:rsidR="008E5471" w:rsidRPr="00AF0457">
        <w:rPr>
          <w:rFonts w:cstheme="minorHAnsi"/>
          <w:bCs/>
        </w:rPr>
        <w:t xml:space="preserve">change in </w:t>
      </w:r>
      <w:r w:rsidR="00763174" w:rsidRPr="00AF0457">
        <w:rPr>
          <w:rFonts w:cstheme="minorHAnsi"/>
          <w:bCs/>
        </w:rPr>
        <w:t>pulse pressure</w:t>
      </w:r>
      <w:r w:rsidR="00CF50BF" w:rsidRPr="00AF0457">
        <w:rPr>
          <w:rFonts w:cstheme="minorHAnsi"/>
          <w:bCs/>
        </w:rPr>
        <w:t>,</w:t>
      </w:r>
      <w:r w:rsidR="00FC407A" w:rsidRPr="00AF0457">
        <w:rPr>
          <w:rFonts w:cstheme="minorHAnsi"/>
          <w:bCs/>
        </w:rPr>
        <w:t xml:space="preserve"> while </w:t>
      </w:r>
      <w:r w:rsidR="00E50F23" w:rsidRPr="00AF0457">
        <w:rPr>
          <w:rFonts w:cstheme="minorHAnsi"/>
          <w:bCs/>
        </w:rPr>
        <w:t>TSH</w:t>
      </w:r>
      <w:r w:rsidR="00884D84" w:rsidRPr="00AF0457">
        <w:rPr>
          <w:rFonts w:cstheme="minorHAnsi"/>
          <w:bCs/>
        </w:rPr>
        <w:t>,</w:t>
      </w:r>
      <w:r w:rsidR="00FA728E" w:rsidRPr="00AF0457">
        <w:rPr>
          <w:rFonts w:cstheme="minorHAnsi"/>
          <w:bCs/>
        </w:rPr>
        <w:t xml:space="preserve"> TSHI, TT4RI,</w:t>
      </w:r>
      <w:r w:rsidR="00884D84" w:rsidRPr="00AF0457">
        <w:rPr>
          <w:rFonts w:cstheme="minorHAnsi"/>
          <w:bCs/>
        </w:rPr>
        <w:t xml:space="preserve"> TSH/T3</w:t>
      </w:r>
      <w:r w:rsidR="00CF50BF" w:rsidRPr="00AF0457">
        <w:rPr>
          <w:rFonts w:cstheme="minorHAnsi"/>
          <w:bCs/>
        </w:rPr>
        <w:t>,</w:t>
      </w:r>
      <w:r w:rsidR="00884D84" w:rsidRPr="00AF0457">
        <w:rPr>
          <w:rFonts w:cstheme="minorHAnsi"/>
          <w:bCs/>
        </w:rPr>
        <w:t xml:space="preserve"> ratio</w:t>
      </w:r>
      <w:r w:rsidR="00E50F23" w:rsidRPr="00AF0457">
        <w:rPr>
          <w:rFonts w:cstheme="minorHAnsi"/>
          <w:bCs/>
        </w:rPr>
        <w:t xml:space="preserve"> </w:t>
      </w:r>
      <w:r w:rsidR="00763174" w:rsidRPr="00AF0457">
        <w:rPr>
          <w:rFonts w:cstheme="minorHAnsi"/>
          <w:bCs/>
        </w:rPr>
        <w:t>and TSH/</w:t>
      </w:r>
      <w:r w:rsidR="00357631" w:rsidRPr="00AF0457">
        <w:rPr>
          <w:rFonts w:cstheme="minorHAnsi"/>
          <w:bCs/>
        </w:rPr>
        <w:t>FT4</w:t>
      </w:r>
      <w:r w:rsidR="00763174" w:rsidRPr="00AF0457">
        <w:rPr>
          <w:rFonts w:cstheme="minorHAnsi"/>
          <w:bCs/>
        </w:rPr>
        <w:t xml:space="preserve"> ratio </w:t>
      </w:r>
      <w:r w:rsidR="00E50F23" w:rsidRPr="00AF0457">
        <w:rPr>
          <w:rFonts w:cstheme="minorHAnsi"/>
          <w:bCs/>
        </w:rPr>
        <w:t>w</w:t>
      </w:r>
      <w:r w:rsidR="00763174" w:rsidRPr="00AF0457">
        <w:rPr>
          <w:rFonts w:cstheme="minorHAnsi"/>
          <w:bCs/>
        </w:rPr>
        <w:t>ere</w:t>
      </w:r>
      <w:r w:rsidR="00E50F23" w:rsidRPr="00AF0457">
        <w:rPr>
          <w:rFonts w:cstheme="minorHAnsi"/>
          <w:bCs/>
        </w:rPr>
        <w:t xml:space="preserve"> </w:t>
      </w:r>
      <w:r w:rsidR="008E5471" w:rsidRPr="00AF0457">
        <w:rPr>
          <w:rFonts w:cstheme="minorHAnsi"/>
          <w:bCs/>
        </w:rPr>
        <w:t xml:space="preserve">inversely </w:t>
      </w:r>
      <w:r w:rsidR="00E50F23" w:rsidRPr="00AF0457">
        <w:rPr>
          <w:rFonts w:cstheme="minorHAnsi"/>
          <w:bCs/>
        </w:rPr>
        <w:t xml:space="preserve">associated with </w:t>
      </w:r>
      <w:r w:rsidR="008E5471" w:rsidRPr="00AF0457">
        <w:rPr>
          <w:rFonts w:cstheme="minorHAnsi"/>
          <w:bCs/>
        </w:rPr>
        <w:t xml:space="preserve">change in </w:t>
      </w:r>
      <w:r w:rsidR="00CC614C" w:rsidRPr="00AF0457">
        <w:rPr>
          <w:rFonts w:cstheme="minorHAnsi"/>
          <w:bCs/>
        </w:rPr>
        <w:t>pulse pressure</w:t>
      </w:r>
      <w:r w:rsidR="00595C87" w:rsidRPr="00AF0457">
        <w:rPr>
          <w:rFonts w:cstheme="minorHAnsi"/>
          <w:bCs/>
        </w:rPr>
        <w:t xml:space="preserve"> in euthyroid postmenopausal women</w:t>
      </w:r>
      <w:r w:rsidR="003D54C6" w:rsidRPr="00AF0457">
        <w:rPr>
          <w:rFonts w:cstheme="minorHAnsi"/>
          <w:bCs/>
        </w:rPr>
        <w:t xml:space="preserve"> (Table S</w:t>
      </w:r>
      <w:r w:rsidR="00B044D0">
        <w:rPr>
          <w:rFonts w:cstheme="minorHAnsi"/>
          <w:bCs/>
        </w:rPr>
        <w:t>6</w:t>
      </w:r>
      <w:r w:rsidR="003D54C6" w:rsidRPr="00AF0457">
        <w:rPr>
          <w:rFonts w:cstheme="minorHAnsi"/>
          <w:bCs/>
        </w:rPr>
        <w:t>)</w:t>
      </w:r>
      <w:r w:rsidR="00550DDA" w:rsidRPr="00AF0457">
        <w:rPr>
          <w:rFonts w:cstheme="minorHAnsi"/>
          <w:bCs/>
        </w:rPr>
        <w:t>.</w:t>
      </w:r>
      <w:r w:rsidR="002564D9" w:rsidRPr="00A85A6E">
        <w:rPr>
          <w:rFonts w:cstheme="minorHAnsi"/>
          <w:vertAlign w:val="superscript"/>
        </w:rPr>
        <w:fldChar w:fldCharType="begin"/>
      </w:r>
      <w:r w:rsidR="002564D9" w:rsidRPr="00A85A6E">
        <w:rPr>
          <w:rFonts w:cstheme="minorHAnsi"/>
          <w:vertAlign w:val="superscript"/>
        </w:rPr>
        <w:instrText xml:space="preserve"> NOTEREF _Ref147074474 \h </w:instrText>
      </w:r>
      <w:r w:rsidR="002564D9">
        <w:rPr>
          <w:rFonts w:cstheme="minorHAnsi"/>
          <w:vertAlign w:val="superscript"/>
        </w:rPr>
        <w:instrText xml:space="preserve"> \* MERGEFORMAT </w:instrText>
      </w:r>
      <w:r w:rsidR="002564D9" w:rsidRPr="00A85A6E">
        <w:rPr>
          <w:rFonts w:cstheme="minorHAnsi"/>
          <w:vertAlign w:val="superscript"/>
        </w:rPr>
      </w:r>
      <w:r w:rsidR="002564D9" w:rsidRPr="00A85A6E">
        <w:rPr>
          <w:rFonts w:cstheme="minorHAnsi"/>
          <w:vertAlign w:val="superscript"/>
        </w:rPr>
        <w:fldChar w:fldCharType="separate"/>
      </w:r>
      <w:r w:rsidR="000F6C53">
        <w:rPr>
          <w:rFonts w:cstheme="minorHAnsi"/>
          <w:vertAlign w:val="superscript"/>
        </w:rPr>
        <w:t>54</w:t>
      </w:r>
      <w:r w:rsidR="002564D9" w:rsidRPr="00A85A6E">
        <w:rPr>
          <w:rFonts w:cstheme="minorHAnsi"/>
          <w:vertAlign w:val="superscript"/>
        </w:rPr>
        <w:fldChar w:fldCharType="end"/>
      </w:r>
      <w:r w:rsidR="00451981">
        <w:rPr>
          <w:rFonts w:cstheme="minorHAnsi"/>
        </w:rPr>
        <w:t xml:space="preserve"> </w:t>
      </w:r>
    </w:p>
    <w:p w14:paraId="66AED841" w14:textId="46FA6354" w:rsidR="006E7DD7" w:rsidRPr="00AF0457" w:rsidRDefault="006E7DD7" w:rsidP="00CC21FA">
      <w:pPr>
        <w:spacing w:before="240" w:after="40" w:line="480" w:lineRule="auto"/>
        <w:ind w:right="58"/>
        <w:rPr>
          <w:rFonts w:cstheme="minorHAnsi"/>
          <w:b/>
          <w:bCs/>
        </w:rPr>
      </w:pPr>
      <w:r w:rsidRPr="00AF0457">
        <w:rPr>
          <w:rFonts w:cstheme="minorHAnsi"/>
          <w:b/>
          <w:bCs/>
        </w:rPr>
        <w:t>Sensitivity analyses</w:t>
      </w:r>
    </w:p>
    <w:p w14:paraId="4261953F" w14:textId="6351227A" w:rsidR="005C5037" w:rsidRPr="00AF0457" w:rsidRDefault="002930A3" w:rsidP="00CC21FA">
      <w:pPr>
        <w:spacing w:after="40" w:line="480" w:lineRule="auto"/>
        <w:ind w:right="58"/>
        <w:rPr>
          <w:rFonts w:cstheme="minorHAnsi"/>
          <w:b/>
          <w:bCs/>
        </w:rPr>
      </w:pPr>
      <w:r w:rsidRPr="00AF0457">
        <w:rPr>
          <w:rFonts w:cstheme="minorHAnsi"/>
        </w:rPr>
        <w:t>Our</w:t>
      </w:r>
      <w:r w:rsidR="006E7DD7" w:rsidRPr="00AF0457">
        <w:rPr>
          <w:rFonts w:cstheme="minorHAnsi"/>
        </w:rPr>
        <w:t xml:space="preserve"> sensitivity analyses</w:t>
      </w:r>
      <w:r w:rsidRPr="00AF0457">
        <w:rPr>
          <w:rFonts w:cstheme="minorHAnsi"/>
        </w:rPr>
        <w:t xml:space="preserve"> assessing associations of thyroid-related hormones with change in BP measures</w:t>
      </w:r>
      <w:r w:rsidR="006E7DD7" w:rsidRPr="00AF0457">
        <w:rPr>
          <w:rFonts w:cstheme="minorHAnsi"/>
        </w:rPr>
        <w:t xml:space="preserve"> excluding individuals who reported BP medication use did not </w:t>
      </w:r>
      <w:r w:rsidR="002903F5" w:rsidRPr="00AF0457">
        <w:rPr>
          <w:rFonts w:cstheme="minorHAnsi"/>
        </w:rPr>
        <w:t>demonstrate</w:t>
      </w:r>
      <w:r w:rsidR="006E7DD7" w:rsidRPr="00AF0457">
        <w:rPr>
          <w:rFonts w:cstheme="minorHAnsi"/>
        </w:rPr>
        <w:t xml:space="preserve"> substantial differences compared to the analysis accounting for potential treatment effect attributable to BP medication use</w:t>
      </w:r>
      <w:r w:rsidR="00945832">
        <w:rPr>
          <w:rFonts w:cstheme="minorHAnsi"/>
        </w:rPr>
        <w:t xml:space="preserve"> (results not shown)</w:t>
      </w:r>
      <w:r w:rsidR="006E7DD7" w:rsidRPr="00AF0457">
        <w:rPr>
          <w:rFonts w:cstheme="minorHAnsi"/>
        </w:rPr>
        <w:t>.</w:t>
      </w:r>
    </w:p>
    <w:p w14:paraId="064BCCC3" w14:textId="7AD116B8" w:rsidR="000207A5" w:rsidRPr="00AF0457" w:rsidRDefault="000207A5" w:rsidP="00CC21FA">
      <w:pPr>
        <w:spacing w:before="240" w:after="40" w:line="480" w:lineRule="auto"/>
        <w:ind w:right="58"/>
        <w:rPr>
          <w:rFonts w:cstheme="minorHAnsi"/>
          <w:b/>
          <w:bCs/>
        </w:rPr>
      </w:pPr>
      <w:r w:rsidRPr="00AF0457">
        <w:rPr>
          <w:rFonts w:cstheme="minorHAnsi"/>
          <w:b/>
          <w:bCs/>
        </w:rPr>
        <w:t>Discussion</w:t>
      </w:r>
    </w:p>
    <w:p w14:paraId="5F5A3F11" w14:textId="75A89472" w:rsidR="0029776D" w:rsidRPr="00AF0457" w:rsidRDefault="00CB48A4" w:rsidP="00CC21FA">
      <w:pPr>
        <w:spacing w:after="40" w:line="480" w:lineRule="auto"/>
        <w:rPr>
          <w:rFonts w:cstheme="minorHAnsi"/>
          <w:bCs/>
        </w:rPr>
      </w:pPr>
      <w:r w:rsidRPr="00AF0457">
        <w:rPr>
          <w:rFonts w:cstheme="minorHAnsi"/>
          <w:bCs/>
        </w:rPr>
        <w:t>We</w:t>
      </w:r>
      <w:r w:rsidR="004438C8" w:rsidRPr="00AF0457">
        <w:rPr>
          <w:rFonts w:cstheme="minorHAnsi"/>
          <w:bCs/>
        </w:rPr>
        <w:t xml:space="preserve"> </w:t>
      </w:r>
      <w:r w:rsidR="006C23D1" w:rsidRPr="00AF0457">
        <w:rPr>
          <w:rFonts w:cstheme="minorHAnsi"/>
          <w:bCs/>
        </w:rPr>
        <w:t xml:space="preserve">examined </w:t>
      </w:r>
      <w:r w:rsidR="00E54010" w:rsidRPr="00AF0457">
        <w:rPr>
          <w:rFonts w:cstheme="minorHAnsi"/>
          <w:bCs/>
        </w:rPr>
        <w:t xml:space="preserve">associations </w:t>
      </w:r>
      <w:r w:rsidR="006C23D1" w:rsidRPr="00AF0457">
        <w:rPr>
          <w:rFonts w:cstheme="minorHAnsi"/>
          <w:bCs/>
        </w:rPr>
        <w:t xml:space="preserve">of </w:t>
      </w:r>
      <w:r w:rsidR="00693253" w:rsidRPr="00AF0457">
        <w:rPr>
          <w:rFonts w:cstheme="minorHAnsi"/>
          <w:bCs/>
        </w:rPr>
        <w:t>thyroid-related</w:t>
      </w:r>
      <w:r w:rsidR="006C23D1" w:rsidRPr="00AF0457">
        <w:rPr>
          <w:rFonts w:cstheme="minorHAnsi"/>
          <w:bCs/>
        </w:rPr>
        <w:t xml:space="preserve"> hormones with</w:t>
      </w:r>
      <w:r w:rsidR="00F05C57" w:rsidRPr="00AF0457">
        <w:rPr>
          <w:rFonts w:cstheme="minorHAnsi"/>
          <w:bCs/>
        </w:rPr>
        <w:t xml:space="preserve"> </w:t>
      </w:r>
      <w:r w:rsidR="004E12ED" w:rsidRPr="00AF0457">
        <w:rPr>
          <w:rFonts w:cstheme="minorHAnsi"/>
          <w:bCs/>
        </w:rPr>
        <w:t>the development of</w:t>
      </w:r>
      <w:r w:rsidR="00B231FF" w:rsidRPr="00AF0457">
        <w:rPr>
          <w:rFonts w:cstheme="minorHAnsi"/>
          <w:bCs/>
        </w:rPr>
        <w:t xml:space="preserve"> </w:t>
      </w:r>
      <w:r w:rsidR="00BB34FB" w:rsidRPr="00AF0457">
        <w:rPr>
          <w:rFonts w:cstheme="minorHAnsi"/>
          <w:bCs/>
        </w:rPr>
        <w:t>hypertension</w:t>
      </w:r>
      <w:r w:rsidR="00A217EB" w:rsidRPr="00AF0457">
        <w:rPr>
          <w:rFonts w:cstheme="minorHAnsi"/>
          <w:bCs/>
        </w:rPr>
        <w:t xml:space="preserve"> and BP change</w:t>
      </w:r>
      <w:r w:rsidR="004E12ED" w:rsidRPr="00AF0457">
        <w:rPr>
          <w:rFonts w:cstheme="minorHAnsi"/>
          <w:bCs/>
        </w:rPr>
        <w:t xml:space="preserve"> </w:t>
      </w:r>
      <w:r w:rsidR="006C23D1" w:rsidRPr="00AF0457">
        <w:rPr>
          <w:rFonts w:cstheme="minorHAnsi"/>
          <w:bCs/>
        </w:rPr>
        <w:t>in</w:t>
      </w:r>
      <w:r w:rsidR="004438C8" w:rsidRPr="00AF0457">
        <w:rPr>
          <w:rFonts w:cstheme="minorHAnsi"/>
          <w:bCs/>
        </w:rPr>
        <w:t xml:space="preserve"> a heterogenous Hispanic/Latino population</w:t>
      </w:r>
      <w:r w:rsidR="006C23D1" w:rsidRPr="00AF0457">
        <w:rPr>
          <w:rFonts w:cstheme="minorHAnsi"/>
          <w:bCs/>
        </w:rPr>
        <w:t>.</w:t>
      </w:r>
      <w:r w:rsidR="00360BEE" w:rsidRPr="00AF0457">
        <w:rPr>
          <w:rFonts w:cstheme="minorHAnsi"/>
          <w:bCs/>
        </w:rPr>
        <w:t xml:space="preserve"> </w:t>
      </w:r>
      <w:r w:rsidR="00A14A85" w:rsidRPr="00AF0457">
        <w:rPr>
          <w:rFonts w:cstheme="minorHAnsi"/>
          <w:bCs/>
        </w:rPr>
        <w:t xml:space="preserve">In </w:t>
      </w:r>
      <w:r w:rsidR="003E2AFC" w:rsidRPr="00AF0457">
        <w:rPr>
          <w:rFonts w:cstheme="minorHAnsi"/>
          <w:bCs/>
        </w:rPr>
        <w:t xml:space="preserve">both </w:t>
      </w:r>
      <w:r w:rsidR="00A14A85" w:rsidRPr="00AF0457">
        <w:rPr>
          <w:rFonts w:cstheme="minorHAnsi"/>
          <w:bCs/>
        </w:rPr>
        <w:t>men and postmenopausal women,</w:t>
      </w:r>
      <w:r w:rsidR="00A014BB" w:rsidRPr="00AF0457">
        <w:rPr>
          <w:rFonts w:cstheme="minorHAnsi"/>
          <w:bCs/>
        </w:rPr>
        <w:t xml:space="preserve"> </w:t>
      </w:r>
      <w:r w:rsidR="00450E9D" w:rsidRPr="00AF0457">
        <w:rPr>
          <w:rFonts w:cstheme="minorHAnsi"/>
          <w:bCs/>
        </w:rPr>
        <w:t xml:space="preserve">increased </w:t>
      </w:r>
      <w:r w:rsidR="00A014BB" w:rsidRPr="00AF0457">
        <w:rPr>
          <w:rFonts w:cstheme="minorHAnsi"/>
        </w:rPr>
        <w:t xml:space="preserve">TSH and </w:t>
      </w:r>
      <w:r w:rsidR="000C1A60" w:rsidRPr="00AF0457">
        <w:rPr>
          <w:rFonts w:cstheme="minorHAnsi"/>
        </w:rPr>
        <w:t xml:space="preserve">ratio of </w:t>
      </w:r>
      <w:r w:rsidR="00A014BB" w:rsidRPr="00AF0457">
        <w:rPr>
          <w:rFonts w:cstheme="minorHAnsi"/>
        </w:rPr>
        <w:t>TSH</w:t>
      </w:r>
      <w:r w:rsidR="000C1A60" w:rsidRPr="00AF0457">
        <w:rPr>
          <w:rFonts w:cstheme="minorHAnsi"/>
        </w:rPr>
        <w:t xml:space="preserve"> to </w:t>
      </w:r>
      <w:r w:rsidR="00A014BB" w:rsidRPr="00AF0457">
        <w:rPr>
          <w:rFonts w:cstheme="minorHAnsi"/>
        </w:rPr>
        <w:t>FT4</w:t>
      </w:r>
      <w:r w:rsidR="00BE4F18" w:rsidRPr="00AF0457">
        <w:rPr>
          <w:rFonts w:cstheme="minorHAnsi"/>
        </w:rPr>
        <w:t xml:space="preserve"> (</w:t>
      </w:r>
      <w:r w:rsidR="00450E9D" w:rsidRPr="00AF0457">
        <w:rPr>
          <w:rFonts w:cstheme="minorHAnsi"/>
        </w:rPr>
        <w:t xml:space="preserve">consistent with </w:t>
      </w:r>
      <w:r w:rsidR="00BE4F18" w:rsidRPr="00AF0457">
        <w:rPr>
          <w:rFonts w:cstheme="minorHAnsi"/>
        </w:rPr>
        <w:t xml:space="preserve">decreased pituitary </w:t>
      </w:r>
      <w:r w:rsidR="002273F9" w:rsidRPr="00AF0457">
        <w:rPr>
          <w:rFonts w:cstheme="minorHAnsi"/>
        </w:rPr>
        <w:t>response to thyroid hormone feedback</w:t>
      </w:r>
      <w:r w:rsidR="00EE0F34" w:rsidRPr="00AF0457">
        <w:rPr>
          <w:rFonts w:cstheme="minorHAnsi"/>
        </w:rPr>
        <w:t>)</w:t>
      </w:r>
      <w:r w:rsidR="00A014BB" w:rsidRPr="00AF0457">
        <w:rPr>
          <w:rFonts w:cstheme="minorHAnsi"/>
        </w:rPr>
        <w:t xml:space="preserve"> were</w:t>
      </w:r>
      <w:r w:rsidR="00A8268F" w:rsidRPr="00AF0457">
        <w:rPr>
          <w:rFonts w:cstheme="minorHAnsi"/>
        </w:rPr>
        <w:t xml:space="preserve"> positively</w:t>
      </w:r>
      <w:r w:rsidR="00A014BB" w:rsidRPr="00AF0457">
        <w:rPr>
          <w:rFonts w:cstheme="minorHAnsi"/>
        </w:rPr>
        <w:t xml:space="preserve"> associated with </w:t>
      </w:r>
      <w:r w:rsidR="00A8268F" w:rsidRPr="00AF0457">
        <w:rPr>
          <w:rFonts w:cstheme="minorHAnsi"/>
          <w:bCs/>
        </w:rPr>
        <w:t xml:space="preserve">change in </w:t>
      </w:r>
      <w:r w:rsidR="00A014BB" w:rsidRPr="00AF0457">
        <w:rPr>
          <w:rFonts w:cstheme="minorHAnsi"/>
        </w:rPr>
        <w:t>DBP</w:t>
      </w:r>
      <w:r w:rsidR="00060EFC" w:rsidRPr="00AF0457">
        <w:rPr>
          <w:rFonts w:cstheme="minorHAnsi"/>
        </w:rPr>
        <w:t>,</w:t>
      </w:r>
      <w:r w:rsidR="00A014BB" w:rsidRPr="00AF0457">
        <w:rPr>
          <w:rFonts w:cstheme="minorHAnsi"/>
        </w:rPr>
        <w:t xml:space="preserve"> while </w:t>
      </w:r>
      <w:r w:rsidR="003D5985" w:rsidRPr="00AF0457">
        <w:rPr>
          <w:rFonts w:cstheme="minorHAnsi"/>
          <w:bCs/>
        </w:rPr>
        <w:t>T3 was</w:t>
      </w:r>
      <w:r w:rsidR="00A8268F" w:rsidRPr="00AF0457">
        <w:rPr>
          <w:rFonts w:cstheme="minorHAnsi"/>
          <w:bCs/>
        </w:rPr>
        <w:t xml:space="preserve"> positively</w:t>
      </w:r>
      <w:r w:rsidR="003D5985" w:rsidRPr="00AF0457">
        <w:rPr>
          <w:rFonts w:cstheme="minorHAnsi"/>
          <w:bCs/>
        </w:rPr>
        <w:t xml:space="preserve"> associated with </w:t>
      </w:r>
      <w:r w:rsidR="00A8268F" w:rsidRPr="00AF0457">
        <w:rPr>
          <w:rFonts w:cstheme="minorHAnsi"/>
          <w:bCs/>
        </w:rPr>
        <w:t xml:space="preserve">change in </w:t>
      </w:r>
      <w:r w:rsidR="003D5985" w:rsidRPr="00AF0457">
        <w:rPr>
          <w:rFonts w:cstheme="minorHAnsi"/>
          <w:bCs/>
        </w:rPr>
        <w:t xml:space="preserve">pulse pressure and </w:t>
      </w:r>
      <w:r w:rsidR="003E2AFC" w:rsidRPr="00AF0457">
        <w:rPr>
          <w:rFonts w:cstheme="minorHAnsi"/>
          <w:bCs/>
        </w:rPr>
        <w:t>the development of</w:t>
      </w:r>
      <w:r w:rsidR="003D5985" w:rsidRPr="00AF0457">
        <w:rPr>
          <w:rFonts w:cstheme="minorHAnsi"/>
          <w:bCs/>
        </w:rPr>
        <w:t xml:space="preserve"> hypertension from prehypertensio</w:t>
      </w:r>
      <w:r w:rsidR="00CA288B" w:rsidRPr="00AF0457">
        <w:rPr>
          <w:rFonts w:cstheme="minorHAnsi"/>
          <w:bCs/>
        </w:rPr>
        <w:t>n.</w:t>
      </w:r>
      <w:r w:rsidR="007C48CB" w:rsidRPr="00AF0457">
        <w:rPr>
          <w:rFonts w:cstheme="minorHAnsi"/>
          <w:bCs/>
        </w:rPr>
        <w:t xml:space="preserve"> </w:t>
      </w:r>
      <w:r w:rsidR="00216DFB" w:rsidRPr="00AF0457">
        <w:rPr>
          <w:rFonts w:cstheme="minorHAnsi"/>
          <w:bCs/>
        </w:rPr>
        <w:t>TSH was associated with the development of hypertension from prehypertension in men</w:t>
      </w:r>
      <w:r w:rsidR="00CF50BF" w:rsidRPr="00AF0457">
        <w:rPr>
          <w:rFonts w:cstheme="minorHAnsi"/>
          <w:bCs/>
        </w:rPr>
        <w:t>,</w:t>
      </w:r>
      <w:r w:rsidR="000C1A60" w:rsidRPr="00AF0457">
        <w:rPr>
          <w:rFonts w:cstheme="minorHAnsi"/>
          <w:bCs/>
        </w:rPr>
        <w:t xml:space="preserve"> while </w:t>
      </w:r>
      <w:r w:rsidR="00B067BE" w:rsidRPr="00AF0457">
        <w:rPr>
          <w:rFonts w:cstheme="minorHAnsi"/>
          <w:bCs/>
        </w:rPr>
        <w:t xml:space="preserve">FT4 </w:t>
      </w:r>
      <w:r w:rsidR="008F69ED">
        <w:rPr>
          <w:rFonts w:cstheme="minorHAnsi"/>
          <w:bCs/>
        </w:rPr>
        <w:t>demonstrated</w:t>
      </w:r>
      <w:r w:rsidR="008F69ED" w:rsidRPr="00AF0457">
        <w:rPr>
          <w:rFonts w:cstheme="minorHAnsi"/>
          <w:bCs/>
        </w:rPr>
        <w:t xml:space="preserve"> </w:t>
      </w:r>
      <w:r w:rsidR="00B067BE" w:rsidRPr="00AF0457">
        <w:rPr>
          <w:rFonts w:cstheme="minorHAnsi"/>
          <w:bCs/>
        </w:rPr>
        <w:t xml:space="preserve"> significant</w:t>
      </w:r>
      <w:r w:rsidR="008F69ED">
        <w:rPr>
          <w:rFonts w:cstheme="minorHAnsi"/>
          <w:bCs/>
        </w:rPr>
        <w:t xml:space="preserve"> non-linear </w:t>
      </w:r>
      <w:r w:rsidR="00B067BE" w:rsidRPr="00AF0457">
        <w:rPr>
          <w:rFonts w:cstheme="minorHAnsi"/>
          <w:bCs/>
        </w:rPr>
        <w:t>associat</w:t>
      </w:r>
      <w:r w:rsidR="008F69ED">
        <w:rPr>
          <w:rFonts w:cstheme="minorHAnsi"/>
          <w:bCs/>
        </w:rPr>
        <w:t>ions</w:t>
      </w:r>
      <w:r w:rsidR="00B067BE" w:rsidRPr="00AF0457">
        <w:rPr>
          <w:rFonts w:cstheme="minorHAnsi"/>
          <w:bCs/>
        </w:rPr>
        <w:t xml:space="preserve"> with the development of </w:t>
      </w:r>
      <w:r w:rsidR="008F69ED">
        <w:rPr>
          <w:rFonts w:cstheme="minorHAnsi"/>
          <w:bCs/>
        </w:rPr>
        <w:t>pre</w:t>
      </w:r>
      <w:r w:rsidR="00B067BE" w:rsidRPr="00AF0457">
        <w:rPr>
          <w:rFonts w:cstheme="minorHAnsi"/>
          <w:bCs/>
        </w:rPr>
        <w:t>hypertension in postmenopausal women.</w:t>
      </w:r>
    </w:p>
    <w:p w14:paraId="151ABD70" w14:textId="5F53DDE3" w:rsidR="0029776D" w:rsidRPr="00AF0457" w:rsidRDefault="00DD4ECA" w:rsidP="00CC21FA">
      <w:pPr>
        <w:spacing w:after="40" w:line="480" w:lineRule="auto"/>
        <w:ind w:firstLine="720"/>
        <w:rPr>
          <w:rFonts w:cstheme="minorHAnsi"/>
          <w:bCs/>
        </w:rPr>
      </w:pPr>
      <w:r w:rsidRPr="00AF0457">
        <w:rPr>
          <w:rFonts w:cstheme="minorHAnsi"/>
          <w:bCs/>
        </w:rPr>
        <w:t>In postmenopausal women</w:t>
      </w:r>
      <w:r w:rsidR="001D25C9" w:rsidRPr="00AF0457">
        <w:rPr>
          <w:rFonts w:cstheme="minorHAnsi"/>
          <w:bCs/>
        </w:rPr>
        <w:t xml:space="preserve"> but not men</w:t>
      </w:r>
      <w:r w:rsidRPr="00AF0457">
        <w:rPr>
          <w:rFonts w:cstheme="minorHAnsi"/>
          <w:bCs/>
        </w:rPr>
        <w:t xml:space="preserve">, </w:t>
      </w:r>
      <w:r w:rsidR="00020151" w:rsidRPr="00AF0457">
        <w:rPr>
          <w:rFonts w:cstheme="minorHAnsi"/>
          <w:bCs/>
        </w:rPr>
        <w:t xml:space="preserve">the ratio of </w:t>
      </w:r>
      <w:r w:rsidR="004477DF" w:rsidRPr="00AF0457">
        <w:rPr>
          <w:rFonts w:cstheme="minorHAnsi"/>
          <w:bCs/>
        </w:rPr>
        <w:t>T3</w:t>
      </w:r>
      <w:r w:rsidR="00020151" w:rsidRPr="00AF0457">
        <w:rPr>
          <w:rFonts w:cstheme="minorHAnsi"/>
          <w:bCs/>
        </w:rPr>
        <w:t xml:space="preserve"> to </w:t>
      </w:r>
      <w:r w:rsidR="004477DF" w:rsidRPr="00AF0457">
        <w:rPr>
          <w:rFonts w:cstheme="minorHAnsi"/>
          <w:bCs/>
        </w:rPr>
        <w:t>FT4</w:t>
      </w:r>
      <w:r w:rsidR="00450E9D" w:rsidRPr="00AF0457">
        <w:rPr>
          <w:rFonts w:cstheme="minorHAnsi"/>
          <w:bCs/>
        </w:rPr>
        <w:t xml:space="preserve">, consistent with </w:t>
      </w:r>
      <w:r w:rsidR="00BF6532" w:rsidRPr="00AF0457">
        <w:rPr>
          <w:rFonts w:cstheme="minorHAnsi"/>
          <w:bCs/>
        </w:rPr>
        <w:t>greater</w:t>
      </w:r>
      <w:r w:rsidR="00450E9D" w:rsidRPr="00AF0457">
        <w:rPr>
          <w:rFonts w:cstheme="minorHAnsi"/>
          <w:bCs/>
        </w:rPr>
        <w:t xml:space="preserve"> deiodination,</w:t>
      </w:r>
      <w:r w:rsidR="004477DF" w:rsidRPr="00AF0457">
        <w:rPr>
          <w:rFonts w:cstheme="minorHAnsi"/>
          <w:bCs/>
        </w:rPr>
        <w:t xml:space="preserve"> was associated with the development of </w:t>
      </w:r>
      <w:r w:rsidR="008E7E2A" w:rsidRPr="00AF0457">
        <w:rPr>
          <w:rFonts w:cstheme="minorHAnsi"/>
          <w:bCs/>
        </w:rPr>
        <w:t xml:space="preserve">prehypertension and </w:t>
      </w:r>
      <w:r w:rsidR="004477DF" w:rsidRPr="00AF0457">
        <w:rPr>
          <w:rFonts w:cstheme="minorHAnsi"/>
          <w:bCs/>
        </w:rPr>
        <w:t>hypertension</w:t>
      </w:r>
      <w:r w:rsidR="00450E9D" w:rsidRPr="00AF0457">
        <w:rPr>
          <w:rFonts w:cstheme="minorHAnsi"/>
          <w:bCs/>
        </w:rPr>
        <w:t xml:space="preserve">. </w:t>
      </w:r>
      <w:r w:rsidR="005115A9" w:rsidRPr="00AF0457">
        <w:rPr>
          <w:rFonts w:cstheme="minorHAnsi"/>
          <w:bCs/>
        </w:rPr>
        <w:t>Likewise, i</w:t>
      </w:r>
      <w:r w:rsidRPr="00AF0457">
        <w:rPr>
          <w:rFonts w:cstheme="minorHAnsi"/>
          <w:bCs/>
        </w:rPr>
        <w:t>ncreased</w:t>
      </w:r>
      <w:r w:rsidR="004C7505" w:rsidRPr="00AF0457">
        <w:rPr>
          <w:rFonts w:cstheme="minorHAnsi"/>
          <w:bCs/>
        </w:rPr>
        <w:t xml:space="preserve"> </w:t>
      </w:r>
      <w:r w:rsidR="0050600B" w:rsidRPr="00AF0457">
        <w:rPr>
          <w:rFonts w:cstheme="minorHAnsi"/>
          <w:bCs/>
        </w:rPr>
        <w:t xml:space="preserve">ratio of </w:t>
      </w:r>
      <w:r w:rsidR="004C7505" w:rsidRPr="00AF0457">
        <w:rPr>
          <w:rFonts w:cstheme="minorHAnsi"/>
          <w:bCs/>
        </w:rPr>
        <w:t>TSH</w:t>
      </w:r>
      <w:r w:rsidR="0050600B" w:rsidRPr="00AF0457">
        <w:rPr>
          <w:rFonts w:cstheme="minorHAnsi"/>
          <w:bCs/>
        </w:rPr>
        <w:t xml:space="preserve"> to </w:t>
      </w:r>
      <w:r w:rsidR="004C7505" w:rsidRPr="00AF0457">
        <w:rPr>
          <w:rFonts w:cstheme="minorHAnsi"/>
          <w:bCs/>
        </w:rPr>
        <w:t>T3,</w:t>
      </w:r>
      <w:r w:rsidRPr="00AF0457">
        <w:rPr>
          <w:rFonts w:cstheme="minorHAnsi"/>
          <w:bCs/>
        </w:rPr>
        <w:t xml:space="preserve"> TSHI and TT4RI</w:t>
      </w:r>
      <w:r w:rsidR="00450E9D" w:rsidRPr="00AF0457">
        <w:rPr>
          <w:rFonts w:cstheme="minorHAnsi"/>
          <w:bCs/>
        </w:rPr>
        <w:t xml:space="preserve">, consistent with decreased pituitary sensitivity </w:t>
      </w:r>
      <w:r w:rsidR="00CF50BF" w:rsidRPr="00AF0457">
        <w:rPr>
          <w:rFonts w:cstheme="minorHAnsi"/>
          <w:bCs/>
        </w:rPr>
        <w:t xml:space="preserve">or response </w:t>
      </w:r>
      <w:r w:rsidR="00450E9D" w:rsidRPr="00AF0457">
        <w:rPr>
          <w:rFonts w:cstheme="minorHAnsi"/>
          <w:bCs/>
        </w:rPr>
        <w:t>to thyroid hormones</w:t>
      </w:r>
      <w:r w:rsidRPr="00AF0457">
        <w:rPr>
          <w:rFonts w:cstheme="minorHAnsi"/>
          <w:bCs/>
        </w:rPr>
        <w:t xml:space="preserve"> </w:t>
      </w:r>
      <w:r w:rsidR="00A839FE" w:rsidRPr="00AF0457">
        <w:rPr>
          <w:rFonts w:cstheme="minorHAnsi"/>
          <w:bCs/>
        </w:rPr>
        <w:t>w</w:t>
      </w:r>
      <w:r w:rsidR="00A075EE" w:rsidRPr="00AF0457">
        <w:rPr>
          <w:rFonts w:cstheme="minorHAnsi"/>
          <w:bCs/>
        </w:rPr>
        <w:t>ere</w:t>
      </w:r>
      <w:r w:rsidR="00A8268F" w:rsidRPr="00AF0457">
        <w:rPr>
          <w:rFonts w:cstheme="minorHAnsi"/>
          <w:bCs/>
        </w:rPr>
        <w:t xml:space="preserve"> </w:t>
      </w:r>
      <w:r w:rsidRPr="00AF0457">
        <w:rPr>
          <w:rFonts w:cstheme="minorHAnsi"/>
          <w:bCs/>
        </w:rPr>
        <w:t xml:space="preserve">associated with </w:t>
      </w:r>
      <w:r w:rsidR="00A8268F" w:rsidRPr="00AF0457">
        <w:rPr>
          <w:rFonts w:cstheme="minorHAnsi"/>
          <w:bCs/>
        </w:rPr>
        <w:t xml:space="preserve">change in </w:t>
      </w:r>
      <w:r w:rsidRPr="00AF0457">
        <w:rPr>
          <w:rFonts w:cstheme="minorHAnsi"/>
          <w:bCs/>
        </w:rPr>
        <w:t>pulse pressure</w:t>
      </w:r>
      <w:r w:rsidR="00706DA7" w:rsidRPr="00AF0457">
        <w:rPr>
          <w:rFonts w:cstheme="minorHAnsi"/>
          <w:bCs/>
        </w:rPr>
        <w:t xml:space="preserve"> in postmenopausal women but not men</w:t>
      </w:r>
      <w:r w:rsidR="00450E9D" w:rsidRPr="00AF0457">
        <w:rPr>
          <w:rFonts w:cstheme="minorHAnsi"/>
          <w:bCs/>
        </w:rPr>
        <w:t>.</w:t>
      </w:r>
      <w:r w:rsidR="0029776D" w:rsidRPr="00AF0457">
        <w:rPr>
          <w:rFonts w:cstheme="minorHAnsi"/>
          <w:bCs/>
        </w:rPr>
        <w:t xml:space="preserve"> </w:t>
      </w:r>
      <w:r w:rsidR="00450E9D" w:rsidRPr="00AF0457">
        <w:rPr>
          <w:rFonts w:cstheme="minorHAnsi"/>
          <w:bCs/>
        </w:rPr>
        <w:t xml:space="preserve">Differences between men and </w:t>
      </w:r>
      <w:r w:rsidR="005D2AD8" w:rsidRPr="00AF0457">
        <w:rPr>
          <w:rFonts w:cstheme="minorHAnsi"/>
          <w:bCs/>
        </w:rPr>
        <w:t xml:space="preserve">postmenopausal </w:t>
      </w:r>
      <w:r w:rsidR="00450E9D" w:rsidRPr="00AF0457">
        <w:rPr>
          <w:rFonts w:cstheme="minorHAnsi"/>
          <w:bCs/>
        </w:rPr>
        <w:t xml:space="preserve">women in relationships of </w:t>
      </w:r>
      <w:r w:rsidR="007D10C2" w:rsidRPr="00AF0457">
        <w:rPr>
          <w:rFonts w:cstheme="minorHAnsi"/>
          <w:bCs/>
        </w:rPr>
        <w:t>indices</w:t>
      </w:r>
      <w:r w:rsidR="00450E9D" w:rsidRPr="00AF0457">
        <w:rPr>
          <w:rFonts w:cstheme="minorHAnsi"/>
          <w:bCs/>
        </w:rPr>
        <w:t xml:space="preserve"> related to sensitivity of the pituitary</w:t>
      </w:r>
      <w:r w:rsidR="008D6446" w:rsidRPr="00AF0457">
        <w:rPr>
          <w:rFonts w:cstheme="minorHAnsi"/>
          <w:bCs/>
        </w:rPr>
        <w:t xml:space="preserve"> to thyroid hormones</w:t>
      </w:r>
      <w:r w:rsidR="00450E9D" w:rsidRPr="00AF0457">
        <w:rPr>
          <w:rFonts w:cstheme="minorHAnsi"/>
          <w:bCs/>
        </w:rPr>
        <w:t xml:space="preserve"> were also seen with</w:t>
      </w:r>
      <w:r w:rsidR="006F1768" w:rsidRPr="00AF0457">
        <w:rPr>
          <w:rFonts w:cstheme="minorHAnsi"/>
          <w:bCs/>
        </w:rPr>
        <w:t xml:space="preserve"> stages in the</w:t>
      </w:r>
      <w:r w:rsidR="00450E9D" w:rsidRPr="00AF0457">
        <w:rPr>
          <w:rFonts w:cstheme="minorHAnsi"/>
          <w:bCs/>
        </w:rPr>
        <w:t xml:space="preserve"> development of hypertension</w:t>
      </w:r>
      <w:r w:rsidR="00A839FE" w:rsidRPr="00AF0457">
        <w:rPr>
          <w:rFonts w:cstheme="minorHAnsi"/>
          <w:bCs/>
        </w:rPr>
        <w:t xml:space="preserve">. </w:t>
      </w:r>
      <w:r w:rsidR="00BB74F9" w:rsidRPr="00AF0457">
        <w:rPr>
          <w:rFonts w:cstheme="minorHAnsi"/>
          <w:bCs/>
        </w:rPr>
        <w:t>The ratio</w:t>
      </w:r>
      <w:r w:rsidR="00673C0F" w:rsidRPr="00AF0457">
        <w:rPr>
          <w:rFonts w:cstheme="minorHAnsi"/>
          <w:bCs/>
        </w:rPr>
        <w:t>s</w:t>
      </w:r>
      <w:r w:rsidR="00BB74F9" w:rsidRPr="00AF0457">
        <w:rPr>
          <w:rFonts w:cstheme="minorHAnsi"/>
          <w:bCs/>
        </w:rPr>
        <w:t xml:space="preserve"> of </w:t>
      </w:r>
      <w:r w:rsidR="007D763D" w:rsidRPr="00AF0457">
        <w:rPr>
          <w:rFonts w:cstheme="minorHAnsi"/>
          <w:bCs/>
        </w:rPr>
        <w:t>TSH</w:t>
      </w:r>
      <w:r w:rsidR="00BB74F9" w:rsidRPr="00AF0457">
        <w:rPr>
          <w:rFonts w:cstheme="minorHAnsi"/>
          <w:bCs/>
        </w:rPr>
        <w:t xml:space="preserve"> to </w:t>
      </w:r>
      <w:r w:rsidR="007D763D" w:rsidRPr="00AF0457">
        <w:rPr>
          <w:rFonts w:cstheme="minorHAnsi"/>
          <w:bCs/>
        </w:rPr>
        <w:t>FT4</w:t>
      </w:r>
      <w:r w:rsidR="00BB74F9" w:rsidRPr="00AF0457">
        <w:rPr>
          <w:rFonts w:cstheme="minorHAnsi"/>
          <w:bCs/>
        </w:rPr>
        <w:t xml:space="preserve"> and</w:t>
      </w:r>
      <w:r w:rsidR="007D763D" w:rsidRPr="00AF0457">
        <w:rPr>
          <w:rFonts w:cstheme="minorHAnsi"/>
          <w:bCs/>
        </w:rPr>
        <w:t xml:space="preserve"> </w:t>
      </w:r>
      <w:r w:rsidR="00070F68" w:rsidRPr="00AF0457">
        <w:rPr>
          <w:rFonts w:cstheme="minorHAnsi"/>
          <w:bCs/>
        </w:rPr>
        <w:t>TSH</w:t>
      </w:r>
      <w:r w:rsidR="00BB74F9" w:rsidRPr="00AF0457">
        <w:rPr>
          <w:rFonts w:cstheme="minorHAnsi"/>
          <w:bCs/>
        </w:rPr>
        <w:t xml:space="preserve"> to </w:t>
      </w:r>
      <w:r w:rsidR="00070F68" w:rsidRPr="00AF0457">
        <w:rPr>
          <w:rFonts w:cstheme="minorHAnsi"/>
          <w:bCs/>
        </w:rPr>
        <w:lastRenderedPageBreak/>
        <w:t>T3</w:t>
      </w:r>
      <w:r w:rsidR="00450E9D" w:rsidRPr="00AF0457">
        <w:rPr>
          <w:rFonts w:cstheme="minorHAnsi"/>
          <w:bCs/>
        </w:rPr>
        <w:t xml:space="preserve"> </w:t>
      </w:r>
      <w:r w:rsidR="001D25C9" w:rsidRPr="00AF0457">
        <w:rPr>
          <w:rFonts w:cstheme="minorHAnsi"/>
          <w:bCs/>
        </w:rPr>
        <w:t>w</w:t>
      </w:r>
      <w:r w:rsidR="00450E9D" w:rsidRPr="00AF0457">
        <w:rPr>
          <w:rFonts w:cstheme="minorHAnsi"/>
          <w:bCs/>
        </w:rPr>
        <w:t>ere</w:t>
      </w:r>
      <w:r w:rsidR="00457FEA" w:rsidRPr="00AF0457">
        <w:rPr>
          <w:rFonts w:cstheme="minorHAnsi"/>
          <w:bCs/>
        </w:rPr>
        <w:t xml:space="preserve"> </w:t>
      </w:r>
      <w:r w:rsidR="00450E9D" w:rsidRPr="00AF0457">
        <w:rPr>
          <w:rFonts w:cstheme="minorHAnsi"/>
          <w:bCs/>
        </w:rPr>
        <w:t xml:space="preserve">inversely </w:t>
      </w:r>
      <w:r w:rsidR="009A64B8" w:rsidRPr="00AF0457">
        <w:rPr>
          <w:rFonts w:cstheme="minorHAnsi"/>
          <w:bCs/>
        </w:rPr>
        <w:t>associated</w:t>
      </w:r>
      <w:r w:rsidR="001D25C9" w:rsidRPr="00AF0457">
        <w:rPr>
          <w:rFonts w:cstheme="minorHAnsi"/>
          <w:bCs/>
        </w:rPr>
        <w:t xml:space="preserve"> </w:t>
      </w:r>
      <w:r w:rsidR="007D763D" w:rsidRPr="00AF0457">
        <w:rPr>
          <w:rFonts w:cstheme="minorHAnsi"/>
          <w:bCs/>
        </w:rPr>
        <w:t xml:space="preserve">with </w:t>
      </w:r>
      <w:r w:rsidR="00736FF6" w:rsidRPr="00AF0457">
        <w:rPr>
          <w:rFonts w:cstheme="minorHAnsi"/>
          <w:bCs/>
        </w:rPr>
        <w:t xml:space="preserve">the development of </w:t>
      </w:r>
      <w:r w:rsidR="007D763D" w:rsidRPr="00AF0457">
        <w:rPr>
          <w:rFonts w:cstheme="minorHAnsi"/>
          <w:bCs/>
        </w:rPr>
        <w:t>hypertension</w:t>
      </w:r>
      <w:r w:rsidR="00A839FE" w:rsidRPr="00AF0457">
        <w:rPr>
          <w:rFonts w:cstheme="minorHAnsi"/>
          <w:bCs/>
        </w:rPr>
        <w:t xml:space="preserve"> </w:t>
      </w:r>
      <w:r w:rsidR="00450E9D" w:rsidRPr="00AF0457">
        <w:rPr>
          <w:rFonts w:cstheme="minorHAnsi"/>
          <w:bCs/>
        </w:rPr>
        <w:t>in women</w:t>
      </w:r>
      <w:r w:rsidR="009D0E97" w:rsidRPr="00AF0457">
        <w:rPr>
          <w:rFonts w:cstheme="minorHAnsi"/>
          <w:bCs/>
        </w:rPr>
        <w:t>,</w:t>
      </w:r>
      <w:r w:rsidR="000F2F4D" w:rsidRPr="00AF0457">
        <w:rPr>
          <w:rFonts w:cstheme="minorHAnsi"/>
          <w:bCs/>
        </w:rPr>
        <w:t xml:space="preserve"> </w:t>
      </w:r>
      <w:r w:rsidR="00450E9D" w:rsidRPr="00AF0457">
        <w:rPr>
          <w:rFonts w:cstheme="minorHAnsi"/>
          <w:bCs/>
        </w:rPr>
        <w:t>but positively associated in men</w:t>
      </w:r>
      <w:r w:rsidR="00A839FE" w:rsidRPr="00AF0457">
        <w:rPr>
          <w:rFonts w:cstheme="minorHAnsi"/>
          <w:bCs/>
        </w:rPr>
        <w:t xml:space="preserve">, </w:t>
      </w:r>
      <w:r w:rsidR="00A54A12" w:rsidRPr="00AF0457">
        <w:rPr>
          <w:rFonts w:cstheme="minorHAnsi"/>
          <w:bCs/>
        </w:rPr>
        <w:t xml:space="preserve">consistent with increased sensitivity of the pituitary in women </w:t>
      </w:r>
      <w:r w:rsidR="00F061D8" w:rsidRPr="00AF0457">
        <w:rPr>
          <w:rFonts w:cstheme="minorHAnsi"/>
          <w:bCs/>
        </w:rPr>
        <w:t>and</w:t>
      </w:r>
      <w:r w:rsidR="00A54A12" w:rsidRPr="00AF0457">
        <w:rPr>
          <w:rFonts w:cstheme="minorHAnsi"/>
          <w:bCs/>
        </w:rPr>
        <w:t xml:space="preserve"> decreased sensitivity in men</w:t>
      </w:r>
      <w:r w:rsidR="00DF56AD" w:rsidRPr="00AF0457">
        <w:rPr>
          <w:rFonts w:cstheme="minorHAnsi"/>
          <w:bCs/>
        </w:rPr>
        <w:t>.</w:t>
      </w:r>
      <w:r w:rsidR="004173D1" w:rsidRPr="00AF0457">
        <w:rPr>
          <w:rFonts w:cstheme="minorHAnsi"/>
          <w:bCs/>
        </w:rPr>
        <w:t xml:space="preserve"> </w:t>
      </w:r>
      <w:r w:rsidR="00A839FE" w:rsidRPr="00AF0457">
        <w:rPr>
          <w:rFonts w:cstheme="minorHAnsi"/>
          <w:bCs/>
        </w:rPr>
        <w:t xml:space="preserve">Similarly, </w:t>
      </w:r>
      <w:r w:rsidR="004173D1" w:rsidRPr="00AF0457">
        <w:rPr>
          <w:rFonts w:cstheme="minorHAnsi"/>
          <w:bCs/>
        </w:rPr>
        <w:t xml:space="preserve">increased </w:t>
      </w:r>
      <w:r w:rsidR="00670749" w:rsidRPr="00AF0457">
        <w:rPr>
          <w:rFonts w:cstheme="minorHAnsi"/>
          <w:bCs/>
        </w:rPr>
        <w:t xml:space="preserve">PTFQI, </w:t>
      </w:r>
      <w:r w:rsidR="004173D1" w:rsidRPr="00AF0457">
        <w:rPr>
          <w:rFonts w:cstheme="minorHAnsi"/>
          <w:bCs/>
        </w:rPr>
        <w:t>TSHI</w:t>
      </w:r>
      <w:r w:rsidR="00CB0BEA" w:rsidRPr="00AF0457">
        <w:rPr>
          <w:rFonts w:cstheme="minorHAnsi"/>
          <w:bCs/>
        </w:rPr>
        <w:t>,</w:t>
      </w:r>
      <w:r w:rsidR="004173D1" w:rsidRPr="00AF0457">
        <w:rPr>
          <w:rFonts w:cstheme="minorHAnsi"/>
          <w:bCs/>
        </w:rPr>
        <w:t xml:space="preserve"> and TT4RI</w:t>
      </w:r>
      <w:r w:rsidR="00680C03" w:rsidRPr="00AF0457">
        <w:rPr>
          <w:rFonts w:cstheme="minorHAnsi"/>
          <w:bCs/>
        </w:rPr>
        <w:t xml:space="preserve"> </w:t>
      </w:r>
      <w:r w:rsidR="000D47E9" w:rsidRPr="00AF0457">
        <w:rPr>
          <w:rFonts w:cstheme="minorHAnsi"/>
          <w:bCs/>
        </w:rPr>
        <w:t>w</w:t>
      </w:r>
      <w:r w:rsidR="00A839FE" w:rsidRPr="00AF0457">
        <w:rPr>
          <w:rFonts w:cstheme="minorHAnsi"/>
          <w:bCs/>
        </w:rPr>
        <w:t>ere</w:t>
      </w:r>
      <w:r w:rsidR="000D47E9" w:rsidRPr="00AF0457">
        <w:rPr>
          <w:rFonts w:cstheme="minorHAnsi"/>
          <w:bCs/>
        </w:rPr>
        <w:t xml:space="preserve"> </w:t>
      </w:r>
      <w:r w:rsidR="004173D1" w:rsidRPr="00AF0457">
        <w:rPr>
          <w:rFonts w:cstheme="minorHAnsi"/>
          <w:bCs/>
        </w:rPr>
        <w:t>positively associated with the development of hypertension in men</w:t>
      </w:r>
      <w:r w:rsidR="001E2608" w:rsidRPr="00AF0457">
        <w:rPr>
          <w:rFonts w:cstheme="minorHAnsi"/>
          <w:bCs/>
        </w:rPr>
        <w:t>;</w:t>
      </w:r>
      <w:r w:rsidR="00177F8C" w:rsidRPr="00AF0457">
        <w:rPr>
          <w:rFonts w:cstheme="minorHAnsi"/>
          <w:bCs/>
        </w:rPr>
        <w:t xml:space="preserve"> while</w:t>
      </w:r>
      <w:r w:rsidR="001E2608" w:rsidRPr="00AF0457">
        <w:rPr>
          <w:rFonts w:cstheme="minorHAnsi"/>
          <w:bCs/>
        </w:rPr>
        <w:t xml:space="preserve"> PTFQI and TFQI </w:t>
      </w:r>
      <w:r w:rsidR="006051ED" w:rsidRPr="00AF0457">
        <w:rPr>
          <w:rFonts w:cstheme="minorHAnsi"/>
          <w:bCs/>
        </w:rPr>
        <w:t>w</w:t>
      </w:r>
      <w:r w:rsidR="00A839FE" w:rsidRPr="00AF0457">
        <w:rPr>
          <w:rFonts w:cstheme="minorHAnsi"/>
          <w:bCs/>
        </w:rPr>
        <w:t>ere</w:t>
      </w:r>
      <w:r w:rsidR="006051ED" w:rsidRPr="00AF0457">
        <w:rPr>
          <w:rFonts w:cstheme="minorHAnsi"/>
          <w:bCs/>
        </w:rPr>
        <w:t xml:space="preserve"> inversely associated</w:t>
      </w:r>
      <w:r w:rsidR="008E7862" w:rsidRPr="00AF0457">
        <w:rPr>
          <w:rFonts w:cstheme="minorHAnsi"/>
          <w:bCs/>
        </w:rPr>
        <w:t xml:space="preserve"> with</w:t>
      </w:r>
      <w:r w:rsidR="00177F8C" w:rsidRPr="00AF0457">
        <w:rPr>
          <w:rFonts w:cstheme="minorHAnsi"/>
          <w:bCs/>
        </w:rPr>
        <w:t xml:space="preserve"> the development of prehypertension</w:t>
      </w:r>
      <w:r w:rsidR="00A839FE" w:rsidRPr="00AF0457">
        <w:rPr>
          <w:rFonts w:cstheme="minorHAnsi"/>
          <w:bCs/>
        </w:rPr>
        <w:t xml:space="preserve"> in women</w:t>
      </w:r>
      <w:r w:rsidR="0088149F" w:rsidRPr="00AF0457">
        <w:rPr>
          <w:rFonts w:cstheme="minorHAnsi"/>
          <w:bCs/>
        </w:rPr>
        <w:t xml:space="preserve"> </w:t>
      </w:r>
      <w:r w:rsidR="00A839FE" w:rsidRPr="00AF0457">
        <w:rPr>
          <w:rFonts w:cstheme="minorHAnsi"/>
          <w:bCs/>
        </w:rPr>
        <w:t>also consistent with</w:t>
      </w:r>
      <w:r w:rsidR="0088149F" w:rsidRPr="00AF0457">
        <w:rPr>
          <w:rFonts w:cstheme="minorHAnsi"/>
          <w:bCs/>
        </w:rPr>
        <w:t xml:space="preserve"> increased sensitivity of the pituitary in women at the earlier stages </w:t>
      </w:r>
      <w:r w:rsidR="003C0437" w:rsidRPr="00AF0457">
        <w:rPr>
          <w:rFonts w:cstheme="minorHAnsi"/>
          <w:bCs/>
        </w:rPr>
        <w:t>in the</w:t>
      </w:r>
      <w:r w:rsidR="0088149F" w:rsidRPr="00AF0457">
        <w:rPr>
          <w:rFonts w:cstheme="minorHAnsi"/>
          <w:bCs/>
        </w:rPr>
        <w:t xml:space="preserve"> development of hypertension</w:t>
      </w:r>
      <w:r w:rsidR="004173D1" w:rsidRPr="00AF0457">
        <w:rPr>
          <w:rFonts w:cstheme="minorHAnsi"/>
          <w:bCs/>
        </w:rPr>
        <w:t>.</w:t>
      </w:r>
    </w:p>
    <w:p w14:paraId="4156AA22" w14:textId="0D86F0A8" w:rsidR="001414EB" w:rsidRPr="00AF0457" w:rsidRDefault="00BE524C" w:rsidP="00CC21FA">
      <w:pPr>
        <w:spacing w:after="40" w:line="480" w:lineRule="auto"/>
        <w:ind w:firstLine="720"/>
        <w:rPr>
          <w:rFonts w:cstheme="minorHAnsi"/>
          <w:bCs/>
        </w:rPr>
      </w:pPr>
      <w:r w:rsidRPr="00AF0457">
        <w:rPr>
          <w:rFonts w:cstheme="minorHAnsi"/>
          <w:bCs/>
        </w:rPr>
        <w:t xml:space="preserve">In general, </w:t>
      </w:r>
      <w:r w:rsidR="000F2F4D" w:rsidRPr="00AF0457">
        <w:rPr>
          <w:rFonts w:cstheme="minorHAnsi"/>
          <w:bCs/>
        </w:rPr>
        <w:t>we observed</w:t>
      </w:r>
      <w:r w:rsidRPr="00AF0457">
        <w:rPr>
          <w:rFonts w:cstheme="minorHAnsi"/>
          <w:bCs/>
        </w:rPr>
        <w:t xml:space="preserve"> fewer significant associations in </w:t>
      </w:r>
      <w:r w:rsidR="008A19C8" w:rsidRPr="00AF0457">
        <w:rPr>
          <w:rFonts w:cstheme="minorHAnsi"/>
          <w:bCs/>
        </w:rPr>
        <w:t xml:space="preserve">the </w:t>
      </w:r>
      <w:r w:rsidRPr="00AF0457">
        <w:rPr>
          <w:rFonts w:cstheme="minorHAnsi"/>
          <w:bCs/>
        </w:rPr>
        <w:t>analyses of euthyroid individuals compared to those of the overall cohort, with the relationships of TSH and TSH/FT4 ratio with</w:t>
      </w:r>
      <w:r w:rsidR="001414EB" w:rsidRPr="00AF0457">
        <w:rPr>
          <w:rFonts w:cstheme="minorHAnsi"/>
          <w:bCs/>
        </w:rPr>
        <w:t xml:space="preserve"> </w:t>
      </w:r>
      <w:r w:rsidRPr="00AF0457">
        <w:rPr>
          <w:rFonts w:cstheme="minorHAnsi"/>
          <w:bCs/>
        </w:rPr>
        <w:t>DBP in men and postmenopausal women and T3, TSH</w:t>
      </w:r>
      <w:r w:rsidR="00CB0BEA" w:rsidRPr="00AF0457">
        <w:rPr>
          <w:rFonts w:cstheme="minorHAnsi"/>
          <w:bCs/>
        </w:rPr>
        <w:t>,</w:t>
      </w:r>
      <w:r w:rsidRPr="00AF0457">
        <w:rPr>
          <w:rFonts w:cstheme="minorHAnsi"/>
          <w:bCs/>
        </w:rPr>
        <w:t xml:space="preserve"> and TSH/FT4 ratio with the development of hypertension in men becoming non-significant, although the inverse associations of TSH and TSH/FT4 ratio with pulse pressure became significant in women. These findings suggest that thyroid hormone levels outside of the normal reference range </w:t>
      </w:r>
      <w:r w:rsidR="00EC2AFC" w:rsidRPr="00AF0457">
        <w:rPr>
          <w:rFonts w:cstheme="minorHAnsi"/>
          <w:bCs/>
        </w:rPr>
        <w:t>may be</w:t>
      </w:r>
      <w:r w:rsidRPr="00AF0457">
        <w:rPr>
          <w:rFonts w:cstheme="minorHAnsi"/>
          <w:bCs/>
        </w:rPr>
        <w:t xml:space="preserve"> more important in </w:t>
      </w:r>
      <w:r w:rsidR="00E93DD6" w:rsidRPr="00AF0457">
        <w:rPr>
          <w:rFonts w:cstheme="minorHAnsi"/>
          <w:bCs/>
        </w:rPr>
        <w:t>BP</w:t>
      </w:r>
      <w:r w:rsidRPr="00AF0457">
        <w:rPr>
          <w:rFonts w:cstheme="minorHAnsi"/>
          <w:bCs/>
        </w:rPr>
        <w:t xml:space="preserve"> regulation than variation within the normal reference range</w:t>
      </w:r>
      <w:r w:rsidR="00315784" w:rsidRPr="00AF0457">
        <w:rPr>
          <w:rFonts w:cstheme="minorHAnsi"/>
          <w:bCs/>
        </w:rPr>
        <w:t xml:space="preserve"> in this population</w:t>
      </w:r>
      <w:r w:rsidRPr="00AF0457">
        <w:rPr>
          <w:rFonts w:cstheme="minorHAnsi"/>
          <w:bCs/>
        </w:rPr>
        <w:t>.</w:t>
      </w:r>
    </w:p>
    <w:p w14:paraId="4FDD83D0" w14:textId="5DDDBA06" w:rsidR="00444E16" w:rsidRPr="00AF0457" w:rsidRDefault="00680C03" w:rsidP="00CC21FA">
      <w:pPr>
        <w:spacing w:after="40" w:line="480" w:lineRule="auto"/>
        <w:ind w:firstLine="720"/>
        <w:rPr>
          <w:rFonts w:cstheme="minorHAnsi"/>
          <w:bCs/>
          <w:vertAlign w:val="superscript"/>
        </w:rPr>
      </w:pPr>
      <w:r w:rsidRPr="00AF0457">
        <w:rPr>
          <w:rFonts w:cstheme="minorHAnsi"/>
          <w:bCs/>
        </w:rPr>
        <w:t>The present</w:t>
      </w:r>
      <w:r w:rsidR="00602C5E" w:rsidRPr="00AF0457">
        <w:rPr>
          <w:rFonts w:cstheme="minorHAnsi"/>
          <w:bCs/>
        </w:rPr>
        <w:t xml:space="preserve"> study</w:t>
      </w:r>
      <w:r w:rsidR="00974372" w:rsidRPr="00AF0457">
        <w:rPr>
          <w:rFonts w:cstheme="minorHAnsi"/>
          <w:bCs/>
        </w:rPr>
        <w:t xml:space="preserve"> provide</w:t>
      </w:r>
      <w:r w:rsidR="00602C5E" w:rsidRPr="00AF0457">
        <w:rPr>
          <w:rFonts w:cstheme="minorHAnsi"/>
          <w:bCs/>
        </w:rPr>
        <w:t>s</w:t>
      </w:r>
      <w:r w:rsidR="00974372" w:rsidRPr="00AF0457">
        <w:rPr>
          <w:rFonts w:cstheme="minorHAnsi"/>
          <w:bCs/>
        </w:rPr>
        <w:t xml:space="preserve"> new insights on </w:t>
      </w:r>
      <w:r w:rsidR="00CB0BEA" w:rsidRPr="00AF0457">
        <w:rPr>
          <w:rFonts w:cstheme="minorHAnsi"/>
          <w:bCs/>
        </w:rPr>
        <w:t xml:space="preserve">the </w:t>
      </w:r>
      <w:r w:rsidR="00974372" w:rsidRPr="00AF0457">
        <w:rPr>
          <w:rFonts w:cstheme="minorHAnsi"/>
          <w:bCs/>
        </w:rPr>
        <w:t xml:space="preserve">associations of </w:t>
      </w:r>
      <w:r w:rsidR="00693253" w:rsidRPr="00AF0457">
        <w:rPr>
          <w:rFonts w:cstheme="minorHAnsi"/>
          <w:bCs/>
        </w:rPr>
        <w:t>thyroid-related</w:t>
      </w:r>
      <w:r w:rsidR="00974372" w:rsidRPr="00AF0457">
        <w:rPr>
          <w:rFonts w:cstheme="minorHAnsi"/>
          <w:bCs/>
        </w:rPr>
        <w:t xml:space="preserve"> hormones with the development of hypertension</w:t>
      </w:r>
      <w:r w:rsidR="00B42660">
        <w:rPr>
          <w:rFonts w:cstheme="minorHAnsi"/>
          <w:bCs/>
        </w:rPr>
        <w:t xml:space="preserve"> in a heterogenous Hispanic/Latino population</w:t>
      </w:r>
      <w:r w:rsidR="00974372" w:rsidRPr="00AF0457">
        <w:rPr>
          <w:rFonts w:cstheme="minorHAnsi"/>
          <w:bCs/>
        </w:rPr>
        <w:t xml:space="preserve"> using updated ACC/AHA guidelines. </w:t>
      </w:r>
      <w:r w:rsidR="00224CBC" w:rsidRPr="00AF0457">
        <w:rPr>
          <w:rFonts w:cstheme="minorHAnsi"/>
          <w:bCs/>
        </w:rPr>
        <w:t>We</w:t>
      </w:r>
      <w:r w:rsidR="00804619" w:rsidRPr="00AF0457">
        <w:rPr>
          <w:rFonts w:cstheme="minorHAnsi"/>
          <w:bCs/>
        </w:rPr>
        <w:t xml:space="preserve"> extended pr</w:t>
      </w:r>
      <w:r w:rsidR="00FE33A8" w:rsidRPr="00AF0457">
        <w:rPr>
          <w:rFonts w:cstheme="minorHAnsi"/>
          <w:bCs/>
        </w:rPr>
        <w:t>evious</w:t>
      </w:r>
      <w:r w:rsidR="00804619" w:rsidRPr="00AF0457">
        <w:rPr>
          <w:rFonts w:cstheme="minorHAnsi"/>
          <w:bCs/>
        </w:rPr>
        <w:t xml:space="preserve"> studies and</w:t>
      </w:r>
      <w:r w:rsidR="00224CBC" w:rsidRPr="00AF0457">
        <w:rPr>
          <w:rFonts w:cstheme="minorHAnsi"/>
          <w:bCs/>
        </w:rPr>
        <w:t xml:space="preserve"> </w:t>
      </w:r>
      <w:r w:rsidR="00804619" w:rsidRPr="00AF0457">
        <w:rPr>
          <w:rFonts w:cstheme="minorHAnsi"/>
          <w:bCs/>
        </w:rPr>
        <w:t xml:space="preserve">have </w:t>
      </w:r>
      <w:r w:rsidR="00224CBC" w:rsidRPr="00AF0457">
        <w:rPr>
          <w:rFonts w:cstheme="minorHAnsi"/>
          <w:bCs/>
        </w:rPr>
        <w:t>address</w:t>
      </w:r>
      <w:r w:rsidR="00602C5E" w:rsidRPr="00AF0457">
        <w:rPr>
          <w:rFonts w:cstheme="minorHAnsi"/>
          <w:bCs/>
        </w:rPr>
        <w:t>ed</w:t>
      </w:r>
      <w:r w:rsidR="00224CBC" w:rsidRPr="00AF0457">
        <w:rPr>
          <w:rFonts w:cstheme="minorHAnsi"/>
          <w:bCs/>
        </w:rPr>
        <w:t xml:space="preserve"> questions</w:t>
      </w:r>
      <w:r w:rsidR="00AB35C9" w:rsidRPr="00AF0457">
        <w:rPr>
          <w:rFonts w:cstheme="minorHAnsi"/>
          <w:bCs/>
        </w:rPr>
        <w:t xml:space="preserve"> </w:t>
      </w:r>
      <w:r w:rsidR="00971F92" w:rsidRPr="00AF0457">
        <w:rPr>
          <w:rFonts w:cstheme="minorHAnsi"/>
          <w:bCs/>
        </w:rPr>
        <w:t>related to sex-specific associations in</w:t>
      </w:r>
      <w:r w:rsidR="00AB35C9" w:rsidRPr="00AF0457">
        <w:rPr>
          <w:rFonts w:cstheme="minorHAnsi"/>
          <w:bCs/>
        </w:rPr>
        <w:t xml:space="preserve"> the</w:t>
      </w:r>
      <w:r w:rsidR="002D73BB" w:rsidRPr="00AF0457">
        <w:rPr>
          <w:rFonts w:cstheme="minorHAnsi"/>
          <w:bCs/>
        </w:rPr>
        <w:t xml:space="preserve"> </w:t>
      </w:r>
      <w:r w:rsidRPr="00AF0457">
        <w:rPr>
          <w:rFonts w:cstheme="minorHAnsi"/>
          <w:bCs/>
        </w:rPr>
        <w:t xml:space="preserve">complex </w:t>
      </w:r>
      <w:r w:rsidR="00C66391" w:rsidRPr="00AF0457">
        <w:rPr>
          <w:rFonts w:cstheme="minorHAnsi"/>
          <w:bCs/>
        </w:rPr>
        <w:t>interplay</w:t>
      </w:r>
      <w:r w:rsidR="002D73BB" w:rsidRPr="00AF0457">
        <w:rPr>
          <w:rFonts w:cstheme="minorHAnsi"/>
          <w:bCs/>
        </w:rPr>
        <w:t xml:space="preserve"> of</w:t>
      </w:r>
      <w:r w:rsidR="006B57E9" w:rsidRPr="00AF0457">
        <w:rPr>
          <w:rFonts w:cstheme="minorHAnsi"/>
          <w:bCs/>
        </w:rPr>
        <w:t xml:space="preserve"> thyroid-related hormones</w:t>
      </w:r>
      <w:r w:rsidR="00AB35C9" w:rsidRPr="00AF0457">
        <w:rPr>
          <w:rFonts w:cstheme="minorHAnsi"/>
          <w:bCs/>
        </w:rPr>
        <w:t xml:space="preserve"> and</w:t>
      </w:r>
      <w:r w:rsidR="006B57E9" w:rsidRPr="00AF0457">
        <w:rPr>
          <w:rFonts w:cstheme="minorHAnsi"/>
          <w:bCs/>
        </w:rPr>
        <w:t xml:space="preserve"> </w:t>
      </w:r>
      <w:r w:rsidR="00D74D1C" w:rsidRPr="00AF0457">
        <w:rPr>
          <w:rFonts w:cstheme="minorHAnsi"/>
          <w:bCs/>
        </w:rPr>
        <w:t>measures of pituitary sensitivity</w:t>
      </w:r>
      <w:r w:rsidR="008B76BE" w:rsidRPr="00AF0457">
        <w:rPr>
          <w:rFonts w:cstheme="minorHAnsi"/>
          <w:bCs/>
        </w:rPr>
        <w:t xml:space="preserve"> to thyroid hormones</w:t>
      </w:r>
      <w:r w:rsidR="00D74D1C" w:rsidRPr="00AF0457">
        <w:rPr>
          <w:rFonts w:cstheme="minorHAnsi"/>
          <w:bCs/>
        </w:rPr>
        <w:t xml:space="preserve"> </w:t>
      </w:r>
      <w:r w:rsidR="002E0DC9" w:rsidRPr="00AF0457">
        <w:rPr>
          <w:rFonts w:cstheme="minorHAnsi"/>
          <w:bCs/>
        </w:rPr>
        <w:t xml:space="preserve">with </w:t>
      </w:r>
      <w:r w:rsidR="008F080F" w:rsidRPr="00AF0457">
        <w:rPr>
          <w:rFonts w:cstheme="minorHAnsi"/>
          <w:bCs/>
        </w:rPr>
        <w:t>BP</w:t>
      </w:r>
      <w:r w:rsidR="002D6DDB" w:rsidRPr="00AF0457">
        <w:rPr>
          <w:rFonts w:cstheme="minorHAnsi"/>
          <w:bCs/>
        </w:rPr>
        <w:t xml:space="preserve"> change</w:t>
      </w:r>
      <w:r w:rsidR="002E0DC9" w:rsidRPr="00AF0457">
        <w:rPr>
          <w:rFonts w:cstheme="minorHAnsi"/>
          <w:bCs/>
        </w:rPr>
        <w:t xml:space="preserve"> and</w:t>
      </w:r>
      <w:r w:rsidR="008F080F" w:rsidRPr="00AF0457">
        <w:rPr>
          <w:rFonts w:cstheme="minorHAnsi"/>
          <w:bCs/>
        </w:rPr>
        <w:t xml:space="preserve"> stages </w:t>
      </w:r>
      <w:r w:rsidR="00827868" w:rsidRPr="00AF0457">
        <w:rPr>
          <w:rFonts w:cstheme="minorHAnsi"/>
          <w:bCs/>
        </w:rPr>
        <w:t>in the development of</w:t>
      </w:r>
      <w:r w:rsidR="00CB0BEA" w:rsidRPr="00AF0457">
        <w:rPr>
          <w:rFonts w:cstheme="minorHAnsi"/>
          <w:bCs/>
        </w:rPr>
        <w:t xml:space="preserve"> hypertension</w:t>
      </w:r>
      <w:r w:rsidR="00AB35C9" w:rsidRPr="00AF0457">
        <w:rPr>
          <w:rFonts w:cstheme="minorHAnsi"/>
          <w:bCs/>
        </w:rPr>
        <w:t>.</w:t>
      </w:r>
      <w:r w:rsidR="001414EB" w:rsidRPr="00AF0457">
        <w:rPr>
          <w:rFonts w:cstheme="minorHAnsi"/>
          <w:bCs/>
        </w:rPr>
        <w:t xml:space="preserve"> </w:t>
      </w:r>
      <w:r w:rsidR="00A839FE" w:rsidRPr="00AF0457">
        <w:rPr>
          <w:rFonts w:cstheme="minorHAnsi"/>
          <w:bCs/>
        </w:rPr>
        <w:t xml:space="preserve">Our results with T3 are consistent with </w:t>
      </w:r>
      <w:r w:rsidR="00AD6F44" w:rsidRPr="00AF0457">
        <w:rPr>
          <w:rFonts w:cstheme="minorHAnsi"/>
          <w:bCs/>
        </w:rPr>
        <w:t>the majority of</w:t>
      </w:r>
      <w:r w:rsidR="00A839FE" w:rsidRPr="00AF0457">
        <w:rPr>
          <w:rFonts w:cstheme="minorHAnsi"/>
          <w:bCs/>
        </w:rPr>
        <w:t xml:space="preserve"> studies</w:t>
      </w:r>
      <w:r w:rsidR="00AD7F7E">
        <w:rPr>
          <w:rFonts w:cstheme="minorHAnsi"/>
          <w:bCs/>
        </w:rPr>
        <w:t xml:space="preserve"> conducted in other populations</w:t>
      </w:r>
      <w:r w:rsidR="00A839FE" w:rsidRPr="00AF0457">
        <w:rPr>
          <w:rFonts w:cstheme="minorHAnsi"/>
          <w:bCs/>
        </w:rPr>
        <w:t>. Similar to our study</w:t>
      </w:r>
      <w:r w:rsidR="00643B78" w:rsidRPr="00AF0457">
        <w:rPr>
          <w:rFonts w:cstheme="minorHAnsi"/>
          <w:bCs/>
        </w:rPr>
        <w:t>,</w:t>
      </w:r>
      <w:r w:rsidR="00A839FE" w:rsidRPr="00AF0457">
        <w:rPr>
          <w:rFonts w:cstheme="minorHAnsi"/>
          <w:bCs/>
        </w:rPr>
        <w:t xml:space="preserve"> T3 was positively associated with hypertension and </w:t>
      </w:r>
      <w:r w:rsidR="00643B78" w:rsidRPr="00AF0457">
        <w:rPr>
          <w:rFonts w:cstheme="minorHAnsi"/>
          <w:bCs/>
        </w:rPr>
        <w:t>BP</w:t>
      </w:r>
      <w:r w:rsidR="00A839FE" w:rsidRPr="00AF0457">
        <w:rPr>
          <w:rFonts w:cstheme="minorHAnsi"/>
          <w:bCs/>
        </w:rPr>
        <w:t xml:space="preserve"> </w:t>
      </w:r>
      <w:r w:rsidR="004924AF">
        <w:rPr>
          <w:rFonts w:cstheme="minorHAnsi"/>
          <w:bCs/>
        </w:rPr>
        <w:t xml:space="preserve">within and outside the reference range in studies conducted </w:t>
      </w:r>
      <w:r w:rsidR="00C0112D">
        <w:rPr>
          <w:rFonts w:cstheme="minorHAnsi"/>
          <w:bCs/>
        </w:rPr>
        <w:t xml:space="preserve">in </w:t>
      </w:r>
      <w:r w:rsidR="004924AF">
        <w:rPr>
          <w:rFonts w:cstheme="minorHAnsi"/>
          <w:bCs/>
        </w:rPr>
        <w:t>United States, European and Chinese</w:t>
      </w:r>
      <w:r w:rsidR="00C0112D">
        <w:rPr>
          <w:rFonts w:cstheme="minorHAnsi"/>
          <w:bCs/>
        </w:rPr>
        <w:t xml:space="preserve"> populations</w:t>
      </w:r>
      <w:r w:rsidR="00152CEE">
        <w:rPr>
          <w:rFonts w:cstheme="minorHAnsi"/>
          <w:bCs/>
        </w:rPr>
        <w:t>.</w:t>
      </w:r>
      <w:r w:rsidR="00ED6C61" w:rsidRPr="00ED6C61">
        <w:rPr>
          <w:rFonts w:cstheme="minorHAnsi"/>
          <w:bCs/>
          <w:vertAlign w:val="superscript"/>
        </w:rPr>
        <w:fldChar w:fldCharType="begin"/>
      </w:r>
      <w:r w:rsidR="00ED6C61" w:rsidRPr="00ED6C61">
        <w:rPr>
          <w:rFonts w:cstheme="minorHAnsi"/>
          <w:bCs/>
          <w:vertAlign w:val="superscript"/>
        </w:rPr>
        <w:instrText xml:space="preserve"> NOTEREF _Ref160033186 \h </w:instrText>
      </w:r>
      <w:r w:rsidR="00ED6C61" w:rsidRPr="00ED6C61">
        <w:rPr>
          <w:rFonts w:cstheme="minorHAnsi"/>
          <w:bCs/>
          <w:vertAlign w:val="superscript"/>
        </w:rPr>
      </w:r>
      <w:r w:rsidR="00ED6C61">
        <w:rPr>
          <w:rFonts w:cstheme="minorHAnsi"/>
          <w:bCs/>
          <w:vertAlign w:val="superscript"/>
        </w:rPr>
        <w:instrText xml:space="preserve"> \* MERGEFORMAT </w:instrText>
      </w:r>
      <w:r w:rsidR="00ED6C61" w:rsidRPr="00ED6C61">
        <w:rPr>
          <w:rFonts w:cstheme="minorHAnsi"/>
          <w:bCs/>
          <w:vertAlign w:val="superscript"/>
        </w:rPr>
        <w:fldChar w:fldCharType="separate"/>
      </w:r>
      <w:r w:rsidR="000F6C53">
        <w:rPr>
          <w:rFonts w:cstheme="minorHAnsi"/>
          <w:bCs/>
          <w:vertAlign w:val="superscript"/>
        </w:rPr>
        <w:t>34</w:t>
      </w:r>
      <w:r w:rsidR="00ED6C61" w:rsidRPr="00ED6C61">
        <w:rPr>
          <w:rFonts w:cstheme="minorHAnsi"/>
          <w:bCs/>
          <w:vertAlign w:val="superscript"/>
        </w:rPr>
        <w:fldChar w:fldCharType="end"/>
      </w:r>
      <w:r w:rsidR="00ED6C61" w:rsidRPr="00ED6C61">
        <w:rPr>
          <w:rFonts w:cstheme="minorHAnsi"/>
          <w:bCs/>
          <w:vertAlign w:val="superscript"/>
        </w:rPr>
        <w:t>,</w:t>
      </w:r>
      <w:r w:rsidR="00ED6C61" w:rsidRPr="00ED6C61">
        <w:rPr>
          <w:rFonts w:cstheme="minorHAnsi"/>
          <w:bCs/>
          <w:vertAlign w:val="superscript"/>
        </w:rPr>
        <w:fldChar w:fldCharType="begin"/>
      </w:r>
      <w:r w:rsidR="00ED6C61" w:rsidRPr="00ED6C61">
        <w:rPr>
          <w:rFonts w:cstheme="minorHAnsi"/>
          <w:bCs/>
          <w:vertAlign w:val="superscript"/>
        </w:rPr>
        <w:instrText xml:space="preserve"> NOTEREF _Ref160033191 \h </w:instrText>
      </w:r>
      <w:r w:rsidR="00ED6C61" w:rsidRPr="00ED6C61">
        <w:rPr>
          <w:rFonts w:cstheme="minorHAnsi"/>
          <w:bCs/>
          <w:vertAlign w:val="superscript"/>
        </w:rPr>
      </w:r>
      <w:r w:rsidR="00ED6C61">
        <w:rPr>
          <w:rFonts w:cstheme="minorHAnsi"/>
          <w:bCs/>
          <w:vertAlign w:val="superscript"/>
        </w:rPr>
        <w:instrText xml:space="preserve"> \* MERGEFORMAT </w:instrText>
      </w:r>
      <w:r w:rsidR="00ED6C61" w:rsidRPr="00ED6C61">
        <w:rPr>
          <w:rFonts w:cstheme="minorHAnsi"/>
          <w:bCs/>
          <w:vertAlign w:val="superscript"/>
        </w:rPr>
        <w:fldChar w:fldCharType="separate"/>
      </w:r>
      <w:r w:rsidR="000F6C53">
        <w:rPr>
          <w:rFonts w:cstheme="minorHAnsi"/>
          <w:bCs/>
          <w:vertAlign w:val="superscript"/>
        </w:rPr>
        <w:t>35</w:t>
      </w:r>
      <w:r w:rsidR="00ED6C61" w:rsidRPr="00ED6C61">
        <w:rPr>
          <w:rFonts w:cstheme="minorHAnsi"/>
          <w:bCs/>
          <w:vertAlign w:val="superscript"/>
        </w:rPr>
        <w:fldChar w:fldCharType="end"/>
      </w:r>
      <w:r w:rsidR="00ED6C61" w:rsidRPr="00ED6C61">
        <w:rPr>
          <w:rFonts w:cstheme="minorHAnsi"/>
          <w:bCs/>
          <w:vertAlign w:val="superscript"/>
        </w:rPr>
        <w:t>,</w:t>
      </w:r>
      <w:r w:rsidR="00ED6C61" w:rsidRPr="00ED6C61">
        <w:rPr>
          <w:rFonts w:cstheme="minorHAnsi"/>
          <w:bCs/>
          <w:vertAlign w:val="superscript"/>
        </w:rPr>
        <w:fldChar w:fldCharType="begin"/>
      </w:r>
      <w:r w:rsidR="00ED6C61" w:rsidRPr="00ED6C61">
        <w:rPr>
          <w:rFonts w:cstheme="minorHAnsi"/>
          <w:bCs/>
          <w:vertAlign w:val="superscript"/>
        </w:rPr>
        <w:instrText xml:space="preserve"> NOTEREF _Ref160033201 \h </w:instrText>
      </w:r>
      <w:r w:rsidR="00ED6C61" w:rsidRPr="00ED6C61">
        <w:rPr>
          <w:rFonts w:cstheme="minorHAnsi"/>
          <w:bCs/>
          <w:vertAlign w:val="superscript"/>
        </w:rPr>
      </w:r>
      <w:r w:rsidR="00ED6C61">
        <w:rPr>
          <w:rFonts w:cstheme="minorHAnsi"/>
          <w:bCs/>
          <w:vertAlign w:val="superscript"/>
        </w:rPr>
        <w:instrText xml:space="preserve"> \* MERGEFORMAT </w:instrText>
      </w:r>
      <w:r w:rsidR="00ED6C61" w:rsidRPr="00ED6C61">
        <w:rPr>
          <w:rFonts w:cstheme="minorHAnsi"/>
          <w:bCs/>
          <w:vertAlign w:val="superscript"/>
        </w:rPr>
        <w:fldChar w:fldCharType="separate"/>
      </w:r>
      <w:r w:rsidR="000F6C53">
        <w:rPr>
          <w:rFonts w:cstheme="minorHAnsi"/>
          <w:bCs/>
          <w:vertAlign w:val="superscript"/>
        </w:rPr>
        <w:t>36</w:t>
      </w:r>
      <w:r w:rsidR="00ED6C61" w:rsidRPr="00ED6C61">
        <w:rPr>
          <w:rFonts w:cstheme="minorHAnsi"/>
          <w:bCs/>
          <w:vertAlign w:val="superscript"/>
        </w:rPr>
        <w:fldChar w:fldCharType="end"/>
      </w:r>
      <w:r w:rsidR="00ED6C61" w:rsidRPr="00ED6C61">
        <w:rPr>
          <w:rFonts w:cstheme="minorHAnsi"/>
          <w:bCs/>
          <w:vertAlign w:val="superscript"/>
        </w:rPr>
        <w:t>,</w:t>
      </w:r>
      <w:r w:rsidR="00ED6C61" w:rsidRPr="00ED6C61">
        <w:rPr>
          <w:rFonts w:cstheme="minorHAnsi"/>
          <w:bCs/>
          <w:vertAlign w:val="superscript"/>
        </w:rPr>
        <w:fldChar w:fldCharType="begin"/>
      </w:r>
      <w:r w:rsidR="00ED6C61" w:rsidRPr="00ED6C61">
        <w:rPr>
          <w:rFonts w:cstheme="minorHAnsi"/>
          <w:bCs/>
          <w:vertAlign w:val="superscript"/>
        </w:rPr>
        <w:instrText xml:space="preserve"> NOTEREF _Ref160033204 \h </w:instrText>
      </w:r>
      <w:r w:rsidR="00ED6C61" w:rsidRPr="00ED6C61">
        <w:rPr>
          <w:rFonts w:cstheme="minorHAnsi"/>
          <w:bCs/>
          <w:vertAlign w:val="superscript"/>
        </w:rPr>
      </w:r>
      <w:r w:rsidR="00ED6C61">
        <w:rPr>
          <w:rFonts w:cstheme="minorHAnsi"/>
          <w:bCs/>
          <w:vertAlign w:val="superscript"/>
        </w:rPr>
        <w:instrText xml:space="preserve"> \* MERGEFORMAT </w:instrText>
      </w:r>
      <w:r w:rsidR="00ED6C61" w:rsidRPr="00ED6C61">
        <w:rPr>
          <w:rFonts w:cstheme="minorHAnsi"/>
          <w:bCs/>
          <w:vertAlign w:val="superscript"/>
        </w:rPr>
        <w:fldChar w:fldCharType="separate"/>
      </w:r>
      <w:r w:rsidR="000F6C53">
        <w:rPr>
          <w:rFonts w:cstheme="minorHAnsi"/>
          <w:bCs/>
          <w:vertAlign w:val="superscript"/>
        </w:rPr>
        <w:t>37</w:t>
      </w:r>
      <w:r w:rsidR="00ED6C61" w:rsidRPr="00ED6C61">
        <w:rPr>
          <w:rFonts w:cstheme="minorHAnsi"/>
          <w:bCs/>
          <w:vertAlign w:val="superscript"/>
        </w:rPr>
        <w:fldChar w:fldCharType="end"/>
      </w:r>
      <w:r w:rsidR="00A82507" w:rsidRPr="00AF0457">
        <w:rPr>
          <w:rFonts w:cstheme="minorHAnsi"/>
          <w:bCs/>
        </w:rPr>
        <w:t xml:space="preserve"> </w:t>
      </w:r>
      <w:r w:rsidR="00A839FE" w:rsidRPr="00AF0457">
        <w:rPr>
          <w:rFonts w:cstheme="minorHAnsi"/>
          <w:bCs/>
        </w:rPr>
        <w:t>Jamal et al</w:t>
      </w:r>
      <w:r w:rsidR="00AB1154" w:rsidRPr="00AF0457">
        <w:rPr>
          <w:rFonts w:cstheme="minorHAnsi"/>
          <w:bCs/>
        </w:rPr>
        <w:t xml:space="preserve">, however, </w:t>
      </w:r>
      <w:r w:rsidR="00A839FE" w:rsidRPr="00AF0457">
        <w:rPr>
          <w:rFonts w:cstheme="minorHAnsi"/>
          <w:bCs/>
        </w:rPr>
        <w:t xml:space="preserve">reported associations of FT3 with pulse rate in both men and women, </w:t>
      </w:r>
      <w:r w:rsidR="00AB1154" w:rsidRPr="00AF0457">
        <w:rPr>
          <w:rFonts w:cstheme="minorHAnsi"/>
          <w:bCs/>
        </w:rPr>
        <w:t>while</w:t>
      </w:r>
      <w:r w:rsidR="00A839FE" w:rsidRPr="00AF0457">
        <w:rPr>
          <w:rFonts w:cstheme="minorHAnsi"/>
          <w:bCs/>
        </w:rPr>
        <w:t xml:space="preserve"> FT4 but not T3 was associated with pulse pressure in their sample of Chinese adults</w:t>
      </w:r>
      <w:r w:rsidR="00C451C1">
        <w:rPr>
          <w:rFonts w:cstheme="minorHAnsi"/>
          <w:bCs/>
        </w:rPr>
        <w:t>.</w:t>
      </w:r>
      <w:r w:rsidR="00D25343" w:rsidRPr="00D25343">
        <w:rPr>
          <w:rFonts w:cstheme="minorHAnsi"/>
          <w:bCs/>
          <w:vertAlign w:val="superscript"/>
        </w:rPr>
        <w:fldChar w:fldCharType="begin"/>
      </w:r>
      <w:r w:rsidR="00D25343" w:rsidRPr="00D25343">
        <w:rPr>
          <w:rFonts w:cstheme="minorHAnsi"/>
          <w:bCs/>
          <w:vertAlign w:val="superscript"/>
        </w:rPr>
        <w:instrText xml:space="preserve"> NOTEREF _Ref160033139 \h </w:instrText>
      </w:r>
      <w:r w:rsidR="00D25343" w:rsidRPr="00D25343">
        <w:rPr>
          <w:rFonts w:cstheme="minorHAnsi"/>
          <w:bCs/>
          <w:vertAlign w:val="superscript"/>
        </w:rPr>
      </w:r>
      <w:r w:rsidR="00D25343">
        <w:rPr>
          <w:rFonts w:cstheme="minorHAnsi"/>
          <w:bCs/>
          <w:vertAlign w:val="superscript"/>
        </w:rPr>
        <w:instrText xml:space="preserve"> \* MERGEFORMAT </w:instrText>
      </w:r>
      <w:r w:rsidR="00D25343" w:rsidRPr="00D25343">
        <w:rPr>
          <w:rFonts w:cstheme="minorHAnsi"/>
          <w:bCs/>
          <w:vertAlign w:val="superscript"/>
        </w:rPr>
        <w:fldChar w:fldCharType="separate"/>
      </w:r>
      <w:r w:rsidR="000F6C53">
        <w:rPr>
          <w:rFonts w:cstheme="minorHAnsi"/>
          <w:bCs/>
          <w:vertAlign w:val="superscript"/>
        </w:rPr>
        <w:t>44</w:t>
      </w:r>
      <w:r w:rsidR="00D25343" w:rsidRPr="00D25343">
        <w:rPr>
          <w:rFonts w:cstheme="minorHAnsi"/>
          <w:bCs/>
          <w:vertAlign w:val="superscript"/>
        </w:rPr>
        <w:fldChar w:fldCharType="end"/>
      </w:r>
      <w:r w:rsidR="00AB1154" w:rsidRPr="00AF0457">
        <w:rPr>
          <w:rFonts w:cstheme="minorHAnsi"/>
          <w:bCs/>
        </w:rPr>
        <w:t xml:space="preserve"> Our findings of increased pulse pressure with T3 in both men and postmenopausal women warrants additional investigation given that pulse pressure is a marker of arterial stiffness and increase</w:t>
      </w:r>
      <w:r w:rsidR="00D30DDA" w:rsidRPr="00AF0457">
        <w:rPr>
          <w:rFonts w:cstheme="minorHAnsi"/>
          <w:bCs/>
        </w:rPr>
        <w:t>d</w:t>
      </w:r>
      <w:r w:rsidR="00AB1154" w:rsidRPr="00AF0457">
        <w:rPr>
          <w:rFonts w:cstheme="minorHAnsi"/>
          <w:bCs/>
        </w:rPr>
        <w:t xml:space="preserve"> risk of CVD.</w:t>
      </w:r>
      <w:r w:rsidR="00AB1154" w:rsidRPr="00AF0457">
        <w:rPr>
          <w:rStyle w:val="EndnoteReference"/>
          <w:rFonts w:cstheme="minorHAnsi"/>
          <w:bCs/>
        </w:rPr>
        <w:endnoteReference w:id="66"/>
      </w:r>
      <w:r w:rsidR="00AB1154" w:rsidRPr="00AF0457">
        <w:rPr>
          <w:rFonts w:cstheme="minorHAnsi"/>
          <w:bCs/>
          <w:vertAlign w:val="superscript"/>
        </w:rPr>
        <w:t>,</w:t>
      </w:r>
      <w:r w:rsidR="00AB1154" w:rsidRPr="00AF0457">
        <w:rPr>
          <w:rStyle w:val="EndnoteReference"/>
          <w:rFonts w:cstheme="minorHAnsi"/>
          <w:bCs/>
        </w:rPr>
        <w:endnoteReference w:id="67"/>
      </w:r>
      <w:r w:rsidR="00B11FDF" w:rsidRPr="00AF0457">
        <w:rPr>
          <w:rFonts w:cstheme="minorHAnsi"/>
          <w:bCs/>
        </w:rPr>
        <w:t xml:space="preserve"> </w:t>
      </w:r>
      <w:r w:rsidR="00D3668A" w:rsidRPr="00AF0457">
        <w:rPr>
          <w:rFonts w:cstheme="minorHAnsi"/>
          <w:bCs/>
        </w:rPr>
        <w:t>In</w:t>
      </w:r>
      <w:r w:rsidR="00843CE1" w:rsidRPr="00AF0457">
        <w:rPr>
          <w:rFonts w:cstheme="minorHAnsi"/>
          <w:bCs/>
        </w:rPr>
        <w:t xml:space="preserve"> prior</w:t>
      </w:r>
      <w:r w:rsidR="00D3668A" w:rsidRPr="00AF0457">
        <w:rPr>
          <w:rFonts w:cstheme="minorHAnsi"/>
          <w:bCs/>
        </w:rPr>
        <w:t xml:space="preserve"> studies</w:t>
      </w:r>
      <w:r w:rsidR="000B62D6">
        <w:rPr>
          <w:rFonts w:cstheme="minorHAnsi"/>
          <w:bCs/>
        </w:rPr>
        <w:t>,</w:t>
      </w:r>
      <w:r w:rsidR="00CF5346">
        <w:rPr>
          <w:rFonts w:cstheme="minorHAnsi"/>
          <w:bCs/>
        </w:rPr>
        <w:t xml:space="preserve"> </w:t>
      </w:r>
      <w:r w:rsidR="00083D1F" w:rsidRPr="00AF0457">
        <w:rPr>
          <w:rFonts w:cstheme="minorHAnsi"/>
          <w:bCs/>
        </w:rPr>
        <w:t>sex-</w:t>
      </w:r>
      <w:r w:rsidR="00083D1F" w:rsidRPr="00AF0457">
        <w:rPr>
          <w:rFonts w:cstheme="minorHAnsi"/>
          <w:bCs/>
        </w:rPr>
        <w:lastRenderedPageBreak/>
        <w:t>specific</w:t>
      </w:r>
      <w:r w:rsidR="005B38EA" w:rsidRPr="005B38EA">
        <w:rPr>
          <w:rFonts w:cstheme="minorHAnsi"/>
          <w:bCs/>
          <w:vertAlign w:val="superscript"/>
        </w:rPr>
        <w:fldChar w:fldCharType="begin"/>
      </w:r>
      <w:r w:rsidR="005B38EA" w:rsidRPr="005B38EA">
        <w:rPr>
          <w:rFonts w:cstheme="minorHAnsi"/>
          <w:bCs/>
          <w:vertAlign w:val="superscript"/>
        </w:rPr>
        <w:instrText xml:space="preserve"> NOTEREF _Ref160033755 \h </w:instrText>
      </w:r>
      <w:r w:rsidR="005B38EA" w:rsidRPr="005B38EA">
        <w:rPr>
          <w:rFonts w:cstheme="minorHAnsi"/>
          <w:bCs/>
          <w:vertAlign w:val="superscript"/>
        </w:rPr>
      </w:r>
      <w:r w:rsidR="005B38EA">
        <w:rPr>
          <w:rFonts w:cstheme="minorHAnsi"/>
          <w:bCs/>
          <w:vertAlign w:val="superscript"/>
        </w:rPr>
        <w:instrText xml:space="preserve"> \* MERGEFORMAT </w:instrText>
      </w:r>
      <w:r w:rsidR="005B38EA" w:rsidRPr="005B38EA">
        <w:rPr>
          <w:rFonts w:cstheme="minorHAnsi"/>
          <w:bCs/>
          <w:vertAlign w:val="superscript"/>
        </w:rPr>
        <w:fldChar w:fldCharType="separate"/>
      </w:r>
      <w:r w:rsidR="000F6C53">
        <w:rPr>
          <w:rFonts w:cstheme="minorHAnsi"/>
          <w:bCs/>
          <w:vertAlign w:val="superscript"/>
        </w:rPr>
        <w:t>43</w:t>
      </w:r>
      <w:r w:rsidR="005B38EA" w:rsidRPr="005B38EA">
        <w:rPr>
          <w:rFonts w:cstheme="minorHAnsi"/>
          <w:bCs/>
          <w:vertAlign w:val="superscript"/>
        </w:rPr>
        <w:fldChar w:fldCharType="end"/>
      </w:r>
      <w:r w:rsidR="005B38EA" w:rsidRPr="005B38EA">
        <w:rPr>
          <w:rFonts w:cstheme="minorHAnsi"/>
          <w:bCs/>
          <w:vertAlign w:val="superscript"/>
        </w:rPr>
        <w:t>,</w:t>
      </w:r>
      <w:r w:rsidR="005B38EA" w:rsidRPr="005B38EA">
        <w:rPr>
          <w:rFonts w:cstheme="minorHAnsi"/>
          <w:bCs/>
          <w:vertAlign w:val="superscript"/>
        </w:rPr>
        <w:fldChar w:fldCharType="begin"/>
      </w:r>
      <w:r w:rsidR="005B38EA" w:rsidRPr="005B38EA">
        <w:rPr>
          <w:rFonts w:cstheme="minorHAnsi"/>
          <w:bCs/>
          <w:vertAlign w:val="superscript"/>
        </w:rPr>
        <w:instrText xml:space="preserve"> NOTEREF _Ref160033139 \h </w:instrText>
      </w:r>
      <w:r w:rsidR="005B38EA" w:rsidRPr="005B38EA">
        <w:rPr>
          <w:rFonts w:cstheme="minorHAnsi"/>
          <w:bCs/>
          <w:vertAlign w:val="superscript"/>
        </w:rPr>
      </w:r>
      <w:r w:rsidR="005B38EA">
        <w:rPr>
          <w:rFonts w:cstheme="minorHAnsi"/>
          <w:bCs/>
          <w:vertAlign w:val="superscript"/>
        </w:rPr>
        <w:instrText xml:space="preserve"> \* MERGEFORMAT </w:instrText>
      </w:r>
      <w:r w:rsidR="005B38EA" w:rsidRPr="005B38EA">
        <w:rPr>
          <w:rFonts w:cstheme="minorHAnsi"/>
          <w:bCs/>
          <w:vertAlign w:val="superscript"/>
        </w:rPr>
        <w:fldChar w:fldCharType="separate"/>
      </w:r>
      <w:r w:rsidR="000F6C53">
        <w:rPr>
          <w:rFonts w:cstheme="minorHAnsi"/>
          <w:bCs/>
          <w:vertAlign w:val="superscript"/>
        </w:rPr>
        <w:t>44</w:t>
      </w:r>
      <w:r w:rsidR="005B38EA" w:rsidRPr="005B38EA">
        <w:rPr>
          <w:rFonts w:cstheme="minorHAnsi"/>
          <w:bCs/>
          <w:vertAlign w:val="superscript"/>
        </w:rPr>
        <w:fldChar w:fldCharType="end"/>
      </w:r>
      <w:r w:rsidR="005B38EA" w:rsidRPr="005B38EA">
        <w:rPr>
          <w:rFonts w:cstheme="minorHAnsi"/>
          <w:bCs/>
          <w:vertAlign w:val="superscript"/>
        </w:rPr>
        <w:t>,</w:t>
      </w:r>
      <w:r w:rsidR="005B38EA" w:rsidRPr="005B38EA">
        <w:rPr>
          <w:rFonts w:cstheme="minorHAnsi"/>
          <w:bCs/>
          <w:vertAlign w:val="superscript"/>
        </w:rPr>
        <w:fldChar w:fldCharType="begin"/>
      </w:r>
      <w:r w:rsidR="005B38EA" w:rsidRPr="005B38EA">
        <w:rPr>
          <w:rFonts w:cstheme="minorHAnsi"/>
          <w:bCs/>
          <w:vertAlign w:val="superscript"/>
        </w:rPr>
        <w:instrText xml:space="preserve"> NOTEREF _Ref160033759 \h </w:instrText>
      </w:r>
      <w:r w:rsidR="005B38EA" w:rsidRPr="005B38EA">
        <w:rPr>
          <w:rFonts w:cstheme="minorHAnsi"/>
          <w:bCs/>
          <w:vertAlign w:val="superscript"/>
        </w:rPr>
      </w:r>
      <w:r w:rsidR="005B38EA">
        <w:rPr>
          <w:rFonts w:cstheme="minorHAnsi"/>
          <w:bCs/>
          <w:vertAlign w:val="superscript"/>
        </w:rPr>
        <w:instrText xml:space="preserve"> \* MERGEFORMAT </w:instrText>
      </w:r>
      <w:r w:rsidR="005B38EA" w:rsidRPr="005B38EA">
        <w:rPr>
          <w:rFonts w:cstheme="minorHAnsi"/>
          <w:bCs/>
          <w:vertAlign w:val="superscript"/>
        </w:rPr>
        <w:fldChar w:fldCharType="separate"/>
      </w:r>
      <w:r w:rsidR="000F6C53">
        <w:rPr>
          <w:rFonts w:cstheme="minorHAnsi"/>
          <w:bCs/>
          <w:vertAlign w:val="superscript"/>
        </w:rPr>
        <w:t>45</w:t>
      </w:r>
      <w:r w:rsidR="005B38EA" w:rsidRPr="005B38EA">
        <w:rPr>
          <w:rFonts w:cstheme="minorHAnsi"/>
          <w:bCs/>
          <w:vertAlign w:val="superscript"/>
        </w:rPr>
        <w:fldChar w:fldCharType="end"/>
      </w:r>
      <w:r w:rsidR="00083D1F" w:rsidRPr="00AF0457">
        <w:rPr>
          <w:rFonts w:cstheme="minorHAnsi"/>
          <w:bCs/>
        </w:rPr>
        <w:t xml:space="preserve"> and </w:t>
      </w:r>
      <w:r w:rsidR="007E6865" w:rsidRPr="00AF0457">
        <w:rPr>
          <w:rFonts w:cstheme="minorHAnsi"/>
          <w:bCs/>
        </w:rPr>
        <w:t>mixed associations were demonstrated for</w:t>
      </w:r>
      <w:r w:rsidR="00D3668A" w:rsidRPr="00AF0457">
        <w:rPr>
          <w:rFonts w:cstheme="minorHAnsi"/>
          <w:bCs/>
        </w:rPr>
        <w:t xml:space="preserve"> </w:t>
      </w:r>
      <w:r w:rsidR="00D64A8E" w:rsidRPr="00AF0457">
        <w:rPr>
          <w:rFonts w:cstheme="minorHAnsi"/>
          <w:bCs/>
        </w:rPr>
        <w:t xml:space="preserve">TSH with hypertension and </w:t>
      </w:r>
      <w:r w:rsidR="0017661B" w:rsidRPr="00AF0457">
        <w:rPr>
          <w:rFonts w:cstheme="minorHAnsi"/>
          <w:bCs/>
        </w:rPr>
        <w:t>BP</w:t>
      </w:r>
      <w:r w:rsidR="00662F90" w:rsidRPr="00AF0457">
        <w:rPr>
          <w:rFonts w:cstheme="minorHAnsi"/>
          <w:bCs/>
        </w:rPr>
        <w:t xml:space="preserve"> </w:t>
      </w:r>
      <w:r w:rsidR="0017661B" w:rsidRPr="00AF0457">
        <w:rPr>
          <w:rFonts w:cstheme="minorHAnsi"/>
          <w:bCs/>
        </w:rPr>
        <w:t>in euthyroid individuals,</w:t>
      </w:r>
      <w:r w:rsidR="00E61CED" w:rsidRPr="00AF0457">
        <w:rPr>
          <w:rFonts w:cstheme="minorHAnsi"/>
          <w:bCs/>
        </w:rPr>
        <w:t xml:space="preserve"> the general populatio</w:t>
      </w:r>
      <w:r w:rsidR="00202F07" w:rsidRPr="00AF0457">
        <w:rPr>
          <w:rFonts w:cstheme="minorHAnsi"/>
          <w:bCs/>
        </w:rPr>
        <w:t>n</w:t>
      </w:r>
      <w:r w:rsidR="00EF7A60" w:rsidRPr="00AF0457">
        <w:rPr>
          <w:rFonts w:cstheme="minorHAnsi"/>
          <w:bCs/>
        </w:rPr>
        <w:t>,</w:t>
      </w:r>
      <w:r w:rsidR="00EF7A60" w:rsidRPr="00AF0457">
        <w:rPr>
          <w:rFonts w:cstheme="minorHAnsi"/>
          <w:bCs/>
          <w:vertAlign w:val="superscript"/>
        </w:rPr>
        <w:t xml:space="preserve"> </w:t>
      </w:r>
      <w:r w:rsidR="00EF7A60" w:rsidRPr="00AF0457">
        <w:rPr>
          <w:rFonts w:cstheme="minorHAnsi"/>
          <w:bCs/>
        </w:rPr>
        <w:t xml:space="preserve">individuals with essential hypertension and primary </w:t>
      </w:r>
      <w:r w:rsidR="00185379" w:rsidRPr="00AF0457">
        <w:rPr>
          <w:rFonts w:cstheme="minorHAnsi"/>
          <w:bCs/>
        </w:rPr>
        <w:t>hyper</w:t>
      </w:r>
      <w:r w:rsidR="00EF7A60" w:rsidRPr="00AF0457">
        <w:rPr>
          <w:rFonts w:cstheme="minorHAnsi"/>
          <w:bCs/>
        </w:rPr>
        <w:t>aldosteronism</w:t>
      </w:r>
      <w:r w:rsidR="00EF7A60" w:rsidRPr="00AF0457">
        <w:rPr>
          <w:rStyle w:val="EndnoteReference"/>
          <w:rFonts w:cstheme="minorHAnsi"/>
          <w:bCs/>
        </w:rPr>
        <w:t xml:space="preserve"> </w:t>
      </w:r>
      <w:r w:rsidR="00EF7A60" w:rsidRPr="00AF0457">
        <w:rPr>
          <w:rFonts w:cstheme="minorHAnsi"/>
          <w:bCs/>
        </w:rPr>
        <w:t>and individuals without thyroid cysts.</w:t>
      </w:r>
      <w:r w:rsidR="00877D0F" w:rsidRPr="00877D0F">
        <w:rPr>
          <w:rFonts w:cstheme="minorHAnsi"/>
          <w:bCs/>
          <w:vertAlign w:val="superscript"/>
        </w:rPr>
        <w:fldChar w:fldCharType="begin"/>
      </w:r>
      <w:r w:rsidR="00877D0F" w:rsidRPr="00877D0F">
        <w:rPr>
          <w:rFonts w:cstheme="minorHAnsi"/>
          <w:bCs/>
          <w:vertAlign w:val="superscript"/>
        </w:rPr>
        <w:instrText xml:space="preserve"> NOTEREF _Ref160031786 \h </w:instrText>
      </w:r>
      <w:r w:rsidR="00877D0F" w:rsidRPr="00877D0F">
        <w:rPr>
          <w:rFonts w:cstheme="minorHAnsi"/>
          <w:bCs/>
          <w:vertAlign w:val="superscript"/>
        </w:rPr>
      </w:r>
      <w:r w:rsidR="00877D0F">
        <w:rPr>
          <w:rFonts w:cstheme="minorHAnsi"/>
          <w:bCs/>
          <w:vertAlign w:val="superscript"/>
        </w:rPr>
        <w:instrText xml:space="preserve"> \* MERGEFORMAT </w:instrText>
      </w:r>
      <w:r w:rsidR="00877D0F" w:rsidRPr="00877D0F">
        <w:rPr>
          <w:rFonts w:cstheme="minorHAnsi"/>
          <w:bCs/>
          <w:vertAlign w:val="superscript"/>
        </w:rPr>
        <w:fldChar w:fldCharType="separate"/>
      </w:r>
      <w:r w:rsidR="000F6C53">
        <w:rPr>
          <w:rFonts w:cstheme="minorHAnsi"/>
          <w:bCs/>
          <w:vertAlign w:val="superscript"/>
        </w:rPr>
        <w:t>29</w:t>
      </w:r>
      <w:r w:rsidR="00877D0F" w:rsidRPr="00877D0F">
        <w:rPr>
          <w:rFonts w:cstheme="minorHAnsi"/>
          <w:bCs/>
          <w:vertAlign w:val="superscript"/>
        </w:rPr>
        <w:fldChar w:fldCharType="end"/>
      </w:r>
      <w:r w:rsidR="00877D0F" w:rsidRPr="00877D0F">
        <w:rPr>
          <w:rFonts w:cstheme="minorHAnsi"/>
          <w:bCs/>
          <w:vertAlign w:val="superscript"/>
        </w:rPr>
        <w:t>,</w:t>
      </w:r>
      <w:r w:rsidR="00877D0F" w:rsidRPr="00877D0F">
        <w:rPr>
          <w:rFonts w:cstheme="minorHAnsi"/>
          <w:bCs/>
          <w:vertAlign w:val="superscript"/>
        </w:rPr>
        <w:fldChar w:fldCharType="begin"/>
      </w:r>
      <w:r w:rsidR="00877D0F" w:rsidRPr="00877D0F">
        <w:rPr>
          <w:rFonts w:cstheme="minorHAnsi"/>
          <w:bCs/>
          <w:vertAlign w:val="superscript"/>
        </w:rPr>
        <w:instrText xml:space="preserve"> NOTEREF _Ref160034074 \h </w:instrText>
      </w:r>
      <w:r w:rsidR="00877D0F" w:rsidRPr="00877D0F">
        <w:rPr>
          <w:rFonts w:cstheme="minorHAnsi"/>
          <w:bCs/>
          <w:vertAlign w:val="superscript"/>
        </w:rPr>
      </w:r>
      <w:r w:rsidR="00877D0F">
        <w:rPr>
          <w:rFonts w:cstheme="minorHAnsi"/>
          <w:bCs/>
          <w:vertAlign w:val="superscript"/>
        </w:rPr>
        <w:instrText xml:space="preserve"> \* MERGEFORMAT </w:instrText>
      </w:r>
      <w:r w:rsidR="00877D0F" w:rsidRPr="00877D0F">
        <w:rPr>
          <w:rFonts w:cstheme="minorHAnsi"/>
          <w:bCs/>
          <w:vertAlign w:val="superscript"/>
        </w:rPr>
        <w:fldChar w:fldCharType="separate"/>
      </w:r>
      <w:r w:rsidR="000F6C53">
        <w:rPr>
          <w:rFonts w:cstheme="minorHAnsi"/>
          <w:bCs/>
          <w:vertAlign w:val="superscript"/>
        </w:rPr>
        <w:t>30</w:t>
      </w:r>
      <w:r w:rsidR="00877D0F" w:rsidRPr="00877D0F">
        <w:rPr>
          <w:rFonts w:cstheme="minorHAnsi"/>
          <w:bCs/>
          <w:vertAlign w:val="superscript"/>
        </w:rPr>
        <w:fldChar w:fldCharType="end"/>
      </w:r>
      <w:r w:rsidR="00877D0F" w:rsidRPr="00877D0F">
        <w:rPr>
          <w:rFonts w:cstheme="minorHAnsi"/>
          <w:bCs/>
          <w:vertAlign w:val="superscript"/>
        </w:rPr>
        <w:t>,</w:t>
      </w:r>
      <w:r w:rsidR="00877D0F" w:rsidRPr="00877D0F">
        <w:rPr>
          <w:rFonts w:cstheme="minorHAnsi"/>
          <w:bCs/>
          <w:vertAlign w:val="superscript"/>
        </w:rPr>
        <w:fldChar w:fldCharType="begin"/>
      </w:r>
      <w:r w:rsidR="00877D0F" w:rsidRPr="00877D0F">
        <w:rPr>
          <w:rFonts w:cstheme="minorHAnsi"/>
          <w:bCs/>
          <w:vertAlign w:val="superscript"/>
        </w:rPr>
        <w:instrText xml:space="preserve"> NOTEREF _Ref160034079 \h </w:instrText>
      </w:r>
      <w:r w:rsidR="00877D0F" w:rsidRPr="00877D0F">
        <w:rPr>
          <w:rFonts w:cstheme="minorHAnsi"/>
          <w:bCs/>
          <w:vertAlign w:val="superscript"/>
        </w:rPr>
      </w:r>
      <w:r w:rsidR="00877D0F">
        <w:rPr>
          <w:rFonts w:cstheme="minorHAnsi"/>
          <w:bCs/>
          <w:vertAlign w:val="superscript"/>
        </w:rPr>
        <w:instrText xml:space="preserve"> \* MERGEFORMAT </w:instrText>
      </w:r>
      <w:r w:rsidR="00877D0F" w:rsidRPr="00877D0F">
        <w:rPr>
          <w:rFonts w:cstheme="minorHAnsi"/>
          <w:bCs/>
          <w:vertAlign w:val="superscript"/>
        </w:rPr>
        <w:fldChar w:fldCharType="separate"/>
      </w:r>
      <w:r w:rsidR="000F6C53">
        <w:rPr>
          <w:rFonts w:cstheme="minorHAnsi"/>
          <w:bCs/>
          <w:vertAlign w:val="superscript"/>
        </w:rPr>
        <w:t>31</w:t>
      </w:r>
      <w:r w:rsidR="00877D0F" w:rsidRPr="00877D0F">
        <w:rPr>
          <w:rFonts w:cstheme="minorHAnsi"/>
          <w:bCs/>
          <w:vertAlign w:val="superscript"/>
        </w:rPr>
        <w:fldChar w:fldCharType="end"/>
      </w:r>
      <w:r w:rsidR="00877D0F" w:rsidRPr="00877D0F">
        <w:rPr>
          <w:rFonts w:cstheme="minorHAnsi"/>
          <w:bCs/>
          <w:vertAlign w:val="superscript"/>
        </w:rPr>
        <w:t>,</w:t>
      </w:r>
      <w:r w:rsidR="00877D0F" w:rsidRPr="00877D0F">
        <w:rPr>
          <w:rFonts w:cstheme="minorHAnsi"/>
          <w:bCs/>
          <w:vertAlign w:val="superscript"/>
        </w:rPr>
        <w:fldChar w:fldCharType="begin"/>
      </w:r>
      <w:r w:rsidR="00877D0F" w:rsidRPr="00877D0F">
        <w:rPr>
          <w:rFonts w:cstheme="minorHAnsi"/>
          <w:bCs/>
          <w:vertAlign w:val="superscript"/>
        </w:rPr>
        <w:instrText xml:space="preserve"> NOTEREF _Ref160034096 \h </w:instrText>
      </w:r>
      <w:r w:rsidR="00877D0F" w:rsidRPr="00877D0F">
        <w:rPr>
          <w:rFonts w:cstheme="minorHAnsi"/>
          <w:bCs/>
          <w:vertAlign w:val="superscript"/>
        </w:rPr>
      </w:r>
      <w:r w:rsidR="00877D0F">
        <w:rPr>
          <w:rFonts w:cstheme="minorHAnsi"/>
          <w:bCs/>
          <w:vertAlign w:val="superscript"/>
        </w:rPr>
        <w:instrText xml:space="preserve"> \* MERGEFORMAT </w:instrText>
      </w:r>
      <w:r w:rsidR="00877D0F" w:rsidRPr="00877D0F">
        <w:rPr>
          <w:rFonts w:cstheme="minorHAnsi"/>
          <w:bCs/>
          <w:vertAlign w:val="superscript"/>
        </w:rPr>
        <w:fldChar w:fldCharType="separate"/>
      </w:r>
      <w:r w:rsidR="000F6C53">
        <w:rPr>
          <w:rFonts w:cstheme="minorHAnsi"/>
          <w:bCs/>
          <w:vertAlign w:val="superscript"/>
        </w:rPr>
        <w:t>32</w:t>
      </w:r>
      <w:r w:rsidR="00877D0F" w:rsidRPr="00877D0F">
        <w:rPr>
          <w:rFonts w:cstheme="minorHAnsi"/>
          <w:bCs/>
          <w:vertAlign w:val="superscript"/>
        </w:rPr>
        <w:fldChar w:fldCharType="end"/>
      </w:r>
      <w:r w:rsidR="00877D0F" w:rsidRPr="00877D0F">
        <w:rPr>
          <w:rFonts w:cstheme="minorHAnsi"/>
          <w:bCs/>
          <w:vertAlign w:val="superscript"/>
        </w:rPr>
        <w:t>,</w:t>
      </w:r>
      <w:r w:rsidR="00877D0F" w:rsidRPr="00877D0F">
        <w:rPr>
          <w:rFonts w:cstheme="minorHAnsi"/>
          <w:bCs/>
          <w:vertAlign w:val="superscript"/>
        </w:rPr>
        <w:fldChar w:fldCharType="begin"/>
      </w:r>
      <w:r w:rsidR="00877D0F" w:rsidRPr="00877D0F">
        <w:rPr>
          <w:rFonts w:cstheme="minorHAnsi"/>
          <w:bCs/>
          <w:vertAlign w:val="superscript"/>
        </w:rPr>
        <w:instrText xml:space="preserve"> NOTEREF _Ref160034106 \h </w:instrText>
      </w:r>
      <w:r w:rsidR="00877D0F" w:rsidRPr="00877D0F">
        <w:rPr>
          <w:rFonts w:cstheme="minorHAnsi"/>
          <w:bCs/>
          <w:vertAlign w:val="superscript"/>
        </w:rPr>
      </w:r>
      <w:r w:rsidR="00877D0F">
        <w:rPr>
          <w:rFonts w:cstheme="minorHAnsi"/>
          <w:bCs/>
          <w:vertAlign w:val="superscript"/>
        </w:rPr>
        <w:instrText xml:space="preserve"> \* MERGEFORMAT </w:instrText>
      </w:r>
      <w:r w:rsidR="00877D0F" w:rsidRPr="00877D0F">
        <w:rPr>
          <w:rFonts w:cstheme="minorHAnsi"/>
          <w:bCs/>
          <w:vertAlign w:val="superscript"/>
        </w:rPr>
        <w:fldChar w:fldCharType="separate"/>
      </w:r>
      <w:r w:rsidR="000F6C53">
        <w:rPr>
          <w:rFonts w:cstheme="minorHAnsi"/>
          <w:bCs/>
          <w:vertAlign w:val="superscript"/>
        </w:rPr>
        <w:t>33</w:t>
      </w:r>
      <w:r w:rsidR="00877D0F" w:rsidRPr="00877D0F">
        <w:rPr>
          <w:rFonts w:cstheme="minorHAnsi"/>
          <w:bCs/>
          <w:vertAlign w:val="superscript"/>
        </w:rPr>
        <w:fldChar w:fldCharType="end"/>
      </w:r>
      <w:r w:rsidR="00877D0F" w:rsidRPr="00877D0F">
        <w:rPr>
          <w:rFonts w:cstheme="minorHAnsi"/>
          <w:bCs/>
          <w:vertAlign w:val="superscript"/>
        </w:rPr>
        <w:t>,</w:t>
      </w:r>
      <w:r w:rsidR="00877D0F" w:rsidRPr="00877D0F">
        <w:rPr>
          <w:rFonts w:cstheme="minorHAnsi"/>
          <w:bCs/>
          <w:vertAlign w:val="superscript"/>
        </w:rPr>
        <w:fldChar w:fldCharType="begin"/>
      </w:r>
      <w:r w:rsidR="00877D0F" w:rsidRPr="00877D0F">
        <w:rPr>
          <w:rFonts w:cstheme="minorHAnsi"/>
          <w:bCs/>
          <w:vertAlign w:val="superscript"/>
        </w:rPr>
        <w:instrText xml:space="preserve"> NOTEREF _Ref160034123 \h </w:instrText>
      </w:r>
      <w:r w:rsidR="00877D0F" w:rsidRPr="00877D0F">
        <w:rPr>
          <w:rFonts w:cstheme="minorHAnsi"/>
          <w:bCs/>
          <w:vertAlign w:val="superscript"/>
        </w:rPr>
      </w:r>
      <w:r w:rsidR="00877D0F">
        <w:rPr>
          <w:rFonts w:cstheme="minorHAnsi"/>
          <w:bCs/>
          <w:vertAlign w:val="superscript"/>
        </w:rPr>
        <w:instrText xml:space="preserve"> \* MERGEFORMAT </w:instrText>
      </w:r>
      <w:r w:rsidR="00877D0F" w:rsidRPr="00877D0F">
        <w:rPr>
          <w:rFonts w:cstheme="minorHAnsi"/>
          <w:bCs/>
          <w:vertAlign w:val="superscript"/>
        </w:rPr>
        <w:fldChar w:fldCharType="separate"/>
      </w:r>
      <w:r w:rsidR="000F6C53">
        <w:rPr>
          <w:rFonts w:cstheme="minorHAnsi"/>
          <w:bCs/>
          <w:vertAlign w:val="superscript"/>
        </w:rPr>
        <w:t>42</w:t>
      </w:r>
      <w:r w:rsidR="00877D0F" w:rsidRPr="00877D0F">
        <w:rPr>
          <w:rFonts w:cstheme="minorHAnsi"/>
          <w:bCs/>
          <w:vertAlign w:val="superscript"/>
        </w:rPr>
        <w:fldChar w:fldCharType="end"/>
      </w:r>
      <w:r w:rsidR="00C872D5" w:rsidRPr="00877D0F">
        <w:rPr>
          <w:rFonts w:cstheme="minorHAnsi"/>
          <w:bCs/>
          <w:vertAlign w:val="superscript"/>
        </w:rPr>
        <w:t>,</w:t>
      </w:r>
      <w:r w:rsidR="00EA48B9" w:rsidRPr="00AF0457">
        <w:rPr>
          <w:rStyle w:val="EndnoteReference"/>
          <w:rFonts w:cstheme="minorHAnsi"/>
          <w:bCs/>
        </w:rPr>
        <w:endnoteReference w:id="68"/>
      </w:r>
      <w:r w:rsidR="00B506B7">
        <w:rPr>
          <w:rFonts w:cstheme="minorHAnsi"/>
          <w:bCs/>
          <w:vertAlign w:val="superscript"/>
        </w:rPr>
        <w:t>,</w:t>
      </w:r>
      <w:r w:rsidR="00EF7A60" w:rsidRPr="00AF0457">
        <w:rPr>
          <w:rStyle w:val="EndnoteReference"/>
          <w:rFonts w:cstheme="minorHAnsi"/>
          <w:bCs/>
        </w:rPr>
        <w:endnoteReference w:id="69"/>
      </w:r>
      <w:r w:rsidR="00C66B02" w:rsidRPr="00AF0457">
        <w:rPr>
          <w:rFonts w:cstheme="minorHAnsi"/>
          <w:bCs/>
          <w:vertAlign w:val="superscript"/>
        </w:rPr>
        <w:t xml:space="preserve"> </w:t>
      </w:r>
      <w:r w:rsidR="001633B7" w:rsidRPr="00AF0457">
        <w:rPr>
          <w:rFonts w:cstheme="minorHAnsi"/>
          <w:bCs/>
          <w:vertAlign w:val="superscript"/>
        </w:rPr>
        <w:t xml:space="preserve"> </w:t>
      </w:r>
      <w:r w:rsidR="00EF7A60" w:rsidRPr="00AF0457">
        <w:rPr>
          <w:rFonts w:cstheme="minorHAnsi"/>
          <w:bCs/>
        </w:rPr>
        <w:t xml:space="preserve">While </w:t>
      </w:r>
      <w:r w:rsidR="004F49F0" w:rsidRPr="00AF0457">
        <w:rPr>
          <w:rFonts w:cstheme="minorHAnsi"/>
          <w:bCs/>
        </w:rPr>
        <w:t>we</w:t>
      </w:r>
      <w:r w:rsidR="00EF7A60" w:rsidRPr="00AF0457">
        <w:rPr>
          <w:rFonts w:cstheme="minorHAnsi"/>
          <w:bCs/>
        </w:rPr>
        <w:t xml:space="preserve"> f</w:t>
      </w:r>
      <w:r w:rsidR="00370D5F">
        <w:rPr>
          <w:rFonts w:cstheme="minorHAnsi"/>
          <w:bCs/>
        </w:rPr>
        <w:t>ound</w:t>
      </w:r>
      <w:r w:rsidR="00EF7A60" w:rsidRPr="00AF0457">
        <w:rPr>
          <w:rFonts w:cstheme="minorHAnsi"/>
          <w:bCs/>
        </w:rPr>
        <w:t xml:space="preserve"> significant</w:t>
      </w:r>
      <w:r w:rsidR="0030575A" w:rsidRPr="00AF0457">
        <w:rPr>
          <w:rFonts w:cstheme="minorHAnsi"/>
          <w:bCs/>
        </w:rPr>
        <w:t xml:space="preserve"> </w:t>
      </w:r>
      <w:r w:rsidR="00370D5F">
        <w:rPr>
          <w:rFonts w:cstheme="minorHAnsi"/>
          <w:bCs/>
        </w:rPr>
        <w:t>non-linear</w:t>
      </w:r>
      <w:r w:rsidR="00370D5F" w:rsidRPr="00AF0457">
        <w:rPr>
          <w:rFonts w:cstheme="minorHAnsi"/>
          <w:bCs/>
        </w:rPr>
        <w:t xml:space="preserve"> </w:t>
      </w:r>
      <w:r w:rsidR="00370D5F">
        <w:rPr>
          <w:rFonts w:cstheme="minorHAnsi"/>
          <w:bCs/>
        </w:rPr>
        <w:t xml:space="preserve">inverse </w:t>
      </w:r>
      <w:r w:rsidR="00EF7A60" w:rsidRPr="00AF0457">
        <w:rPr>
          <w:rFonts w:cstheme="minorHAnsi"/>
          <w:bCs/>
        </w:rPr>
        <w:t xml:space="preserve">associations </w:t>
      </w:r>
      <w:r w:rsidR="00370D5F">
        <w:rPr>
          <w:rFonts w:cstheme="minorHAnsi"/>
          <w:bCs/>
        </w:rPr>
        <w:t>of</w:t>
      </w:r>
      <w:r w:rsidR="00370D5F" w:rsidRPr="00AF0457">
        <w:rPr>
          <w:rFonts w:cstheme="minorHAnsi"/>
          <w:bCs/>
        </w:rPr>
        <w:t xml:space="preserve"> </w:t>
      </w:r>
      <w:r w:rsidR="00357631" w:rsidRPr="00AF0457">
        <w:rPr>
          <w:rFonts w:cstheme="minorHAnsi"/>
          <w:bCs/>
        </w:rPr>
        <w:t>FT4</w:t>
      </w:r>
      <w:r w:rsidR="00370D5F">
        <w:rPr>
          <w:rFonts w:cstheme="minorHAnsi"/>
          <w:bCs/>
        </w:rPr>
        <w:t xml:space="preserve"> with development of prehypertension from normotension in postmenopausal women</w:t>
      </w:r>
      <w:r w:rsidR="00EF7A60" w:rsidRPr="00AF0457">
        <w:rPr>
          <w:rFonts w:cstheme="minorHAnsi"/>
          <w:bCs/>
        </w:rPr>
        <w:t xml:space="preserve">, </w:t>
      </w:r>
      <w:r w:rsidR="00643FF0" w:rsidRPr="00AF0457">
        <w:rPr>
          <w:rFonts w:cstheme="minorHAnsi"/>
          <w:bCs/>
        </w:rPr>
        <w:t>some</w:t>
      </w:r>
      <w:r w:rsidR="004A6BCD" w:rsidRPr="00AF0457">
        <w:rPr>
          <w:rFonts w:cstheme="minorHAnsi"/>
          <w:bCs/>
        </w:rPr>
        <w:t xml:space="preserve"> studies</w:t>
      </w:r>
      <w:r w:rsidR="0082706E">
        <w:rPr>
          <w:rFonts w:cstheme="minorHAnsi"/>
          <w:bCs/>
        </w:rPr>
        <w:t xml:space="preserve"> conducted in European and Chinese adults</w:t>
      </w:r>
      <w:r w:rsidR="004A6BCD" w:rsidRPr="00AF0457">
        <w:rPr>
          <w:rFonts w:cstheme="minorHAnsi"/>
          <w:bCs/>
        </w:rPr>
        <w:t xml:space="preserve"> </w:t>
      </w:r>
      <w:r w:rsidR="00643FF0" w:rsidRPr="00AF0457">
        <w:rPr>
          <w:rFonts w:cstheme="minorHAnsi"/>
          <w:bCs/>
        </w:rPr>
        <w:t>have demonstrated</w:t>
      </w:r>
      <w:r w:rsidR="004A6BCD" w:rsidRPr="00AF0457">
        <w:rPr>
          <w:rFonts w:cstheme="minorHAnsi"/>
          <w:bCs/>
        </w:rPr>
        <w:t xml:space="preserve"> positive associations of </w:t>
      </w:r>
      <w:r w:rsidR="00357631" w:rsidRPr="00AF0457">
        <w:rPr>
          <w:rFonts w:cstheme="minorHAnsi"/>
          <w:bCs/>
        </w:rPr>
        <w:t>FT4</w:t>
      </w:r>
      <w:r w:rsidR="005856BE" w:rsidRPr="00AF0457">
        <w:rPr>
          <w:rFonts w:cstheme="minorHAnsi"/>
          <w:bCs/>
        </w:rPr>
        <w:t xml:space="preserve"> with hypertension and</w:t>
      </w:r>
      <w:r w:rsidR="00EF7A60" w:rsidRPr="00AF0457">
        <w:rPr>
          <w:rFonts w:cstheme="minorHAnsi"/>
          <w:bCs/>
        </w:rPr>
        <w:t xml:space="preserve"> </w:t>
      </w:r>
      <w:r w:rsidR="001633B7" w:rsidRPr="00AF0457">
        <w:rPr>
          <w:rFonts w:cstheme="minorHAnsi"/>
          <w:bCs/>
        </w:rPr>
        <w:t>BP</w:t>
      </w:r>
      <w:r w:rsidR="0030120A">
        <w:rPr>
          <w:rFonts w:cstheme="minorHAnsi"/>
          <w:bCs/>
        </w:rPr>
        <w:t xml:space="preserve"> but were cross-sectional in nature</w:t>
      </w:r>
      <w:r w:rsidR="00DD650F">
        <w:rPr>
          <w:rFonts w:cstheme="minorHAnsi"/>
          <w:bCs/>
        </w:rPr>
        <w:t>.</w:t>
      </w:r>
      <w:r w:rsidR="007A36C0" w:rsidRPr="007A36C0">
        <w:rPr>
          <w:rFonts w:cstheme="minorHAnsi"/>
          <w:bCs/>
          <w:vertAlign w:val="superscript"/>
        </w:rPr>
        <w:fldChar w:fldCharType="begin"/>
      </w:r>
      <w:r w:rsidR="007A36C0" w:rsidRPr="007A36C0">
        <w:rPr>
          <w:rFonts w:cstheme="minorHAnsi"/>
          <w:bCs/>
          <w:vertAlign w:val="superscript"/>
        </w:rPr>
        <w:instrText xml:space="preserve"> NOTEREF _Ref160033139 \h </w:instrText>
      </w:r>
      <w:r w:rsidR="007A36C0" w:rsidRPr="007A36C0">
        <w:rPr>
          <w:rFonts w:cstheme="minorHAnsi"/>
          <w:bCs/>
          <w:vertAlign w:val="superscript"/>
        </w:rPr>
      </w:r>
      <w:r w:rsidR="007A36C0">
        <w:rPr>
          <w:rFonts w:cstheme="minorHAnsi"/>
          <w:bCs/>
          <w:vertAlign w:val="superscript"/>
        </w:rPr>
        <w:instrText xml:space="preserve"> \* MERGEFORMAT </w:instrText>
      </w:r>
      <w:r w:rsidR="007A36C0" w:rsidRPr="007A36C0">
        <w:rPr>
          <w:rFonts w:cstheme="minorHAnsi"/>
          <w:bCs/>
          <w:vertAlign w:val="superscript"/>
        </w:rPr>
        <w:fldChar w:fldCharType="separate"/>
      </w:r>
      <w:r w:rsidR="000F6C53">
        <w:rPr>
          <w:rFonts w:cstheme="minorHAnsi"/>
          <w:bCs/>
          <w:vertAlign w:val="superscript"/>
        </w:rPr>
        <w:t>44</w:t>
      </w:r>
      <w:r w:rsidR="007A36C0" w:rsidRPr="007A36C0">
        <w:rPr>
          <w:rFonts w:cstheme="minorHAnsi"/>
          <w:bCs/>
          <w:vertAlign w:val="superscript"/>
        </w:rPr>
        <w:fldChar w:fldCharType="end"/>
      </w:r>
      <w:r w:rsidR="007A36C0" w:rsidRPr="007A36C0">
        <w:rPr>
          <w:rFonts w:cstheme="minorHAnsi"/>
          <w:bCs/>
          <w:vertAlign w:val="superscript"/>
        </w:rPr>
        <w:t>,</w:t>
      </w:r>
      <w:r w:rsidR="007A36C0" w:rsidRPr="007A36C0">
        <w:rPr>
          <w:rFonts w:cstheme="minorHAnsi"/>
          <w:bCs/>
          <w:vertAlign w:val="superscript"/>
        </w:rPr>
        <w:fldChar w:fldCharType="begin"/>
      </w:r>
      <w:r w:rsidR="007A36C0" w:rsidRPr="007A36C0">
        <w:rPr>
          <w:rFonts w:cstheme="minorHAnsi"/>
          <w:bCs/>
          <w:vertAlign w:val="superscript"/>
        </w:rPr>
        <w:instrText xml:space="preserve"> NOTEREF _Ref160033759 \h </w:instrText>
      </w:r>
      <w:r w:rsidR="007A36C0" w:rsidRPr="007A36C0">
        <w:rPr>
          <w:rFonts w:cstheme="minorHAnsi"/>
          <w:bCs/>
          <w:vertAlign w:val="superscript"/>
        </w:rPr>
      </w:r>
      <w:r w:rsidR="007A36C0">
        <w:rPr>
          <w:rFonts w:cstheme="minorHAnsi"/>
          <w:bCs/>
          <w:vertAlign w:val="superscript"/>
        </w:rPr>
        <w:instrText xml:space="preserve"> \* MERGEFORMAT </w:instrText>
      </w:r>
      <w:r w:rsidR="007A36C0" w:rsidRPr="007A36C0">
        <w:rPr>
          <w:rFonts w:cstheme="minorHAnsi"/>
          <w:bCs/>
          <w:vertAlign w:val="superscript"/>
        </w:rPr>
        <w:fldChar w:fldCharType="separate"/>
      </w:r>
      <w:r w:rsidR="000F6C53">
        <w:rPr>
          <w:rFonts w:cstheme="minorHAnsi"/>
          <w:bCs/>
          <w:vertAlign w:val="superscript"/>
        </w:rPr>
        <w:t>45</w:t>
      </w:r>
      <w:r w:rsidR="007A36C0" w:rsidRPr="007A36C0">
        <w:rPr>
          <w:rFonts w:cstheme="minorHAnsi"/>
          <w:bCs/>
          <w:vertAlign w:val="superscript"/>
        </w:rPr>
        <w:fldChar w:fldCharType="end"/>
      </w:r>
    </w:p>
    <w:p w14:paraId="016DEA8A" w14:textId="77777777" w:rsidR="00EA0C0D" w:rsidRDefault="002157EB" w:rsidP="00CC21FA">
      <w:pPr>
        <w:spacing w:after="40" w:line="480" w:lineRule="auto"/>
        <w:ind w:firstLine="720"/>
        <w:rPr>
          <w:rFonts w:cstheme="minorHAnsi"/>
          <w:bCs/>
        </w:rPr>
      </w:pPr>
      <w:r w:rsidRPr="00AF0457">
        <w:rPr>
          <w:rFonts w:cstheme="minorHAnsi"/>
          <w:bCs/>
        </w:rPr>
        <w:t>The mixed f</w:t>
      </w:r>
      <w:r w:rsidR="003B36CD" w:rsidRPr="00AF0457">
        <w:rPr>
          <w:rFonts w:cstheme="minorHAnsi"/>
          <w:bCs/>
        </w:rPr>
        <w:t xml:space="preserve">indings from previous </w:t>
      </w:r>
      <w:r w:rsidR="00444E16" w:rsidRPr="00AF0457">
        <w:rPr>
          <w:rFonts w:cstheme="minorHAnsi"/>
          <w:bCs/>
        </w:rPr>
        <w:t>studies</w:t>
      </w:r>
      <w:r w:rsidRPr="00AF0457">
        <w:rPr>
          <w:rFonts w:cstheme="minorHAnsi"/>
          <w:bCs/>
        </w:rPr>
        <w:t xml:space="preserve"> </w:t>
      </w:r>
      <w:r w:rsidR="003B36CD" w:rsidRPr="00AF0457">
        <w:rPr>
          <w:rFonts w:cstheme="minorHAnsi"/>
          <w:bCs/>
        </w:rPr>
        <w:t>suggest that thyroid-related hormones may not sufficiently explain the relationship between</w:t>
      </w:r>
      <w:r w:rsidR="00EE400B" w:rsidRPr="00AF0457">
        <w:rPr>
          <w:rFonts w:cstheme="minorHAnsi"/>
          <w:bCs/>
        </w:rPr>
        <w:t xml:space="preserve"> the</w:t>
      </w:r>
      <w:r w:rsidR="003B36CD" w:rsidRPr="00AF0457">
        <w:rPr>
          <w:rFonts w:cstheme="minorHAnsi"/>
          <w:bCs/>
        </w:rPr>
        <w:t xml:space="preserve"> </w:t>
      </w:r>
      <w:r w:rsidR="00EE400B" w:rsidRPr="00AF0457">
        <w:rPr>
          <w:rFonts w:cstheme="minorHAnsi"/>
          <w:bCs/>
        </w:rPr>
        <w:t>thyroid axis</w:t>
      </w:r>
      <w:r w:rsidR="00CB0BEA" w:rsidRPr="00AF0457">
        <w:rPr>
          <w:rFonts w:cstheme="minorHAnsi"/>
          <w:bCs/>
        </w:rPr>
        <w:t xml:space="preserve"> </w:t>
      </w:r>
      <w:r w:rsidR="003B36CD" w:rsidRPr="00AF0457">
        <w:rPr>
          <w:rFonts w:cstheme="minorHAnsi"/>
          <w:bCs/>
        </w:rPr>
        <w:t xml:space="preserve">and </w:t>
      </w:r>
      <w:r w:rsidR="005F76AD" w:rsidRPr="00AF0457">
        <w:rPr>
          <w:rFonts w:cstheme="minorHAnsi"/>
          <w:bCs/>
        </w:rPr>
        <w:t>BP</w:t>
      </w:r>
      <w:r w:rsidR="003B36CD" w:rsidRPr="00AF0457">
        <w:rPr>
          <w:rFonts w:cstheme="minorHAnsi"/>
          <w:bCs/>
        </w:rPr>
        <w:t xml:space="preserve"> regulation.</w:t>
      </w:r>
      <w:r w:rsidR="00444E16" w:rsidRPr="00AF0457">
        <w:rPr>
          <w:rFonts w:cstheme="minorHAnsi"/>
          <w:bCs/>
        </w:rPr>
        <w:t xml:space="preserve"> </w:t>
      </w:r>
      <w:r w:rsidR="00D66234" w:rsidRPr="00AF0457">
        <w:rPr>
          <w:rFonts w:cstheme="minorHAnsi"/>
          <w:bCs/>
        </w:rPr>
        <w:t>To the best of our knowledge</w:t>
      </w:r>
      <w:r w:rsidR="00707219" w:rsidRPr="00AF0457">
        <w:rPr>
          <w:rFonts w:cstheme="minorHAnsi"/>
          <w:bCs/>
        </w:rPr>
        <w:t>,</w:t>
      </w:r>
      <w:r w:rsidR="00D66234" w:rsidRPr="00AF0457">
        <w:rPr>
          <w:rFonts w:cstheme="minorHAnsi"/>
          <w:bCs/>
        </w:rPr>
        <w:t xml:space="preserve"> this is the first study examining longitudinal associations of </w:t>
      </w:r>
      <w:r w:rsidR="002A50A7" w:rsidRPr="00AF0457">
        <w:rPr>
          <w:rFonts w:cstheme="minorHAnsi"/>
          <w:bCs/>
        </w:rPr>
        <w:t>indicators</w:t>
      </w:r>
      <w:r w:rsidR="00D66234" w:rsidRPr="00AF0457">
        <w:rPr>
          <w:rFonts w:cstheme="minorHAnsi"/>
          <w:bCs/>
        </w:rPr>
        <w:t xml:space="preserve"> of pituitary sensitivity</w:t>
      </w:r>
      <w:r w:rsidR="00B0108D" w:rsidRPr="00AF0457">
        <w:rPr>
          <w:rFonts w:cstheme="minorHAnsi"/>
          <w:bCs/>
        </w:rPr>
        <w:t xml:space="preserve"> to thyroid hormones</w:t>
      </w:r>
      <w:r w:rsidR="00D66234" w:rsidRPr="00AF0457">
        <w:rPr>
          <w:rFonts w:cstheme="minorHAnsi"/>
          <w:bCs/>
        </w:rPr>
        <w:t xml:space="preserve"> with</w:t>
      </w:r>
      <w:r w:rsidR="002B287A" w:rsidRPr="00AF0457">
        <w:rPr>
          <w:rFonts w:cstheme="minorHAnsi"/>
          <w:bCs/>
        </w:rPr>
        <w:t xml:space="preserve"> BP change and stages in</w:t>
      </w:r>
      <w:r w:rsidR="00D66234" w:rsidRPr="00AF0457">
        <w:rPr>
          <w:rFonts w:cstheme="minorHAnsi"/>
          <w:bCs/>
        </w:rPr>
        <w:t xml:space="preserve"> the development of hypertension. </w:t>
      </w:r>
      <w:r w:rsidR="00543EFD" w:rsidRPr="00AF0457">
        <w:rPr>
          <w:rFonts w:cstheme="minorHAnsi"/>
          <w:bCs/>
        </w:rPr>
        <w:t>While we</w:t>
      </w:r>
      <w:r w:rsidR="004070FF" w:rsidRPr="00AF0457">
        <w:rPr>
          <w:rFonts w:cstheme="minorHAnsi"/>
          <w:bCs/>
        </w:rPr>
        <w:t xml:space="preserve"> found positive associations of </w:t>
      </w:r>
      <w:r w:rsidR="00EC0050" w:rsidRPr="00AF0457">
        <w:rPr>
          <w:rFonts w:cstheme="minorHAnsi"/>
          <w:bCs/>
        </w:rPr>
        <w:t>TSH/</w:t>
      </w:r>
      <w:r w:rsidR="00357631" w:rsidRPr="00AF0457">
        <w:rPr>
          <w:rFonts w:cstheme="minorHAnsi"/>
          <w:bCs/>
        </w:rPr>
        <w:t>FT4</w:t>
      </w:r>
      <w:r w:rsidR="00EC0050" w:rsidRPr="00AF0457">
        <w:rPr>
          <w:rFonts w:cstheme="minorHAnsi"/>
          <w:bCs/>
        </w:rPr>
        <w:t xml:space="preserve"> ratio</w:t>
      </w:r>
      <w:r w:rsidR="00905CEF" w:rsidRPr="00AF0457">
        <w:rPr>
          <w:rFonts w:cstheme="minorHAnsi"/>
          <w:bCs/>
        </w:rPr>
        <w:t xml:space="preserve"> </w:t>
      </w:r>
      <w:r w:rsidR="004070FF" w:rsidRPr="00AF0457">
        <w:rPr>
          <w:rFonts w:cstheme="minorHAnsi"/>
          <w:bCs/>
        </w:rPr>
        <w:t>with</w:t>
      </w:r>
      <w:r w:rsidR="001414EB" w:rsidRPr="00AF0457">
        <w:rPr>
          <w:rFonts w:cstheme="minorHAnsi"/>
          <w:bCs/>
        </w:rPr>
        <w:t xml:space="preserve"> change in</w:t>
      </w:r>
      <w:r w:rsidR="004070FF" w:rsidRPr="00AF0457">
        <w:rPr>
          <w:rFonts w:cstheme="minorHAnsi"/>
          <w:bCs/>
        </w:rPr>
        <w:t xml:space="preserve"> </w:t>
      </w:r>
      <w:r w:rsidR="0038196A" w:rsidRPr="00AF0457">
        <w:rPr>
          <w:rFonts w:cstheme="minorHAnsi"/>
          <w:bCs/>
        </w:rPr>
        <w:t>DBP</w:t>
      </w:r>
      <w:r w:rsidR="00BD6B4F" w:rsidRPr="00AF0457">
        <w:rPr>
          <w:rFonts w:cstheme="minorHAnsi"/>
          <w:bCs/>
        </w:rPr>
        <w:t xml:space="preserve"> in men and</w:t>
      </w:r>
      <w:r w:rsidR="00463635" w:rsidRPr="00AF0457">
        <w:rPr>
          <w:rFonts w:cstheme="minorHAnsi"/>
          <w:bCs/>
        </w:rPr>
        <w:t xml:space="preserve"> postmenopausal</w:t>
      </w:r>
      <w:r w:rsidR="00BD6B4F" w:rsidRPr="00AF0457">
        <w:rPr>
          <w:rFonts w:cstheme="minorHAnsi"/>
          <w:bCs/>
        </w:rPr>
        <w:t xml:space="preserve"> women</w:t>
      </w:r>
      <w:r w:rsidR="00FE4B20" w:rsidRPr="00AF0457">
        <w:rPr>
          <w:rFonts w:cstheme="minorHAnsi"/>
          <w:bCs/>
        </w:rPr>
        <w:t xml:space="preserve">, </w:t>
      </w:r>
      <w:r w:rsidR="00905CEF" w:rsidRPr="00AF0457">
        <w:rPr>
          <w:rFonts w:cstheme="minorHAnsi"/>
          <w:bCs/>
        </w:rPr>
        <w:t>associations</w:t>
      </w:r>
      <w:r w:rsidR="00077B88" w:rsidRPr="00AF0457">
        <w:rPr>
          <w:rFonts w:cstheme="minorHAnsi"/>
          <w:bCs/>
        </w:rPr>
        <w:t xml:space="preserve"> </w:t>
      </w:r>
      <w:r w:rsidR="00C9066E" w:rsidRPr="00AF0457">
        <w:rPr>
          <w:rFonts w:cstheme="minorHAnsi"/>
          <w:bCs/>
        </w:rPr>
        <w:t xml:space="preserve">of </w:t>
      </w:r>
      <w:r w:rsidR="00CA65B3" w:rsidRPr="00AF0457">
        <w:rPr>
          <w:rFonts w:cstheme="minorHAnsi"/>
          <w:bCs/>
        </w:rPr>
        <w:t>indices</w:t>
      </w:r>
      <w:r w:rsidR="00AB1154" w:rsidRPr="00AF0457">
        <w:rPr>
          <w:rFonts w:cstheme="minorHAnsi"/>
          <w:bCs/>
        </w:rPr>
        <w:t xml:space="preserve"> of </w:t>
      </w:r>
      <w:r w:rsidR="00B17FBC" w:rsidRPr="00AF0457">
        <w:rPr>
          <w:rFonts w:cstheme="minorHAnsi"/>
          <w:bCs/>
        </w:rPr>
        <w:t xml:space="preserve">pituitary sensitivity to </w:t>
      </w:r>
      <w:r w:rsidR="00C9066E" w:rsidRPr="00AF0457">
        <w:rPr>
          <w:rFonts w:cstheme="minorHAnsi"/>
          <w:bCs/>
        </w:rPr>
        <w:t>thyroid hormone</w:t>
      </w:r>
      <w:r w:rsidR="00B17FBC" w:rsidRPr="00AF0457">
        <w:rPr>
          <w:rFonts w:cstheme="minorHAnsi"/>
          <w:bCs/>
        </w:rPr>
        <w:t>s</w:t>
      </w:r>
      <w:r w:rsidR="00C9066E" w:rsidRPr="00AF0457">
        <w:rPr>
          <w:rFonts w:cstheme="minorHAnsi"/>
          <w:bCs/>
        </w:rPr>
        <w:t xml:space="preserve"> </w:t>
      </w:r>
      <w:r w:rsidR="00077B88" w:rsidRPr="00AF0457">
        <w:rPr>
          <w:rFonts w:cstheme="minorHAnsi"/>
          <w:bCs/>
        </w:rPr>
        <w:t>with</w:t>
      </w:r>
      <w:r w:rsidR="00B65F7E" w:rsidRPr="00AF0457">
        <w:rPr>
          <w:rFonts w:cstheme="minorHAnsi"/>
          <w:bCs/>
        </w:rPr>
        <w:t xml:space="preserve"> the</w:t>
      </w:r>
      <w:r w:rsidR="00077B88" w:rsidRPr="00AF0457">
        <w:rPr>
          <w:rFonts w:cstheme="minorHAnsi"/>
          <w:bCs/>
        </w:rPr>
        <w:t xml:space="preserve"> </w:t>
      </w:r>
      <w:r w:rsidR="004070FF" w:rsidRPr="00AF0457">
        <w:rPr>
          <w:rFonts w:cstheme="minorHAnsi"/>
          <w:bCs/>
        </w:rPr>
        <w:t>development of</w:t>
      </w:r>
      <w:r w:rsidR="00077B88" w:rsidRPr="00AF0457">
        <w:rPr>
          <w:rFonts w:cstheme="minorHAnsi"/>
          <w:bCs/>
        </w:rPr>
        <w:t xml:space="preserve"> hypertension</w:t>
      </w:r>
      <w:r w:rsidR="00C9066E" w:rsidRPr="00AF0457">
        <w:rPr>
          <w:rFonts w:cstheme="minorHAnsi"/>
          <w:bCs/>
        </w:rPr>
        <w:t xml:space="preserve"> </w:t>
      </w:r>
      <w:r w:rsidR="00905CEF" w:rsidRPr="00AF0457">
        <w:rPr>
          <w:rFonts w:cstheme="minorHAnsi"/>
          <w:bCs/>
        </w:rPr>
        <w:t xml:space="preserve">differed for men </w:t>
      </w:r>
      <w:r w:rsidR="00BF7631" w:rsidRPr="00AF0457">
        <w:rPr>
          <w:rFonts w:cstheme="minorHAnsi"/>
          <w:bCs/>
        </w:rPr>
        <w:t>and</w:t>
      </w:r>
      <w:r w:rsidR="00463635" w:rsidRPr="00AF0457">
        <w:rPr>
          <w:rFonts w:cstheme="minorHAnsi"/>
          <w:bCs/>
        </w:rPr>
        <w:t xml:space="preserve"> postmenopausal</w:t>
      </w:r>
      <w:r w:rsidR="00905CEF" w:rsidRPr="00AF0457">
        <w:rPr>
          <w:rFonts w:cstheme="minorHAnsi"/>
          <w:bCs/>
        </w:rPr>
        <w:t xml:space="preserve"> women</w:t>
      </w:r>
      <w:r w:rsidR="00CA65B3" w:rsidRPr="00AF0457">
        <w:rPr>
          <w:rFonts w:cstheme="minorHAnsi"/>
          <w:bCs/>
        </w:rPr>
        <w:t>.</w:t>
      </w:r>
      <w:r w:rsidR="005079D8" w:rsidRPr="00AF0457">
        <w:rPr>
          <w:rFonts w:cstheme="minorHAnsi"/>
          <w:bCs/>
        </w:rPr>
        <w:t xml:space="preserve"> </w:t>
      </w:r>
      <w:r w:rsidR="00CA65B3" w:rsidRPr="00AF0457">
        <w:rPr>
          <w:rFonts w:cstheme="minorHAnsi"/>
          <w:bCs/>
        </w:rPr>
        <w:t>We observed</w:t>
      </w:r>
      <w:r w:rsidR="005079D8" w:rsidRPr="00AF0457">
        <w:rPr>
          <w:rFonts w:cstheme="minorHAnsi"/>
          <w:bCs/>
        </w:rPr>
        <w:t xml:space="preserve"> inverse association</w:t>
      </w:r>
      <w:r w:rsidR="00C9066E" w:rsidRPr="00AF0457">
        <w:rPr>
          <w:rFonts w:cstheme="minorHAnsi"/>
          <w:bCs/>
        </w:rPr>
        <w:t>s</w:t>
      </w:r>
      <w:r w:rsidR="005079D8" w:rsidRPr="00AF0457">
        <w:rPr>
          <w:rFonts w:cstheme="minorHAnsi"/>
          <w:bCs/>
        </w:rPr>
        <w:t xml:space="preserve"> in women and positive association</w:t>
      </w:r>
      <w:r w:rsidR="00C9066E" w:rsidRPr="00AF0457">
        <w:rPr>
          <w:rFonts w:cstheme="minorHAnsi"/>
          <w:bCs/>
        </w:rPr>
        <w:t>s</w:t>
      </w:r>
      <w:r w:rsidR="005079D8" w:rsidRPr="00AF0457">
        <w:rPr>
          <w:rFonts w:cstheme="minorHAnsi"/>
          <w:bCs/>
        </w:rPr>
        <w:t xml:space="preserve"> in men</w:t>
      </w:r>
      <w:r w:rsidR="00AB1154" w:rsidRPr="00AF0457">
        <w:rPr>
          <w:rFonts w:cstheme="minorHAnsi"/>
          <w:bCs/>
        </w:rPr>
        <w:t>, consistent with increased sensitivity in women and decreased sensitivity in men</w:t>
      </w:r>
      <w:r w:rsidR="00EA7E7E" w:rsidRPr="00AF0457">
        <w:rPr>
          <w:rFonts w:cstheme="minorHAnsi"/>
          <w:bCs/>
        </w:rPr>
        <w:t xml:space="preserve">. In postmenopausal women but not men, we also observed associations with prehypertension suggesting that other mechanisms may be involved early in the disease process. </w:t>
      </w:r>
    </w:p>
    <w:p w14:paraId="521A97AF" w14:textId="16E06735" w:rsidR="00D70A2F" w:rsidRPr="00AF0457" w:rsidRDefault="008427DB" w:rsidP="00CC21FA">
      <w:pPr>
        <w:spacing w:after="40" w:line="480" w:lineRule="auto"/>
        <w:ind w:firstLine="720"/>
        <w:rPr>
          <w:rFonts w:cstheme="minorHAnsi"/>
          <w:bCs/>
        </w:rPr>
      </w:pPr>
      <w:r w:rsidRPr="00AF0457">
        <w:rPr>
          <w:rFonts w:cstheme="minorHAnsi"/>
          <w:bCs/>
        </w:rPr>
        <w:t xml:space="preserve">Both </w:t>
      </w:r>
      <w:r w:rsidR="001E390C" w:rsidRPr="00AF0457">
        <w:rPr>
          <w:rFonts w:cstheme="minorHAnsi"/>
          <w:bCs/>
        </w:rPr>
        <w:t xml:space="preserve">TFQI and PTFQI </w:t>
      </w:r>
      <w:r w:rsidR="008E46B7" w:rsidRPr="00AF0457">
        <w:rPr>
          <w:rFonts w:cstheme="minorHAnsi"/>
          <w:bCs/>
        </w:rPr>
        <w:t xml:space="preserve">measures </w:t>
      </w:r>
      <w:r w:rsidR="001E390C" w:rsidRPr="00AF0457">
        <w:rPr>
          <w:rFonts w:cstheme="minorHAnsi"/>
          <w:bCs/>
        </w:rPr>
        <w:t>account for outlier values in the presence of thyroid dysfunction and have been</w:t>
      </w:r>
      <w:r w:rsidR="0030575B" w:rsidRPr="00AF0457">
        <w:rPr>
          <w:rFonts w:cstheme="minorHAnsi"/>
          <w:bCs/>
        </w:rPr>
        <w:t xml:space="preserve"> linked to</w:t>
      </w:r>
      <w:r w:rsidR="001E390C" w:rsidRPr="00AF0457">
        <w:rPr>
          <w:rFonts w:cstheme="minorHAnsi"/>
          <w:bCs/>
        </w:rPr>
        <w:t xml:space="preserve"> diabetes,</w:t>
      </w:r>
      <w:r w:rsidR="0030575B" w:rsidRPr="00AF0457">
        <w:rPr>
          <w:rFonts w:cstheme="minorHAnsi"/>
          <w:bCs/>
        </w:rPr>
        <w:t xml:space="preserve"> metabolic disease</w:t>
      </w:r>
      <w:r w:rsidR="00CB0BEA" w:rsidRPr="00AF0457">
        <w:rPr>
          <w:rFonts w:cstheme="minorHAnsi"/>
          <w:bCs/>
        </w:rPr>
        <w:t>,</w:t>
      </w:r>
      <w:r w:rsidR="001E390C" w:rsidRPr="00AF0457">
        <w:rPr>
          <w:rFonts w:cstheme="minorHAnsi"/>
          <w:bCs/>
        </w:rPr>
        <w:t xml:space="preserve"> and dyslipidemia</w:t>
      </w:r>
      <w:r w:rsidR="00B5107D" w:rsidRPr="00AF0457">
        <w:rPr>
          <w:rFonts w:cstheme="minorHAnsi"/>
          <w:bCs/>
        </w:rPr>
        <w:t xml:space="preserve"> in multiple investigations</w:t>
      </w:r>
      <w:r w:rsidR="0030575B" w:rsidRPr="00AF0457">
        <w:rPr>
          <w:rFonts w:cstheme="minorHAnsi"/>
          <w:bCs/>
        </w:rPr>
        <w:t>.</w:t>
      </w:r>
      <w:r w:rsidR="00F27417" w:rsidRPr="00F27417">
        <w:rPr>
          <w:rFonts w:cstheme="minorHAnsi"/>
          <w:bCs/>
          <w:vertAlign w:val="superscript"/>
        </w:rPr>
        <w:fldChar w:fldCharType="begin"/>
      </w:r>
      <w:r w:rsidR="00F27417" w:rsidRPr="00F27417">
        <w:rPr>
          <w:rFonts w:cstheme="minorHAnsi"/>
          <w:bCs/>
          <w:vertAlign w:val="superscript"/>
        </w:rPr>
        <w:instrText xml:space="preserve"> NOTEREF _Ref158637897 \h </w:instrText>
      </w:r>
      <w:r w:rsidR="00F27417" w:rsidRPr="00F27417">
        <w:rPr>
          <w:rFonts w:cstheme="minorHAnsi"/>
          <w:bCs/>
          <w:vertAlign w:val="superscript"/>
        </w:rPr>
      </w:r>
      <w:r w:rsidR="00F27417">
        <w:rPr>
          <w:rFonts w:cstheme="minorHAnsi"/>
          <w:bCs/>
          <w:vertAlign w:val="superscript"/>
        </w:rPr>
        <w:instrText xml:space="preserve"> \* MERGEFORMAT </w:instrText>
      </w:r>
      <w:r w:rsidR="00F27417" w:rsidRPr="00F27417">
        <w:rPr>
          <w:rFonts w:cstheme="minorHAnsi"/>
          <w:bCs/>
          <w:vertAlign w:val="superscript"/>
        </w:rPr>
        <w:fldChar w:fldCharType="separate"/>
      </w:r>
      <w:r w:rsidR="000F6C53">
        <w:rPr>
          <w:rFonts w:cstheme="minorHAnsi"/>
          <w:bCs/>
          <w:vertAlign w:val="superscript"/>
        </w:rPr>
        <w:t>20</w:t>
      </w:r>
      <w:r w:rsidR="00F27417" w:rsidRPr="00F27417">
        <w:rPr>
          <w:rFonts w:cstheme="minorHAnsi"/>
          <w:bCs/>
          <w:vertAlign w:val="superscript"/>
        </w:rPr>
        <w:fldChar w:fldCharType="end"/>
      </w:r>
      <w:r w:rsidR="00F27417" w:rsidRPr="00F27417">
        <w:rPr>
          <w:rFonts w:cstheme="minorHAnsi"/>
          <w:bCs/>
          <w:vertAlign w:val="superscript"/>
        </w:rPr>
        <w:t>,</w:t>
      </w:r>
      <w:r w:rsidR="00F27417" w:rsidRPr="00F27417">
        <w:rPr>
          <w:rFonts w:cstheme="minorHAnsi"/>
          <w:bCs/>
          <w:vertAlign w:val="superscript"/>
        </w:rPr>
        <w:fldChar w:fldCharType="begin"/>
      </w:r>
      <w:r w:rsidR="00F27417" w:rsidRPr="00F27417">
        <w:rPr>
          <w:rFonts w:cstheme="minorHAnsi"/>
          <w:bCs/>
          <w:vertAlign w:val="superscript"/>
        </w:rPr>
        <w:instrText xml:space="preserve"> NOTEREF _Ref158638028 \h </w:instrText>
      </w:r>
      <w:r w:rsidR="00F27417" w:rsidRPr="00F27417">
        <w:rPr>
          <w:rFonts w:cstheme="minorHAnsi"/>
          <w:bCs/>
          <w:vertAlign w:val="superscript"/>
        </w:rPr>
      </w:r>
      <w:r w:rsidR="00F27417">
        <w:rPr>
          <w:rFonts w:cstheme="minorHAnsi"/>
          <w:bCs/>
          <w:vertAlign w:val="superscript"/>
        </w:rPr>
        <w:instrText xml:space="preserve"> \* MERGEFORMAT </w:instrText>
      </w:r>
      <w:r w:rsidR="00F27417" w:rsidRPr="00F27417">
        <w:rPr>
          <w:rFonts w:cstheme="minorHAnsi"/>
          <w:bCs/>
          <w:vertAlign w:val="superscript"/>
        </w:rPr>
        <w:fldChar w:fldCharType="separate"/>
      </w:r>
      <w:r w:rsidR="000F6C53">
        <w:rPr>
          <w:rFonts w:cstheme="minorHAnsi"/>
          <w:bCs/>
          <w:vertAlign w:val="superscript"/>
        </w:rPr>
        <w:t>22</w:t>
      </w:r>
      <w:r w:rsidR="00F27417" w:rsidRPr="00F27417">
        <w:rPr>
          <w:rFonts w:cstheme="minorHAnsi"/>
          <w:bCs/>
          <w:vertAlign w:val="superscript"/>
        </w:rPr>
        <w:fldChar w:fldCharType="end"/>
      </w:r>
      <w:r w:rsidR="00F27417" w:rsidRPr="00F27417">
        <w:rPr>
          <w:rFonts w:cstheme="minorHAnsi"/>
          <w:bCs/>
          <w:vertAlign w:val="superscript"/>
        </w:rPr>
        <w:t>,</w:t>
      </w:r>
      <w:r w:rsidR="00F27417" w:rsidRPr="00F27417">
        <w:rPr>
          <w:rFonts w:cstheme="minorHAnsi"/>
          <w:bCs/>
          <w:vertAlign w:val="superscript"/>
        </w:rPr>
        <w:fldChar w:fldCharType="begin"/>
      </w:r>
      <w:r w:rsidR="00F27417" w:rsidRPr="00F27417">
        <w:rPr>
          <w:rFonts w:cstheme="minorHAnsi"/>
          <w:bCs/>
          <w:vertAlign w:val="superscript"/>
        </w:rPr>
        <w:instrText xml:space="preserve"> NOTEREF _Ref160034323 \h </w:instrText>
      </w:r>
      <w:r w:rsidR="00F27417" w:rsidRPr="00F27417">
        <w:rPr>
          <w:rFonts w:cstheme="minorHAnsi"/>
          <w:bCs/>
          <w:vertAlign w:val="superscript"/>
        </w:rPr>
      </w:r>
      <w:r w:rsidR="00F27417">
        <w:rPr>
          <w:rFonts w:cstheme="minorHAnsi"/>
          <w:bCs/>
          <w:vertAlign w:val="superscript"/>
        </w:rPr>
        <w:instrText xml:space="preserve"> \* MERGEFORMAT </w:instrText>
      </w:r>
      <w:r w:rsidR="00F27417" w:rsidRPr="00F27417">
        <w:rPr>
          <w:rFonts w:cstheme="minorHAnsi"/>
          <w:bCs/>
          <w:vertAlign w:val="superscript"/>
        </w:rPr>
        <w:fldChar w:fldCharType="separate"/>
      </w:r>
      <w:r w:rsidR="000F6C53">
        <w:rPr>
          <w:rFonts w:cstheme="minorHAnsi"/>
          <w:bCs/>
          <w:vertAlign w:val="superscript"/>
        </w:rPr>
        <w:t>47</w:t>
      </w:r>
      <w:r w:rsidR="00F27417" w:rsidRPr="00F27417">
        <w:rPr>
          <w:rFonts w:cstheme="minorHAnsi"/>
          <w:bCs/>
          <w:vertAlign w:val="superscript"/>
        </w:rPr>
        <w:fldChar w:fldCharType="end"/>
      </w:r>
      <w:r w:rsidR="00F27417">
        <w:rPr>
          <w:rFonts w:cstheme="minorHAnsi"/>
          <w:bCs/>
        </w:rPr>
        <w:t xml:space="preserve"> </w:t>
      </w:r>
      <w:r w:rsidR="00FE1F43" w:rsidRPr="00AF0457">
        <w:rPr>
          <w:rFonts w:cstheme="minorHAnsi"/>
          <w:bCs/>
        </w:rPr>
        <w:t xml:space="preserve">Only a few cross-sectional studies have explored </w:t>
      </w:r>
      <w:r w:rsidR="008767C9" w:rsidRPr="00AF0457">
        <w:rPr>
          <w:rFonts w:cstheme="minorHAnsi"/>
          <w:bCs/>
        </w:rPr>
        <w:t xml:space="preserve">relationships </w:t>
      </w:r>
      <w:r w:rsidR="00E949CA" w:rsidRPr="00AF0457">
        <w:rPr>
          <w:rFonts w:cstheme="minorHAnsi"/>
          <w:bCs/>
        </w:rPr>
        <w:t>between</w:t>
      </w:r>
      <w:r w:rsidR="008767C9" w:rsidRPr="00AF0457">
        <w:rPr>
          <w:rFonts w:cstheme="minorHAnsi"/>
          <w:bCs/>
        </w:rPr>
        <w:t xml:space="preserve"> </w:t>
      </w:r>
      <w:r w:rsidR="004F0920" w:rsidRPr="00AF0457">
        <w:rPr>
          <w:rFonts w:cstheme="minorHAnsi"/>
          <w:bCs/>
        </w:rPr>
        <w:t>indices</w:t>
      </w:r>
      <w:r w:rsidR="008767C9" w:rsidRPr="00AF0457">
        <w:rPr>
          <w:rFonts w:cstheme="minorHAnsi"/>
          <w:bCs/>
        </w:rPr>
        <w:t xml:space="preserve"> of pituitary sensitivity </w:t>
      </w:r>
      <w:r w:rsidR="00E949CA" w:rsidRPr="00AF0457">
        <w:rPr>
          <w:rFonts w:cstheme="minorHAnsi"/>
          <w:bCs/>
        </w:rPr>
        <w:t>to</w:t>
      </w:r>
      <w:r w:rsidR="008767C9" w:rsidRPr="00AF0457">
        <w:rPr>
          <w:rFonts w:cstheme="minorHAnsi"/>
          <w:bCs/>
        </w:rPr>
        <w:t xml:space="preserve"> thyroid hormones</w:t>
      </w:r>
      <w:r w:rsidR="00FE1F43" w:rsidRPr="00AF0457">
        <w:rPr>
          <w:rFonts w:cstheme="minorHAnsi"/>
          <w:bCs/>
        </w:rPr>
        <w:t xml:space="preserve"> with BP and hypertension. </w:t>
      </w:r>
      <w:r w:rsidR="00850808" w:rsidRPr="00AF0457">
        <w:rPr>
          <w:rFonts w:cstheme="minorHAnsi"/>
          <w:bCs/>
        </w:rPr>
        <w:t>C</w:t>
      </w:r>
      <w:r w:rsidR="00904D58" w:rsidRPr="00AF0457">
        <w:rPr>
          <w:rFonts w:cstheme="minorHAnsi"/>
          <w:bCs/>
        </w:rPr>
        <w:t xml:space="preserve">onsistent with </w:t>
      </w:r>
      <w:r w:rsidR="00EA7E7E" w:rsidRPr="00AF0457">
        <w:rPr>
          <w:rFonts w:cstheme="minorHAnsi"/>
          <w:bCs/>
        </w:rPr>
        <w:t>our</w:t>
      </w:r>
      <w:r w:rsidR="00904D58" w:rsidRPr="00AF0457">
        <w:rPr>
          <w:rFonts w:cstheme="minorHAnsi"/>
          <w:bCs/>
        </w:rPr>
        <w:t xml:space="preserve"> findings</w:t>
      </w:r>
      <w:r w:rsidR="00510FE2">
        <w:rPr>
          <w:rFonts w:cstheme="minorHAnsi"/>
          <w:bCs/>
        </w:rPr>
        <w:t xml:space="preserve"> in men</w:t>
      </w:r>
      <w:r w:rsidR="00904D58" w:rsidRPr="00AF0457">
        <w:rPr>
          <w:rFonts w:cstheme="minorHAnsi"/>
          <w:bCs/>
        </w:rPr>
        <w:t xml:space="preserve">, </w:t>
      </w:r>
      <w:r w:rsidR="00850808" w:rsidRPr="00AF0457">
        <w:rPr>
          <w:rFonts w:cstheme="minorHAnsi"/>
          <w:bCs/>
        </w:rPr>
        <w:t>studies</w:t>
      </w:r>
      <w:r w:rsidR="009F2546">
        <w:rPr>
          <w:rFonts w:cstheme="minorHAnsi"/>
          <w:bCs/>
        </w:rPr>
        <w:t xml:space="preserve"> conducted in Iran and Chinese adults</w:t>
      </w:r>
      <w:r w:rsidR="00850808" w:rsidRPr="00AF0457">
        <w:rPr>
          <w:rFonts w:cstheme="minorHAnsi"/>
          <w:bCs/>
        </w:rPr>
        <w:t xml:space="preserve"> demonstrated</w:t>
      </w:r>
      <w:r w:rsidR="009D0D45">
        <w:rPr>
          <w:rFonts w:cstheme="minorHAnsi"/>
          <w:bCs/>
        </w:rPr>
        <w:t xml:space="preserve"> positive</w:t>
      </w:r>
      <w:r w:rsidR="00850808" w:rsidRPr="00AF0457">
        <w:rPr>
          <w:rFonts w:cstheme="minorHAnsi"/>
          <w:bCs/>
        </w:rPr>
        <w:t xml:space="preserve"> associations of TFQI,</w:t>
      </w:r>
      <w:r w:rsidR="00557FA8" w:rsidRPr="00AF0457">
        <w:rPr>
          <w:rFonts w:cstheme="minorHAnsi"/>
          <w:bCs/>
        </w:rPr>
        <w:t xml:space="preserve"> PTFQI,</w:t>
      </w:r>
      <w:r w:rsidR="00850808" w:rsidRPr="00AF0457">
        <w:rPr>
          <w:rFonts w:cstheme="minorHAnsi"/>
          <w:bCs/>
        </w:rPr>
        <w:t xml:space="preserve"> TSHI</w:t>
      </w:r>
      <w:r w:rsidR="00CB0BEA" w:rsidRPr="00AF0457">
        <w:rPr>
          <w:rFonts w:cstheme="minorHAnsi"/>
          <w:bCs/>
        </w:rPr>
        <w:t>,</w:t>
      </w:r>
      <w:r w:rsidR="00850808" w:rsidRPr="00AF0457">
        <w:rPr>
          <w:rFonts w:cstheme="minorHAnsi"/>
          <w:bCs/>
        </w:rPr>
        <w:t xml:space="preserve"> and TT4RI with </w:t>
      </w:r>
      <w:r w:rsidR="00837394" w:rsidRPr="00AF0457">
        <w:rPr>
          <w:rFonts w:cstheme="minorHAnsi"/>
          <w:bCs/>
        </w:rPr>
        <w:t>hypertension</w:t>
      </w:r>
      <w:r w:rsidR="003317E5" w:rsidRPr="00AF0457">
        <w:rPr>
          <w:rFonts w:cstheme="minorHAnsi"/>
          <w:bCs/>
        </w:rPr>
        <w:t>.</w:t>
      </w:r>
      <w:r w:rsidR="00F27417" w:rsidRPr="002334FF">
        <w:rPr>
          <w:rFonts w:cstheme="minorHAnsi"/>
          <w:bCs/>
          <w:vertAlign w:val="superscript"/>
        </w:rPr>
        <w:fldChar w:fldCharType="begin"/>
      </w:r>
      <w:r w:rsidR="00F27417" w:rsidRPr="002334FF">
        <w:rPr>
          <w:rFonts w:cstheme="minorHAnsi"/>
          <w:bCs/>
          <w:vertAlign w:val="superscript"/>
        </w:rPr>
        <w:instrText xml:space="preserve"> NOTEREF _Ref160034351 \h </w:instrText>
      </w:r>
      <w:r w:rsidR="00F27417" w:rsidRPr="002334FF">
        <w:rPr>
          <w:rFonts w:cstheme="minorHAnsi"/>
          <w:bCs/>
          <w:vertAlign w:val="superscript"/>
        </w:rPr>
      </w:r>
      <w:r w:rsidR="002334FF">
        <w:rPr>
          <w:rFonts w:cstheme="minorHAnsi"/>
          <w:bCs/>
          <w:vertAlign w:val="superscript"/>
        </w:rPr>
        <w:instrText xml:space="preserve"> \* MERGEFORMAT </w:instrText>
      </w:r>
      <w:r w:rsidR="00F27417" w:rsidRPr="002334FF">
        <w:rPr>
          <w:rFonts w:cstheme="minorHAnsi"/>
          <w:bCs/>
          <w:vertAlign w:val="superscript"/>
        </w:rPr>
        <w:fldChar w:fldCharType="separate"/>
      </w:r>
      <w:r w:rsidR="000F6C53">
        <w:rPr>
          <w:rFonts w:cstheme="minorHAnsi"/>
          <w:bCs/>
          <w:vertAlign w:val="superscript"/>
        </w:rPr>
        <w:t>46</w:t>
      </w:r>
      <w:r w:rsidR="00F27417" w:rsidRPr="002334FF">
        <w:rPr>
          <w:rFonts w:cstheme="minorHAnsi"/>
          <w:bCs/>
          <w:vertAlign w:val="superscript"/>
        </w:rPr>
        <w:fldChar w:fldCharType="end"/>
      </w:r>
      <w:r w:rsidR="002334FF" w:rsidRPr="002334FF">
        <w:rPr>
          <w:rFonts w:cstheme="minorHAnsi"/>
          <w:bCs/>
          <w:vertAlign w:val="superscript"/>
        </w:rPr>
        <w:t>,</w:t>
      </w:r>
      <w:r w:rsidR="00F27417" w:rsidRPr="002334FF">
        <w:rPr>
          <w:rFonts w:cstheme="minorHAnsi"/>
          <w:bCs/>
          <w:vertAlign w:val="superscript"/>
        </w:rPr>
        <w:fldChar w:fldCharType="begin"/>
      </w:r>
      <w:r w:rsidR="00F27417" w:rsidRPr="002334FF">
        <w:rPr>
          <w:rFonts w:cstheme="minorHAnsi"/>
          <w:bCs/>
          <w:vertAlign w:val="superscript"/>
        </w:rPr>
        <w:instrText xml:space="preserve"> NOTEREF _Ref160034323 \h </w:instrText>
      </w:r>
      <w:r w:rsidR="00F27417" w:rsidRPr="002334FF">
        <w:rPr>
          <w:rFonts w:cstheme="minorHAnsi"/>
          <w:bCs/>
          <w:vertAlign w:val="superscript"/>
        </w:rPr>
      </w:r>
      <w:r w:rsidR="002334FF">
        <w:rPr>
          <w:rFonts w:cstheme="minorHAnsi"/>
          <w:bCs/>
          <w:vertAlign w:val="superscript"/>
        </w:rPr>
        <w:instrText xml:space="preserve"> \* MERGEFORMAT </w:instrText>
      </w:r>
      <w:r w:rsidR="00F27417" w:rsidRPr="002334FF">
        <w:rPr>
          <w:rFonts w:cstheme="minorHAnsi"/>
          <w:bCs/>
          <w:vertAlign w:val="superscript"/>
        </w:rPr>
        <w:fldChar w:fldCharType="separate"/>
      </w:r>
      <w:r w:rsidR="000F6C53">
        <w:rPr>
          <w:rFonts w:cstheme="minorHAnsi"/>
          <w:bCs/>
          <w:vertAlign w:val="superscript"/>
        </w:rPr>
        <w:t>47</w:t>
      </w:r>
      <w:r w:rsidR="00F27417" w:rsidRPr="002334FF">
        <w:rPr>
          <w:rFonts w:cstheme="minorHAnsi"/>
          <w:bCs/>
          <w:vertAlign w:val="superscript"/>
        </w:rPr>
        <w:fldChar w:fldCharType="end"/>
      </w:r>
      <w:r w:rsidR="002334FF">
        <w:rPr>
          <w:rFonts w:cstheme="minorHAnsi"/>
          <w:bCs/>
          <w:vertAlign w:val="superscript"/>
        </w:rPr>
        <w:t xml:space="preserve"> </w:t>
      </w:r>
      <w:r w:rsidR="006C30F9">
        <w:rPr>
          <w:rFonts w:cstheme="minorHAnsi"/>
          <w:bCs/>
        </w:rPr>
        <w:t>Positive cross-sectional associations were reported</w:t>
      </w:r>
      <w:r w:rsidR="00A61664">
        <w:rPr>
          <w:rFonts w:cstheme="minorHAnsi"/>
          <w:bCs/>
        </w:rPr>
        <w:t xml:space="preserve"> for indices of pituitary sensitivity to thyroid hormones</w:t>
      </w:r>
      <w:r w:rsidR="006C30F9">
        <w:rPr>
          <w:rFonts w:cstheme="minorHAnsi"/>
          <w:bCs/>
        </w:rPr>
        <w:t xml:space="preserve"> with BP but </w:t>
      </w:r>
      <w:r w:rsidR="004E6B6F">
        <w:rPr>
          <w:rFonts w:cstheme="minorHAnsi"/>
          <w:bCs/>
        </w:rPr>
        <w:t>the analysis</w:t>
      </w:r>
      <w:r w:rsidR="00615B11">
        <w:rPr>
          <w:rFonts w:cstheme="minorHAnsi"/>
          <w:bCs/>
        </w:rPr>
        <w:t xml:space="preserve"> by Yang et al.</w:t>
      </w:r>
      <w:r w:rsidR="004E6B6F">
        <w:rPr>
          <w:rFonts w:cstheme="minorHAnsi"/>
          <w:bCs/>
        </w:rPr>
        <w:t xml:space="preserve"> was not</w:t>
      </w:r>
      <w:r w:rsidR="006C30F9">
        <w:rPr>
          <w:rFonts w:cstheme="minorHAnsi"/>
          <w:bCs/>
        </w:rPr>
        <w:t xml:space="preserve"> stratified </w:t>
      </w:r>
      <w:r w:rsidR="004E6B6F">
        <w:rPr>
          <w:rFonts w:cstheme="minorHAnsi"/>
          <w:bCs/>
        </w:rPr>
        <w:t>by sex</w:t>
      </w:r>
      <w:r w:rsidR="006C30F9">
        <w:rPr>
          <w:rFonts w:cstheme="minorHAnsi"/>
          <w:bCs/>
        </w:rPr>
        <w:t>.</w:t>
      </w:r>
      <w:r w:rsidR="003B7D9B">
        <w:rPr>
          <w:rFonts w:cstheme="minorHAnsi"/>
          <w:bCs/>
          <w:vertAlign w:val="superscript"/>
        </w:rPr>
        <w:t>34</w:t>
      </w:r>
      <w:r w:rsidR="006C30F9" w:rsidRPr="00D04F56">
        <w:t xml:space="preserve"> </w:t>
      </w:r>
      <w:r w:rsidR="00BB592B" w:rsidRPr="00AF0457">
        <w:rPr>
          <w:rFonts w:cstheme="minorHAnsi"/>
          <w:bCs/>
        </w:rPr>
        <w:t>In addition</w:t>
      </w:r>
      <w:r w:rsidR="00265DF2" w:rsidRPr="00AF0457">
        <w:rPr>
          <w:rFonts w:cstheme="minorHAnsi"/>
          <w:bCs/>
        </w:rPr>
        <w:t>,</w:t>
      </w:r>
      <w:r w:rsidR="00BB592B" w:rsidRPr="00AF0457">
        <w:rPr>
          <w:rFonts w:cstheme="minorHAnsi"/>
          <w:bCs/>
        </w:rPr>
        <w:t xml:space="preserve"> some</w:t>
      </w:r>
      <w:r w:rsidR="00B15F34" w:rsidRPr="00AF0457">
        <w:rPr>
          <w:rFonts w:cstheme="minorHAnsi"/>
          <w:bCs/>
        </w:rPr>
        <w:t xml:space="preserve"> studies </w:t>
      </w:r>
      <w:r w:rsidR="00BB592B" w:rsidRPr="00AF0457">
        <w:rPr>
          <w:rFonts w:cstheme="minorHAnsi"/>
          <w:bCs/>
        </w:rPr>
        <w:t>have shown</w:t>
      </w:r>
      <w:r w:rsidR="00B15F34" w:rsidRPr="00AF0457">
        <w:rPr>
          <w:rFonts w:cstheme="minorHAnsi"/>
          <w:bCs/>
        </w:rPr>
        <w:t xml:space="preserve"> associations of hypothyroidism with DBP,</w:t>
      </w:r>
      <w:r w:rsidR="00B15F34" w:rsidRPr="00AF0457">
        <w:rPr>
          <w:rStyle w:val="EndnoteReference"/>
          <w:rFonts w:cstheme="minorHAnsi"/>
          <w:bCs/>
        </w:rPr>
        <w:endnoteReference w:id="70"/>
      </w:r>
      <w:r w:rsidR="00B15F34" w:rsidRPr="00AF0457">
        <w:rPr>
          <w:rFonts w:cstheme="minorHAnsi"/>
          <w:bCs/>
          <w:vertAlign w:val="superscript"/>
        </w:rPr>
        <w:t>,</w:t>
      </w:r>
      <w:r w:rsidR="00B15F34" w:rsidRPr="00AF0457">
        <w:rPr>
          <w:rStyle w:val="EndnoteReference"/>
          <w:rFonts w:cstheme="minorHAnsi"/>
          <w:bCs/>
        </w:rPr>
        <w:endnoteReference w:id="71"/>
      </w:r>
      <w:r w:rsidR="00B15F34" w:rsidRPr="00AF0457">
        <w:rPr>
          <w:rFonts w:cstheme="minorHAnsi"/>
          <w:bCs/>
          <w:vertAlign w:val="superscript"/>
        </w:rPr>
        <w:t>,</w:t>
      </w:r>
      <w:r w:rsidR="00B15F34" w:rsidRPr="00AF0457">
        <w:rPr>
          <w:rStyle w:val="EndnoteReference"/>
          <w:rFonts w:cstheme="minorHAnsi"/>
          <w:bCs/>
        </w:rPr>
        <w:endnoteReference w:id="72"/>
      </w:r>
      <w:r w:rsidR="00B15F34" w:rsidRPr="00AF0457">
        <w:rPr>
          <w:rFonts w:cstheme="minorHAnsi"/>
          <w:bCs/>
          <w:vertAlign w:val="superscript"/>
        </w:rPr>
        <w:t>,</w:t>
      </w:r>
      <w:r w:rsidR="00B15F34" w:rsidRPr="00AF0457">
        <w:rPr>
          <w:rStyle w:val="EndnoteReference"/>
          <w:rFonts w:cstheme="minorHAnsi"/>
          <w:bCs/>
        </w:rPr>
        <w:endnoteReference w:id="73"/>
      </w:r>
      <w:r w:rsidR="00D8624E">
        <w:rPr>
          <w:rFonts w:cstheme="minorHAnsi"/>
          <w:bCs/>
        </w:rPr>
        <w:t xml:space="preserve"> </w:t>
      </w:r>
      <w:r w:rsidR="00B15F34" w:rsidRPr="00AF0457">
        <w:rPr>
          <w:rFonts w:cstheme="minorHAnsi"/>
          <w:bCs/>
        </w:rPr>
        <w:t>particularly in women</w:t>
      </w:r>
      <w:r w:rsidR="00B15F34" w:rsidRPr="00AF0457">
        <w:rPr>
          <w:rStyle w:val="EndnoteReference"/>
          <w:rFonts w:cstheme="minorHAnsi"/>
          <w:bCs/>
        </w:rPr>
        <w:endnoteReference w:id="74"/>
      </w:r>
      <w:r w:rsidR="00B15F34" w:rsidRPr="00AF0457">
        <w:rPr>
          <w:rFonts w:cstheme="minorHAnsi"/>
          <w:bCs/>
        </w:rPr>
        <w:t xml:space="preserve"> while hyperthyroidism was associated with SBP.</w:t>
      </w:r>
      <w:r w:rsidR="00B15F34" w:rsidRPr="00AF0457">
        <w:rPr>
          <w:rFonts w:cstheme="minorHAnsi"/>
          <w:bCs/>
          <w:vertAlign w:val="superscript"/>
        </w:rPr>
        <w:fldChar w:fldCharType="begin"/>
      </w:r>
      <w:r w:rsidR="00B15F34" w:rsidRPr="00AF0457">
        <w:rPr>
          <w:rFonts w:cstheme="minorHAnsi"/>
          <w:bCs/>
          <w:vertAlign w:val="superscript"/>
        </w:rPr>
        <w:instrText xml:space="preserve"> NOTEREF _Ref113108064 \h  \* MERGEFORMAT </w:instrText>
      </w:r>
      <w:r w:rsidR="00B15F34" w:rsidRPr="00AF0457">
        <w:rPr>
          <w:rFonts w:cstheme="minorHAnsi"/>
          <w:bCs/>
          <w:vertAlign w:val="superscript"/>
        </w:rPr>
      </w:r>
      <w:r w:rsidR="00B15F34" w:rsidRPr="00AF0457">
        <w:rPr>
          <w:rFonts w:cstheme="minorHAnsi"/>
          <w:bCs/>
          <w:vertAlign w:val="superscript"/>
        </w:rPr>
        <w:fldChar w:fldCharType="separate"/>
      </w:r>
      <w:r w:rsidR="000F6C53">
        <w:rPr>
          <w:rFonts w:cstheme="minorHAnsi"/>
          <w:bCs/>
          <w:vertAlign w:val="superscript"/>
        </w:rPr>
        <w:t>28</w:t>
      </w:r>
      <w:r w:rsidR="00B15F34" w:rsidRPr="00AF0457">
        <w:rPr>
          <w:rFonts w:cstheme="minorHAnsi"/>
          <w:bCs/>
          <w:vertAlign w:val="superscript"/>
        </w:rPr>
        <w:fldChar w:fldCharType="end"/>
      </w:r>
      <w:r w:rsidR="00111C33" w:rsidRPr="00AF0457">
        <w:rPr>
          <w:rFonts w:cstheme="minorHAnsi"/>
          <w:bCs/>
        </w:rPr>
        <w:t xml:space="preserve"> </w:t>
      </w:r>
      <w:r w:rsidR="004F0920" w:rsidRPr="00AF0457">
        <w:rPr>
          <w:rFonts w:cstheme="minorHAnsi"/>
          <w:bCs/>
        </w:rPr>
        <w:t xml:space="preserve">The present study could not examine associations of thyroid-related hormones with isolated systolic and diastolic </w:t>
      </w:r>
      <w:r w:rsidR="004F0920" w:rsidRPr="00AF0457">
        <w:rPr>
          <w:rFonts w:cstheme="minorHAnsi"/>
          <w:bCs/>
        </w:rPr>
        <w:lastRenderedPageBreak/>
        <w:t xml:space="preserve">hypertension because of limited sample size. Nevertheless, future longitudinal studies are important to further examine these relationships especially as </w:t>
      </w:r>
      <w:r w:rsidR="00365F06" w:rsidRPr="00AF0457">
        <w:rPr>
          <w:rFonts w:cstheme="minorHAnsi"/>
          <w:bCs/>
        </w:rPr>
        <w:t>they relate</w:t>
      </w:r>
      <w:r w:rsidR="004F0920" w:rsidRPr="00AF0457">
        <w:rPr>
          <w:rFonts w:cstheme="minorHAnsi"/>
          <w:bCs/>
        </w:rPr>
        <w:t xml:space="preserve"> to indices of pituitary sensitivity to thyroid hormones.</w:t>
      </w:r>
    </w:p>
    <w:p w14:paraId="796E2159" w14:textId="173F3E1A" w:rsidR="00EA0C0D" w:rsidRDefault="00704432" w:rsidP="00CC21FA">
      <w:pPr>
        <w:spacing w:after="40" w:line="480" w:lineRule="auto"/>
        <w:ind w:firstLine="720"/>
        <w:rPr>
          <w:rFonts w:cstheme="minorHAnsi"/>
          <w:bCs/>
          <w:vertAlign w:val="superscript"/>
        </w:rPr>
      </w:pPr>
      <w:r w:rsidRPr="00AF0457">
        <w:rPr>
          <w:rFonts w:cstheme="minorHAnsi"/>
          <w:bCs/>
        </w:rPr>
        <w:t>The mechanism</w:t>
      </w:r>
      <w:r w:rsidR="0080397D" w:rsidRPr="00AF0457">
        <w:rPr>
          <w:rFonts w:cstheme="minorHAnsi"/>
          <w:bCs/>
        </w:rPr>
        <w:t>s</w:t>
      </w:r>
      <w:r w:rsidRPr="00AF0457">
        <w:rPr>
          <w:rFonts w:cstheme="minorHAnsi"/>
          <w:bCs/>
        </w:rPr>
        <w:t xml:space="preserve"> through which </w:t>
      </w:r>
      <w:r w:rsidR="00693253" w:rsidRPr="00AF0457">
        <w:rPr>
          <w:rFonts w:cstheme="minorHAnsi"/>
          <w:bCs/>
        </w:rPr>
        <w:t>thyroid-related</w:t>
      </w:r>
      <w:r w:rsidRPr="00AF0457">
        <w:rPr>
          <w:rFonts w:cstheme="minorHAnsi"/>
          <w:bCs/>
        </w:rPr>
        <w:t xml:space="preserve"> hormones are linked to </w:t>
      </w:r>
      <w:r w:rsidR="00662F90" w:rsidRPr="00AF0457">
        <w:rPr>
          <w:rFonts w:cstheme="minorHAnsi"/>
          <w:bCs/>
        </w:rPr>
        <w:t>the development</w:t>
      </w:r>
      <w:r w:rsidRPr="00AF0457">
        <w:rPr>
          <w:rFonts w:cstheme="minorHAnsi"/>
          <w:bCs/>
        </w:rPr>
        <w:t xml:space="preserve"> of hypertension </w:t>
      </w:r>
      <w:r w:rsidR="009D445D" w:rsidRPr="00AF0457">
        <w:rPr>
          <w:rFonts w:cstheme="minorHAnsi"/>
          <w:bCs/>
        </w:rPr>
        <w:t>are</w:t>
      </w:r>
      <w:r w:rsidRPr="00AF0457">
        <w:rPr>
          <w:rFonts w:cstheme="minorHAnsi"/>
          <w:bCs/>
        </w:rPr>
        <w:t xml:space="preserve"> complex and may occur through cardiometabolic effects such as hyperlipidemia,</w:t>
      </w:r>
      <w:r w:rsidR="002A0553" w:rsidRPr="00AF0457">
        <w:rPr>
          <w:rFonts w:cstheme="minorHAnsi"/>
          <w:bCs/>
        </w:rPr>
        <w:t xml:space="preserve"> </w:t>
      </w:r>
      <w:r w:rsidR="00DC3867" w:rsidRPr="00AF0457">
        <w:rPr>
          <w:rFonts w:cstheme="minorHAnsi"/>
          <w:bCs/>
        </w:rPr>
        <w:t xml:space="preserve">endothelial dysfunction, </w:t>
      </w:r>
      <w:r w:rsidRPr="00AF0457">
        <w:rPr>
          <w:rFonts w:cstheme="minorHAnsi"/>
          <w:bCs/>
        </w:rPr>
        <w:t>change</w:t>
      </w:r>
      <w:r w:rsidR="00CB0BEA" w:rsidRPr="00AF0457">
        <w:rPr>
          <w:rFonts w:cstheme="minorHAnsi"/>
          <w:bCs/>
        </w:rPr>
        <w:t>s</w:t>
      </w:r>
      <w:r w:rsidR="00475CE9" w:rsidRPr="00AF0457">
        <w:rPr>
          <w:rFonts w:cstheme="minorHAnsi"/>
          <w:bCs/>
        </w:rPr>
        <w:t xml:space="preserve"> in</w:t>
      </w:r>
      <w:r w:rsidRPr="00AF0457">
        <w:rPr>
          <w:rFonts w:cstheme="minorHAnsi"/>
          <w:bCs/>
        </w:rPr>
        <w:t xml:space="preserve"> vascular resistance</w:t>
      </w:r>
      <w:r w:rsidR="00A91D6A" w:rsidRPr="00AF0457">
        <w:rPr>
          <w:rFonts w:cstheme="minorHAnsi"/>
          <w:bCs/>
        </w:rPr>
        <w:t>,</w:t>
      </w:r>
      <w:r w:rsidRPr="00AF0457">
        <w:rPr>
          <w:rFonts w:cstheme="minorHAnsi"/>
          <w:bCs/>
        </w:rPr>
        <w:t xml:space="preserve"> renal hemodynamics</w:t>
      </w:r>
      <w:r w:rsidR="00CB0BEA" w:rsidRPr="00AF0457">
        <w:rPr>
          <w:rFonts w:cstheme="minorHAnsi"/>
          <w:bCs/>
        </w:rPr>
        <w:t>,</w:t>
      </w:r>
      <w:r w:rsidRPr="00AF0457">
        <w:rPr>
          <w:rFonts w:cstheme="minorHAnsi"/>
          <w:bCs/>
        </w:rPr>
        <w:t xml:space="preserve"> and sodium homeostasis</w:t>
      </w:r>
      <w:r w:rsidR="004E00BC" w:rsidRPr="00AF0457">
        <w:rPr>
          <w:rFonts w:cstheme="minorHAnsi"/>
          <w:bCs/>
        </w:rPr>
        <w:t>.</w:t>
      </w:r>
      <w:r w:rsidR="004E00BC" w:rsidRPr="00AF0457">
        <w:rPr>
          <w:rStyle w:val="EndnoteReference"/>
          <w:rFonts w:cstheme="minorHAnsi"/>
          <w:bCs/>
        </w:rPr>
        <w:endnoteReference w:id="75"/>
      </w:r>
      <w:r w:rsidR="004E00BC" w:rsidRPr="00AF0457">
        <w:rPr>
          <w:rFonts w:cstheme="minorHAnsi"/>
          <w:bCs/>
          <w:vertAlign w:val="superscript"/>
        </w:rPr>
        <w:t>,</w:t>
      </w:r>
      <w:r w:rsidR="004E00BC" w:rsidRPr="00AF0457">
        <w:rPr>
          <w:rStyle w:val="EndnoteReference"/>
          <w:rFonts w:cstheme="minorHAnsi"/>
          <w:bCs/>
        </w:rPr>
        <w:endnoteReference w:id="76"/>
      </w:r>
      <w:r w:rsidR="006179F6" w:rsidRPr="00AF0457">
        <w:rPr>
          <w:rFonts w:cstheme="minorHAnsi"/>
          <w:bCs/>
          <w:vertAlign w:val="superscript"/>
        </w:rPr>
        <w:t>,</w:t>
      </w:r>
      <w:r w:rsidR="006179F6" w:rsidRPr="00AF0457">
        <w:rPr>
          <w:rStyle w:val="EndnoteReference"/>
          <w:rFonts w:cstheme="minorHAnsi"/>
          <w:bCs/>
        </w:rPr>
        <w:endnoteReference w:id="77"/>
      </w:r>
      <w:r w:rsidR="004E00BC" w:rsidRPr="00AF0457">
        <w:rPr>
          <w:rFonts w:cstheme="minorHAnsi"/>
          <w:bCs/>
        </w:rPr>
        <w:t xml:space="preserve"> </w:t>
      </w:r>
      <w:r w:rsidR="00104EC5" w:rsidRPr="00AF0457">
        <w:rPr>
          <w:rFonts w:cstheme="minorHAnsi"/>
          <w:bCs/>
        </w:rPr>
        <w:t>Thyroid dysfunction</w:t>
      </w:r>
      <w:r w:rsidR="00185379" w:rsidRPr="00AF0457">
        <w:rPr>
          <w:rFonts w:cstheme="minorHAnsi"/>
          <w:bCs/>
        </w:rPr>
        <w:t xml:space="preserve"> characterized by higher TSH and T3 and lower T4 are </w:t>
      </w:r>
      <w:r w:rsidRPr="00AF0457">
        <w:rPr>
          <w:rFonts w:cstheme="minorHAnsi"/>
          <w:bCs/>
        </w:rPr>
        <w:t xml:space="preserve">related to obesity, insulin resistance, and </w:t>
      </w:r>
      <w:r w:rsidR="00922DE9" w:rsidRPr="00AF0457">
        <w:rPr>
          <w:rFonts w:cstheme="minorHAnsi"/>
          <w:bCs/>
        </w:rPr>
        <w:t xml:space="preserve">increased </w:t>
      </w:r>
      <w:r w:rsidRPr="00AF0457">
        <w:rPr>
          <w:rFonts w:cstheme="minorHAnsi"/>
          <w:bCs/>
        </w:rPr>
        <w:t>dysregulation of the HPT axis.</w:t>
      </w:r>
      <w:bookmarkStart w:id="48" w:name="_Ref112014690"/>
      <w:r w:rsidR="006179F6" w:rsidRPr="00AF0457">
        <w:rPr>
          <w:rStyle w:val="EndnoteReference"/>
          <w:rFonts w:cstheme="minorHAnsi"/>
          <w:bCs/>
        </w:rPr>
        <w:endnoteReference w:id="78"/>
      </w:r>
      <w:bookmarkEnd w:id="48"/>
      <w:r w:rsidR="00146EFE" w:rsidRPr="00AF0457">
        <w:rPr>
          <w:rFonts w:cstheme="minorHAnsi"/>
          <w:bCs/>
          <w:vertAlign w:val="superscript"/>
        </w:rPr>
        <w:t xml:space="preserve"> </w:t>
      </w:r>
      <w:r w:rsidR="00AB1154" w:rsidRPr="00AF0457">
        <w:rPr>
          <w:rFonts w:cstheme="minorHAnsi"/>
          <w:bCs/>
          <w:vertAlign w:val="superscript"/>
        </w:rPr>
        <w:t xml:space="preserve"> </w:t>
      </w:r>
      <w:r w:rsidR="00AB1154" w:rsidRPr="00AF0457">
        <w:rPr>
          <w:rFonts w:cstheme="minorHAnsi"/>
          <w:bCs/>
        </w:rPr>
        <w:t>Glucose dysregulation, in turn, has also been related to hypertension.</w:t>
      </w:r>
      <w:r w:rsidR="005F67C6" w:rsidRPr="00AF0457">
        <w:rPr>
          <w:rFonts w:cstheme="minorHAnsi"/>
          <w:bCs/>
          <w:vertAlign w:val="superscript"/>
        </w:rPr>
        <w:fldChar w:fldCharType="begin"/>
      </w:r>
      <w:r w:rsidR="005F67C6" w:rsidRPr="00AF0457">
        <w:rPr>
          <w:rFonts w:cstheme="minorHAnsi"/>
          <w:bCs/>
          <w:vertAlign w:val="superscript"/>
        </w:rPr>
        <w:instrText xml:space="preserve"> NOTEREF _Ref140484751 \h  \* MERGEFORMAT </w:instrText>
      </w:r>
      <w:r w:rsidR="005F67C6" w:rsidRPr="00AF0457">
        <w:rPr>
          <w:rFonts w:cstheme="minorHAnsi"/>
          <w:bCs/>
          <w:vertAlign w:val="superscript"/>
        </w:rPr>
      </w:r>
      <w:r w:rsidR="005F67C6" w:rsidRPr="00AF0457">
        <w:rPr>
          <w:rFonts w:cstheme="minorHAnsi"/>
          <w:bCs/>
          <w:vertAlign w:val="superscript"/>
        </w:rPr>
        <w:fldChar w:fldCharType="separate"/>
      </w:r>
      <w:r w:rsidR="000F6C53">
        <w:rPr>
          <w:rFonts w:cstheme="minorHAnsi"/>
          <w:bCs/>
          <w:vertAlign w:val="superscript"/>
        </w:rPr>
        <w:t>8</w:t>
      </w:r>
      <w:r w:rsidR="005F67C6" w:rsidRPr="00AF0457">
        <w:rPr>
          <w:rFonts w:cstheme="minorHAnsi"/>
          <w:bCs/>
          <w:vertAlign w:val="superscript"/>
        </w:rPr>
        <w:fldChar w:fldCharType="end"/>
      </w:r>
      <w:r w:rsidR="005F67C6" w:rsidRPr="00AF0457">
        <w:rPr>
          <w:rFonts w:cstheme="minorHAnsi"/>
          <w:bCs/>
          <w:vertAlign w:val="superscript"/>
        </w:rPr>
        <w:t>,</w:t>
      </w:r>
      <w:r w:rsidR="005F67C6" w:rsidRPr="00AF0457">
        <w:rPr>
          <w:rFonts w:cstheme="minorHAnsi"/>
          <w:bCs/>
          <w:vertAlign w:val="superscript"/>
        </w:rPr>
        <w:fldChar w:fldCharType="begin"/>
      </w:r>
      <w:r w:rsidR="005F67C6" w:rsidRPr="00AF0457">
        <w:rPr>
          <w:rFonts w:cstheme="minorHAnsi"/>
          <w:bCs/>
          <w:vertAlign w:val="superscript"/>
        </w:rPr>
        <w:instrText xml:space="preserve"> NOTEREF _Ref145346051 \h  \* MERGEFORMAT </w:instrText>
      </w:r>
      <w:r w:rsidR="005F67C6" w:rsidRPr="00AF0457">
        <w:rPr>
          <w:rFonts w:cstheme="minorHAnsi"/>
          <w:bCs/>
          <w:vertAlign w:val="superscript"/>
        </w:rPr>
      </w:r>
      <w:r w:rsidR="005F67C6" w:rsidRPr="00AF0457">
        <w:rPr>
          <w:rFonts w:cstheme="minorHAnsi"/>
          <w:bCs/>
          <w:vertAlign w:val="superscript"/>
        </w:rPr>
        <w:fldChar w:fldCharType="separate"/>
      </w:r>
      <w:r w:rsidR="000F6C53">
        <w:rPr>
          <w:rFonts w:cstheme="minorHAnsi"/>
          <w:bCs/>
          <w:vertAlign w:val="superscript"/>
        </w:rPr>
        <w:t>9</w:t>
      </w:r>
      <w:r w:rsidR="005F67C6" w:rsidRPr="00AF0457">
        <w:rPr>
          <w:rFonts w:cstheme="minorHAnsi"/>
          <w:bCs/>
          <w:vertAlign w:val="superscript"/>
        </w:rPr>
        <w:fldChar w:fldCharType="end"/>
      </w:r>
      <w:r w:rsidR="00A46AEA" w:rsidRPr="00AF0457">
        <w:rPr>
          <w:rFonts w:cstheme="minorHAnsi"/>
          <w:bCs/>
          <w:vertAlign w:val="superscript"/>
        </w:rPr>
        <w:t>,</w:t>
      </w:r>
      <w:r w:rsidR="004C7027">
        <w:rPr>
          <w:rFonts w:cstheme="minorHAnsi"/>
          <w:bCs/>
          <w:vertAlign w:val="superscript"/>
        </w:rPr>
        <w:fldChar w:fldCharType="begin"/>
      </w:r>
      <w:r w:rsidR="004C7027">
        <w:rPr>
          <w:rFonts w:cstheme="minorHAnsi"/>
          <w:bCs/>
          <w:vertAlign w:val="superscript"/>
        </w:rPr>
        <w:instrText xml:space="preserve"> NOTEREF _Ref160034323 \h </w:instrText>
      </w:r>
      <w:r w:rsidR="004C7027">
        <w:rPr>
          <w:rFonts w:cstheme="minorHAnsi"/>
          <w:bCs/>
          <w:vertAlign w:val="superscript"/>
        </w:rPr>
      </w:r>
      <w:r w:rsidR="004C7027">
        <w:rPr>
          <w:rFonts w:cstheme="minorHAnsi"/>
          <w:bCs/>
          <w:vertAlign w:val="superscript"/>
        </w:rPr>
        <w:fldChar w:fldCharType="separate"/>
      </w:r>
      <w:r w:rsidR="000F6C53">
        <w:rPr>
          <w:rFonts w:cstheme="minorHAnsi"/>
          <w:bCs/>
          <w:vertAlign w:val="superscript"/>
        </w:rPr>
        <w:t>47</w:t>
      </w:r>
      <w:r w:rsidR="004C7027">
        <w:rPr>
          <w:rFonts w:cstheme="minorHAnsi"/>
          <w:bCs/>
          <w:vertAlign w:val="superscript"/>
        </w:rPr>
        <w:fldChar w:fldCharType="end"/>
      </w:r>
      <w:r w:rsidR="00AB1154" w:rsidRPr="00AF0457">
        <w:rPr>
          <w:rFonts w:cstheme="minorHAnsi"/>
          <w:bCs/>
        </w:rPr>
        <w:t xml:space="preserve"> </w:t>
      </w:r>
      <w:r w:rsidR="00920A8D" w:rsidRPr="00AF0457">
        <w:rPr>
          <w:rFonts w:cstheme="minorHAnsi"/>
          <w:bCs/>
        </w:rPr>
        <w:t>T</w:t>
      </w:r>
      <w:r w:rsidR="00146EFE" w:rsidRPr="00AF0457">
        <w:rPr>
          <w:rFonts w:cstheme="minorHAnsi"/>
          <w:bCs/>
        </w:rPr>
        <w:t xml:space="preserve">hyroid </w:t>
      </w:r>
      <w:r w:rsidR="00C846F0" w:rsidRPr="00AF0457">
        <w:rPr>
          <w:rFonts w:cstheme="minorHAnsi"/>
          <w:bCs/>
        </w:rPr>
        <w:t>dysfunction</w:t>
      </w:r>
      <w:r w:rsidR="00146EFE" w:rsidRPr="00AF0457">
        <w:rPr>
          <w:rFonts w:cstheme="minorHAnsi"/>
          <w:bCs/>
        </w:rPr>
        <w:t xml:space="preserve"> observed in hypothyroidism </w:t>
      </w:r>
      <w:r w:rsidR="007C630B" w:rsidRPr="00AF0457">
        <w:rPr>
          <w:rFonts w:cstheme="minorHAnsi"/>
          <w:bCs/>
        </w:rPr>
        <w:t xml:space="preserve">impacts </w:t>
      </w:r>
      <w:r w:rsidR="00E82E32" w:rsidRPr="00AF0457">
        <w:rPr>
          <w:rFonts w:cstheme="minorHAnsi"/>
          <w:bCs/>
        </w:rPr>
        <w:t>BP</w:t>
      </w:r>
      <w:r w:rsidR="007C630B" w:rsidRPr="00AF0457">
        <w:rPr>
          <w:rFonts w:cstheme="minorHAnsi"/>
          <w:bCs/>
        </w:rPr>
        <w:t xml:space="preserve"> regulation through</w:t>
      </w:r>
      <w:r w:rsidR="00B824A6" w:rsidRPr="00AF0457">
        <w:rPr>
          <w:rFonts w:cstheme="minorHAnsi"/>
          <w:bCs/>
        </w:rPr>
        <w:t xml:space="preserve"> </w:t>
      </w:r>
      <w:r w:rsidR="002B2607" w:rsidRPr="00AF0457">
        <w:rPr>
          <w:rFonts w:cstheme="minorHAnsi"/>
          <w:bCs/>
        </w:rPr>
        <w:t>decreased</w:t>
      </w:r>
      <w:r w:rsidR="00B824A6" w:rsidRPr="00AF0457">
        <w:rPr>
          <w:rFonts w:cstheme="minorHAnsi"/>
          <w:bCs/>
        </w:rPr>
        <w:t xml:space="preserve"> </w:t>
      </w:r>
      <w:r w:rsidR="002B2607" w:rsidRPr="00AF0457">
        <w:rPr>
          <w:rFonts w:cstheme="minorHAnsi"/>
          <w:bCs/>
        </w:rPr>
        <w:t>production</w:t>
      </w:r>
      <w:r w:rsidR="00B824A6" w:rsidRPr="00AF0457">
        <w:rPr>
          <w:rFonts w:cstheme="minorHAnsi"/>
          <w:bCs/>
        </w:rPr>
        <w:t xml:space="preserve"> of nitric oxide,</w:t>
      </w:r>
      <w:r w:rsidR="00146EFE" w:rsidRPr="00AF0457">
        <w:rPr>
          <w:rFonts w:cstheme="minorHAnsi"/>
          <w:bCs/>
        </w:rPr>
        <w:t xml:space="preserve"> endothelial dysfunction</w:t>
      </w:r>
      <w:r w:rsidR="0058513E" w:rsidRPr="00AF0457">
        <w:rPr>
          <w:rFonts w:cstheme="minorHAnsi"/>
          <w:bCs/>
        </w:rPr>
        <w:t>,</w:t>
      </w:r>
      <w:r w:rsidR="00146EFE" w:rsidRPr="00AF0457">
        <w:rPr>
          <w:rFonts w:cstheme="minorHAnsi"/>
          <w:bCs/>
        </w:rPr>
        <w:t xml:space="preserve"> and impaired relaxation of vascular smooth muscle</w:t>
      </w:r>
      <w:r w:rsidR="007C630B" w:rsidRPr="00AF0457">
        <w:rPr>
          <w:rFonts w:cstheme="minorHAnsi"/>
          <w:bCs/>
        </w:rPr>
        <w:t>.</w:t>
      </w:r>
      <w:r w:rsidR="00146EFE" w:rsidRPr="00AF0457">
        <w:rPr>
          <w:rStyle w:val="EndnoteReference"/>
          <w:rFonts w:cstheme="minorHAnsi"/>
          <w:bCs/>
        </w:rPr>
        <w:endnoteReference w:id="79"/>
      </w:r>
      <w:r w:rsidR="002A3021" w:rsidRPr="00AF0457">
        <w:rPr>
          <w:rFonts w:cstheme="minorHAnsi"/>
          <w:bCs/>
        </w:rPr>
        <w:t xml:space="preserve"> </w:t>
      </w:r>
      <w:r w:rsidR="007C630B" w:rsidRPr="00AF0457">
        <w:rPr>
          <w:rFonts w:cstheme="minorHAnsi"/>
          <w:bCs/>
        </w:rPr>
        <w:t>H</w:t>
      </w:r>
      <w:r w:rsidR="002B2607" w:rsidRPr="00AF0457">
        <w:rPr>
          <w:rFonts w:cstheme="minorHAnsi"/>
          <w:bCs/>
        </w:rPr>
        <w:t>yperthyroidism is linked to hypertension through</w:t>
      </w:r>
      <w:r w:rsidR="003707A1" w:rsidRPr="00AF0457">
        <w:rPr>
          <w:rFonts w:cstheme="minorHAnsi"/>
          <w:bCs/>
        </w:rPr>
        <w:t xml:space="preserve"> immune system</w:t>
      </w:r>
      <w:r w:rsidR="008B172A" w:rsidRPr="00AF0457">
        <w:rPr>
          <w:rFonts w:cstheme="minorHAnsi"/>
          <w:bCs/>
        </w:rPr>
        <w:t xml:space="preserve"> and RAAS pathway</w:t>
      </w:r>
      <w:r w:rsidR="0058513E" w:rsidRPr="00AF0457">
        <w:rPr>
          <w:rFonts w:cstheme="minorHAnsi"/>
          <w:bCs/>
        </w:rPr>
        <w:t xml:space="preserve"> impairments</w:t>
      </w:r>
      <w:r w:rsidR="003707A1" w:rsidRPr="00AF0457">
        <w:rPr>
          <w:rFonts w:cstheme="minorHAnsi"/>
          <w:bCs/>
        </w:rPr>
        <w:t>,</w:t>
      </w:r>
      <w:r w:rsidR="002B2607" w:rsidRPr="00AF0457">
        <w:rPr>
          <w:rFonts w:cstheme="minorHAnsi"/>
          <w:bCs/>
        </w:rPr>
        <w:t xml:space="preserve"> increased</w:t>
      </w:r>
      <w:r w:rsidR="008B4518" w:rsidRPr="00AF0457">
        <w:rPr>
          <w:rFonts w:cstheme="minorHAnsi"/>
          <w:bCs/>
        </w:rPr>
        <w:t xml:space="preserve"> peripheral vascular resistance,</w:t>
      </w:r>
      <w:r w:rsidR="002B2607" w:rsidRPr="00AF0457">
        <w:rPr>
          <w:rFonts w:cstheme="minorHAnsi"/>
          <w:bCs/>
        </w:rPr>
        <w:t xml:space="preserve"> heart rate and cardiac output, and reduced systemic vascular resistance.</w:t>
      </w:r>
      <w:r w:rsidR="00F13C36" w:rsidRPr="00AF0457">
        <w:rPr>
          <w:rFonts w:cstheme="minorHAnsi"/>
          <w:bCs/>
          <w:vertAlign w:val="superscript"/>
        </w:rPr>
        <w:fldChar w:fldCharType="begin"/>
      </w:r>
      <w:r w:rsidR="00F13C36" w:rsidRPr="00AF0457">
        <w:rPr>
          <w:rFonts w:cstheme="minorHAnsi"/>
          <w:bCs/>
          <w:vertAlign w:val="superscript"/>
        </w:rPr>
        <w:instrText xml:space="preserve"> NOTEREF _Ref136249895 \h  \* MERGEFORMAT </w:instrText>
      </w:r>
      <w:r w:rsidR="00F13C36" w:rsidRPr="00AF0457">
        <w:rPr>
          <w:rFonts w:cstheme="minorHAnsi"/>
          <w:bCs/>
          <w:vertAlign w:val="superscript"/>
        </w:rPr>
      </w:r>
      <w:r w:rsidR="00F13C36" w:rsidRPr="00AF0457">
        <w:rPr>
          <w:rFonts w:cstheme="minorHAnsi"/>
          <w:bCs/>
          <w:vertAlign w:val="superscript"/>
        </w:rPr>
        <w:fldChar w:fldCharType="separate"/>
      </w:r>
      <w:r w:rsidR="000F6C53">
        <w:rPr>
          <w:rFonts w:cstheme="minorHAnsi"/>
          <w:bCs/>
          <w:vertAlign w:val="superscript"/>
        </w:rPr>
        <w:t>26</w:t>
      </w:r>
      <w:r w:rsidR="00F13C36" w:rsidRPr="00AF0457">
        <w:rPr>
          <w:rFonts w:cstheme="minorHAnsi"/>
          <w:bCs/>
          <w:vertAlign w:val="superscript"/>
        </w:rPr>
        <w:fldChar w:fldCharType="end"/>
      </w:r>
      <w:r w:rsidR="00F13C36">
        <w:rPr>
          <w:rFonts w:cstheme="minorHAnsi"/>
          <w:bCs/>
          <w:vertAlign w:val="superscript"/>
        </w:rPr>
        <w:t>,</w:t>
      </w:r>
      <w:r w:rsidR="00606B76" w:rsidRPr="00AF0457">
        <w:rPr>
          <w:rFonts w:cstheme="minorHAnsi"/>
          <w:bCs/>
          <w:vertAlign w:val="superscript"/>
        </w:rPr>
        <w:fldChar w:fldCharType="begin"/>
      </w:r>
      <w:r w:rsidR="00606B76" w:rsidRPr="00AF0457">
        <w:rPr>
          <w:rFonts w:cstheme="minorHAnsi"/>
          <w:bCs/>
          <w:vertAlign w:val="superscript"/>
        </w:rPr>
        <w:instrText xml:space="preserve"> NOTEREF _Ref113108064 \h  \* MERGEFORMAT </w:instrText>
      </w:r>
      <w:r w:rsidR="00606B76" w:rsidRPr="00AF0457">
        <w:rPr>
          <w:rFonts w:cstheme="minorHAnsi"/>
          <w:bCs/>
          <w:vertAlign w:val="superscript"/>
        </w:rPr>
      </w:r>
      <w:r w:rsidR="00606B76" w:rsidRPr="00AF0457">
        <w:rPr>
          <w:rFonts w:cstheme="minorHAnsi"/>
          <w:bCs/>
          <w:vertAlign w:val="superscript"/>
        </w:rPr>
        <w:fldChar w:fldCharType="separate"/>
      </w:r>
      <w:r w:rsidR="000F6C53">
        <w:rPr>
          <w:rFonts w:cstheme="minorHAnsi"/>
          <w:bCs/>
          <w:vertAlign w:val="superscript"/>
        </w:rPr>
        <w:t>28</w:t>
      </w:r>
      <w:r w:rsidR="00606B76" w:rsidRPr="00AF0457">
        <w:rPr>
          <w:rFonts w:cstheme="minorHAnsi"/>
          <w:bCs/>
          <w:vertAlign w:val="superscript"/>
        </w:rPr>
        <w:fldChar w:fldCharType="end"/>
      </w:r>
      <w:r w:rsidR="00F13C36">
        <w:rPr>
          <w:rFonts w:cstheme="minorHAnsi"/>
          <w:bCs/>
          <w:vertAlign w:val="superscript"/>
        </w:rPr>
        <w:t xml:space="preserve"> </w:t>
      </w:r>
    </w:p>
    <w:p w14:paraId="7F9D78BE" w14:textId="512CAE85" w:rsidR="0007742B" w:rsidRPr="00AF0457" w:rsidRDefault="00364614" w:rsidP="00CC21FA">
      <w:pPr>
        <w:spacing w:after="40" w:line="480" w:lineRule="auto"/>
        <w:ind w:firstLine="720"/>
        <w:rPr>
          <w:rFonts w:cstheme="minorHAnsi"/>
          <w:bCs/>
        </w:rPr>
      </w:pPr>
      <w:r w:rsidRPr="00AF0457">
        <w:rPr>
          <w:rFonts w:cstheme="minorHAnsi"/>
          <w:bCs/>
        </w:rPr>
        <w:t xml:space="preserve">In our study, </w:t>
      </w:r>
      <w:r w:rsidR="00EF1A0B" w:rsidRPr="00AF0457">
        <w:rPr>
          <w:rFonts w:cstheme="minorHAnsi"/>
          <w:bCs/>
        </w:rPr>
        <w:t xml:space="preserve">the ratio of </w:t>
      </w:r>
      <w:r w:rsidRPr="00AF0457">
        <w:rPr>
          <w:rFonts w:cstheme="minorHAnsi"/>
          <w:bCs/>
        </w:rPr>
        <w:t>T3</w:t>
      </w:r>
      <w:r w:rsidR="00EF1A0B" w:rsidRPr="00AF0457">
        <w:rPr>
          <w:rFonts w:cstheme="minorHAnsi"/>
          <w:bCs/>
        </w:rPr>
        <w:t xml:space="preserve"> to </w:t>
      </w:r>
      <w:r w:rsidRPr="00AF0457">
        <w:rPr>
          <w:rFonts w:cstheme="minorHAnsi"/>
          <w:bCs/>
        </w:rPr>
        <w:t>FT4</w:t>
      </w:r>
      <w:r w:rsidR="0058513E" w:rsidRPr="00AF0457">
        <w:rPr>
          <w:rFonts w:cstheme="minorHAnsi"/>
          <w:bCs/>
        </w:rPr>
        <w:t>,</w:t>
      </w:r>
      <w:r w:rsidR="00122B46" w:rsidRPr="00AF0457">
        <w:rPr>
          <w:rFonts w:cstheme="minorHAnsi"/>
          <w:bCs/>
        </w:rPr>
        <w:t xml:space="preserve"> which indicate</w:t>
      </w:r>
      <w:r w:rsidR="0058513E" w:rsidRPr="00AF0457">
        <w:rPr>
          <w:rFonts w:cstheme="minorHAnsi"/>
          <w:bCs/>
        </w:rPr>
        <w:t>s</w:t>
      </w:r>
      <w:r w:rsidR="00122B46" w:rsidRPr="00AF0457">
        <w:rPr>
          <w:rFonts w:cstheme="minorHAnsi"/>
          <w:bCs/>
        </w:rPr>
        <w:t xml:space="preserve"> </w:t>
      </w:r>
      <w:r w:rsidR="0058513E" w:rsidRPr="00AF0457">
        <w:rPr>
          <w:rFonts w:cstheme="minorHAnsi"/>
          <w:bCs/>
        </w:rPr>
        <w:t xml:space="preserve">increased </w:t>
      </w:r>
      <w:r w:rsidR="00122B46" w:rsidRPr="00AF0457">
        <w:rPr>
          <w:rFonts w:cstheme="minorHAnsi"/>
          <w:bCs/>
        </w:rPr>
        <w:t>deiodina</w:t>
      </w:r>
      <w:r w:rsidR="0058513E" w:rsidRPr="00AF0457">
        <w:rPr>
          <w:rFonts w:cstheme="minorHAnsi"/>
          <w:bCs/>
        </w:rPr>
        <w:t>se</w:t>
      </w:r>
      <w:r w:rsidR="00DD503A">
        <w:rPr>
          <w:rFonts w:cstheme="minorHAnsi"/>
          <w:bCs/>
        </w:rPr>
        <w:t xml:space="preserve"> enzyme</w:t>
      </w:r>
      <w:r w:rsidR="0058513E" w:rsidRPr="00AF0457">
        <w:rPr>
          <w:rFonts w:cstheme="minorHAnsi"/>
          <w:bCs/>
        </w:rPr>
        <w:t xml:space="preserve"> activity,</w:t>
      </w:r>
      <w:r w:rsidR="00EF1A0B" w:rsidRPr="00AF0457">
        <w:rPr>
          <w:rFonts w:cstheme="minorHAnsi"/>
          <w:bCs/>
        </w:rPr>
        <w:t xml:space="preserve"> </w:t>
      </w:r>
      <w:r w:rsidRPr="00AF0457">
        <w:rPr>
          <w:rFonts w:cstheme="minorHAnsi"/>
          <w:bCs/>
        </w:rPr>
        <w:t>was positively associated with the development of hypertension and prehypertension in</w:t>
      </w:r>
      <w:r w:rsidR="00B22C30" w:rsidRPr="00AF0457">
        <w:rPr>
          <w:rFonts w:cstheme="minorHAnsi"/>
          <w:bCs/>
        </w:rPr>
        <w:t xml:space="preserve"> postmenopausal</w:t>
      </w:r>
      <w:r w:rsidRPr="00AF0457">
        <w:rPr>
          <w:rFonts w:cstheme="minorHAnsi"/>
          <w:bCs/>
        </w:rPr>
        <w:t xml:space="preserve"> women but not men.</w:t>
      </w:r>
      <w:r w:rsidR="00E75748" w:rsidRPr="00AF0457">
        <w:rPr>
          <w:rFonts w:cstheme="minorHAnsi"/>
          <w:bCs/>
        </w:rPr>
        <w:t xml:space="preserve"> </w:t>
      </w:r>
      <w:r w:rsidR="00057F82" w:rsidRPr="00AF0457">
        <w:rPr>
          <w:rFonts w:cstheme="minorHAnsi"/>
          <w:bCs/>
        </w:rPr>
        <w:t>T</w:t>
      </w:r>
      <w:r w:rsidR="002E708E" w:rsidRPr="00AF0457">
        <w:rPr>
          <w:rFonts w:cstheme="minorHAnsi"/>
          <w:bCs/>
        </w:rPr>
        <w:t xml:space="preserve">he </w:t>
      </w:r>
      <w:r w:rsidR="002477C0" w:rsidRPr="00AF0457">
        <w:rPr>
          <w:rFonts w:cstheme="minorHAnsi"/>
          <w:bCs/>
        </w:rPr>
        <w:t>relevance</w:t>
      </w:r>
      <w:r w:rsidR="002E708E" w:rsidRPr="00AF0457">
        <w:rPr>
          <w:rFonts w:cstheme="minorHAnsi"/>
          <w:bCs/>
        </w:rPr>
        <w:t xml:space="preserve"> of deiodination is supported by</w:t>
      </w:r>
      <w:r w:rsidR="00057F82" w:rsidRPr="00AF0457">
        <w:rPr>
          <w:rFonts w:cstheme="minorHAnsi"/>
          <w:bCs/>
        </w:rPr>
        <w:t xml:space="preserve"> a previous</w:t>
      </w:r>
      <w:r w:rsidR="00E75748" w:rsidRPr="00AF0457">
        <w:rPr>
          <w:rFonts w:cstheme="minorHAnsi"/>
          <w:bCs/>
        </w:rPr>
        <w:t xml:space="preserve"> study </w:t>
      </w:r>
      <w:r w:rsidR="00057F82" w:rsidRPr="00AF0457">
        <w:rPr>
          <w:rFonts w:cstheme="minorHAnsi"/>
          <w:bCs/>
        </w:rPr>
        <w:t xml:space="preserve">which </w:t>
      </w:r>
      <w:r w:rsidR="00E75748" w:rsidRPr="00AF0457">
        <w:rPr>
          <w:rFonts w:cstheme="minorHAnsi"/>
          <w:bCs/>
        </w:rPr>
        <w:t>demonstrated associations of type 2 iodothyronine deiodinase gene</w:t>
      </w:r>
      <w:r w:rsidR="008C7194" w:rsidRPr="00AF0457">
        <w:rPr>
          <w:rFonts w:cstheme="minorHAnsi"/>
          <w:bCs/>
        </w:rPr>
        <w:t xml:space="preserve"> polymorphisms w</w:t>
      </w:r>
      <w:r w:rsidR="00E75748" w:rsidRPr="00AF0457">
        <w:rPr>
          <w:rFonts w:cstheme="minorHAnsi"/>
          <w:bCs/>
        </w:rPr>
        <w:t>ith hypertension in euthyroid individuals.</w:t>
      </w:r>
      <w:r w:rsidR="00E75748" w:rsidRPr="00AF0457">
        <w:rPr>
          <w:rStyle w:val="EndnoteReference"/>
          <w:rFonts w:cstheme="minorHAnsi"/>
          <w:bCs/>
        </w:rPr>
        <w:endnoteReference w:id="80"/>
      </w:r>
      <w:r w:rsidR="00E75748" w:rsidRPr="00AF0457">
        <w:rPr>
          <w:rFonts w:cstheme="minorHAnsi"/>
          <w:bCs/>
        </w:rPr>
        <w:t xml:space="preserve"> </w:t>
      </w:r>
      <w:r w:rsidR="00057F82" w:rsidRPr="00AF0457">
        <w:rPr>
          <w:rFonts w:cstheme="minorHAnsi"/>
          <w:bCs/>
        </w:rPr>
        <w:t>Sex</w:t>
      </w:r>
      <w:r w:rsidR="008548B0" w:rsidRPr="00AF0457">
        <w:rPr>
          <w:rFonts w:cstheme="minorHAnsi"/>
          <w:bCs/>
        </w:rPr>
        <w:t>-specific</w:t>
      </w:r>
      <w:r w:rsidR="00BF14CC" w:rsidRPr="00AF0457">
        <w:rPr>
          <w:rFonts w:cstheme="minorHAnsi"/>
          <w:bCs/>
        </w:rPr>
        <w:t xml:space="preserve"> differences in</w:t>
      </w:r>
      <w:r w:rsidR="0015718A" w:rsidRPr="00AF0457">
        <w:rPr>
          <w:rFonts w:cstheme="minorHAnsi"/>
          <w:bCs/>
        </w:rPr>
        <w:t xml:space="preserve"> the activity of the HPT axis and</w:t>
      </w:r>
      <w:r w:rsidR="00BF14CC" w:rsidRPr="00AF0457">
        <w:rPr>
          <w:rFonts w:cstheme="minorHAnsi"/>
          <w:bCs/>
        </w:rPr>
        <w:t xml:space="preserve"> thyroid </w:t>
      </w:r>
      <w:r w:rsidR="00CC624B" w:rsidRPr="00AF0457">
        <w:rPr>
          <w:rFonts w:cstheme="minorHAnsi"/>
          <w:bCs/>
        </w:rPr>
        <w:t>function</w:t>
      </w:r>
      <w:r w:rsidR="00E06E09" w:rsidRPr="00AF0457">
        <w:rPr>
          <w:rFonts w:cstheme="minorHAnsi"/>
          <w:bCs/>
        </w:rPr>
        <w:t xml:space="preserve"> regulation</w:t>
      </w:r>
      <w:r w:rsidR="00BF14CC" w:rsidRPr="00AF0457">
        <w:rPr>
          <w:rFonts w:cstheme="minorHAnsi"/>
          <w:bCs/>
        </w:rPr>
        <w:t xml:space="preserve"> </w:t>
      </w:r>
      <w:r w:rsidR="00057F82" w:rsidRPr="00AF0457">
        <w:rPr>
          <w:rFonts w:cstheme="minorHAnsi"/>
          <w:bCs/>
        </w:rPr>
        <w:t>are</w:t>
      </w:r>
      <w:r w:rsidR="00BF14CC" w:rsidRPr="00AF0457">
        <w:rPr>
          <w:rFonts w:cstheme="minorHAnsi"/>
          <w:bCs/>
        </w:rPr>
        <w:t xml:space="preserve"> not fully understood </w:t>
      </w:r>
      <w:r w:rsidR="0015718A" w:rsidRPr="00AF0457">
        <w:rPr>
          <w:rFonts w:cstheme="minorHAnsi"/>
          <w:bCs/>
        </w:rPr>
        <w:t>but</w:t>
      </w:r>
      <w:r w:rsidR="00BF14CC" w:rsidRPr="00AF0457">
        <w:rPr>
          <w:rFonts w:cstheme="minorHAnsi"/>
          <w:bCs/>
        </w:rPr>
        <w:t xml:space="preserve"> may be related to</w:t>
      </w:r>
      <w:r w:rsidR="00693B81" w:rsidRPr="00AF0457">
        <w:rPr>
          <w:rFonts w:cstheme="minorHAnsi"/>
          <w:bCs/>
        </w:rPr>
        <w:t xml:space="preserve"> </w:t>
      </w:r>
      <w:r w:rsidR="0015718A" w:rsidRPr="00AF0457">
        <w:rPr>
          <w:rFonts w:cstheme="minorHAnsi"/>
          <w:bCs/>
        </w:rPr>
        <w:t xml:space="preserve">the influence of sex steroid hormones and </w:t>
      </w:r>
      <w:r w:rsidR="00D14E29" w:rsidRPr="00AF0457">
        <w:rPr>
          <w:rFonts w:cstheme="minorHAnsi"/>
          <w:bCs/>
        </w:rPr>
        <w:t xml:space="preserve">the </w:t>
      </w:r>
      <w:r w:rsidR="0015718A" w:rsidRPr="00AF0457">
        <w:rPr>
          <w:rFonts w:cstheme="minorHAnsi"/>
          <w:bCs/>
        </w:rPr>
        <w:t xml:space="preserve">activity of leptin, </w:t>
      </w:r>
      <w:r w:rsidR="00F76B25" w:rsidRPr="00AF0457">
        <w:rPr>
          <w:rFonts w:cstheme="minorHAnsi"/>
          <w:bCs/>
        </w:rPr>
        <w:t>deiodinase</w:t>
      </w:r>
      <w:r w:rsidR="006634CF" w:rsidRPr="00AF0457">
        <w:rPr>
          <w:rFonts w:cstheme="minorHAnsi"/>
          <w:bCs/>
        </w:rPr>
        <w:t>s,</w:t>
      </w:r>
      <w:r w:rsidR="0015718A" w:rsidRPr="00AF0457">
        <w:rPr>
          <w:rFonts w:cstheme="minorHAnsi"/>
          <w:bCs/>
        </w:rPr>
        <w:t xml:space="preserve"> and thyrotropin releasing hormone</w:t>
      </w:r>
      <w:r w:rsidR="004610C0" w:rsidRPr="00AF0457">
        <w:rPr>
          <w:rFonts w:cstheme="minorHAnsi"/>
          <w:bCs/>
        </w:rPr>
        <w:t xml:space="preserve"> which</w:t>
      </w:r>
      <w:r w:rsidR="00540E08" w:rsidRPr="00AF0457">
        <w:rPr>
          <w:rFonts w:cstheme="minorHAnsi"/>
          <w:bCs/>
        </w:rPr>
        <w:t xml:space="preserve"> differentially</w:t>
      </w:r>
      <w:r w:rsidR="004610C0" w:rsidRPr="00AF0457">
        <w:rPr>
          <w:rFonts w:cstheme="minorHAnsi"/>
          <w:bCs/>
        </w:rPr>
        <w:t xml:space="preserve"> impact basal conditions, stress</w:t>
      </w:r>
      <w:r w:rsidR="006634CF" w:rsidRPr="00AF0457">
        <w:rPr>
          <w:rFonts w:cstheme="minorHAnsi"/>
          <w:bCs/>
        </w:rPr>
        <w:t xml:space="preserve"> responses,</w:t>
      </w:r>
      <w:r w:rsidR="004610C0" w:rsidRPr="00AF0457">
        <w:rPr>
          <w:rFonts w:cstheme="minorHAnsi"/>
          <w:bCs/>
        </w:rPr>
        <w:t xml:space="preserve"> and energy homeostasis</w:t>
      </w:r>
      <w:r w:rsidR="0015718A" w:rsidRPr="00AF0457">
        <w:rPr>
          <w:rFonts w:cstheme="minorHAnsi"/>
          <w:bCs/>
        </w:rPr>
        <w:t xml:space="preserve"> in men and women</w:t>
      </w:r>
      <w:r w:rsidR="00482760" w:rsidRPr="00AF0457">
        <w:rPr>
          <w:rFonts w:cstheme="minorHAnsi"/>
          <w:bCs/>
        </w:rPr>
        <w:t>.</w:t>
      </w:r>
      <w:r w:rsidR="00482760" w:rsidRPr="00AF0457">
        <w:rPr>
          <w:rStyle w:val="EndnoteReference"/>
          <w:rFonts w:cstheme="minorHAnsi"/>
          <w:bCs/>
        </w:rPr>
        <w:endnoteReference w:id="81"/>
      </w:r>
      <w:r w:rsidR="003F191D" w:rsidRPr="00AF0457">
        <w:rPr>
          <w:rFonts w:cstheme="minorHAnsi"/>
          <w:bCs/>
        </w:rPr>
        <w:t xml:space="preserve"> Future</w:t>
      </w:r>
      <w:r w:rsidR="00273A78" w:rsidRPr="00AF0457">
        <w:rPr>
          <w:rFonts w:cstheme="minorHAnsi"/>
          <w:bCs/>
        </w:rPr>
        <w:t xml:space="preserve"> longitudinal</w:t>
      </w:r>
      <w:r w:rsidR="003F191D" w:rsidRPr="00AF0457">
        <w:rPr>
          <w:rFonts w:cstheme="minorHAnsi"/>
          <w:bCs/>
        </w:rPr>
        <w:t xml:space="preserve"> studies examining relationships between thyroid-related hormones and BP regulation in premenopausal women</w:t>
      </w:r>
      <w:r w:rsidR="00B963C5" w:rsidRPr="00AF0457">
        <w:rPr>
          <w:rFonts w:cstheme="minorHAnsi"/>
          <w:bCs/>
        </w:rPr>
        <w:t xml:space="preserve"> are</w:t>
      </w:r>
      <w:r w:rsidR="00C52A1E" w:rsidRPr="00AF0457">
        <w:rPr>
          <w:rFonts w:cstheme="minorHAnsi"/>
          <w:bCs/>
        </w:rPr>
        <w:t xml:space="preserve"> also</w:t>
      </w:r>
      <w:r w:rsidR="00B963C5" w:rsidRPr="00AF0457">
        <w:rPr>
          <w:rFonts w:cstheme="minorHAnsi"/>
          <w:bCs/>
        </w:rPr>
        <w:t xml:space="preserve"> critical</w:t>
      </w:r>
      <w:r w:rsidR="003F191D" w:rsidRPr="00AF0457">
        <w:rPr>
          <w:rFonts w:cstheme="minorHAnsi"/>
          <w:bCs/>
        </w:rPr>
        <w:t xml:space="preserve"> to further delineate effects mediated by sex steroids.</w:t>
      </w:r>
    </w:p>
    <w:p w14:paraId="1448A0F9" w14:textId="2CA2D512" w:rsidR="00E573A8" w:rsidRPr="00AF0457" w:rsidRDefault="007750A2" w:rsidP="00CC21FA">
      <w:pPr>
        <w:spacing w:after="40" w:line="480" w:lineRule="auto"/>
        <w:ind w:left="-4" w:right="58" w:firstLine="724"/>
        <w:rPr>
          <w:rFonts w:cstheme="minorHAnsi"/>
          <w:bCs/>
        </w:rPr>
      </w:pPr>
      <w:r w:rsidRPr="00AF0457">
        <w:rPr>
          <w:rFonts w:cstheme="minorHAnsi"/>
          <w:bCs/>
        </w:rPr>
        <w:t xml:space="preserve">The present study has considerable strengths. Our analysis is novel in examining </w:t>
      </w:r>
      <w:r w:rsidR="00A5033F" w:rsidRPr="00AF0457">
        <w:rPr>
          <w:rFonts w:cstheme="minorHAnsi"/>
          <w:bCs/>
        </w:rPr>
        <w:t xml:space="preserve">prospective </w:t>
      </w:r>
      <w:r w:rsidRPr="00AF0457">
        <w:rPr>
          <w:rFonts w:cstheme="minorHAnsi"/>
          <w:bCs/>
        </w:rPr>
        <w:t xml:space="preserve">associations of </w:t>
      </w:r>
      <w:r w:rsidR="00693253" w:rsidRPr="00AF0457">
        <w:rPr>
          <w:rFonts w:cstheme="minorHAnsi"/>
          <w:bCs/>
        </w:rPr>
        <w:t>thyroid-related</w:t>
      </w:r>
      <w:r w:rsidRPr="00AF0457">
        <w:rPr>
          <w:rFonts w:cstheme="minorHAnsi"/>
          <w:bCs/>
        </w:rPr>
        <w:t xml:space="preserve"> hormones</w:t>
      </w:r>
      <w:r w:rsidR="00A5033F" w:rsidRPr="00AF0457">
        <w:rPr>
          <w:rFonts w:cstheme="minorHAnsi"/>
          <w:bCs/>
        </w:rPr>
        <w:t xml:space="preserve"> and indicators of</w:t>
      </w:r>
      <w:r w:rsidR="00180761" w:rsidRPr="00AF0457">
        <w:rPr>
          <w:rFonts w:cstheme="minorHAnsi"/>
          <w:bCs/>
        </w:rPr>
        <w:t xml:space="preserve"> deiodination and pituitary sensitivity to</w:t>
      </w:r>
      <w:r w:rsidR="00A5033F" w:rsidRPr="00AF0457">
        <w:rPr>
          <w:rFonts w:cstheme="minorHAnsi"/>
          <w:bCs/>
        </w:rPr>
        <w:t xml:space="preserve"> thyroid </w:t>
      </w:r>
      <w:r w:rsidR="00180761" w:rsidRPr="00AF0457">
        <w:rPr>
          <w:rFonts w:cstheme="minorHAnsi"/>
          <w:bCs/>
        </w:rPr>
        <w:t>hormones</w:t>
      </w:r>
      <w:r w:rsidRPr="00AF0457">
        <w:rPr>
          <w:rFonts w:cstheme="minorHAnsi"/>
          <w:bCs/>
        </w:rPr>
        <w:t xml:space="preserve"> with</w:t>
      </w:r>
      <w:r w:rsidR="00B64B4D" w:rsidRPr="00AF0457">
        <w:rPr>
          <w:rFonts w:cstheme="minorHAnsi"/>
          <w:bCs/>
        </w:rPr>
        <w:t xml:space="preserve"> the development of</w:t>
      </w:r>
      <w:r w:rsidRPr="00AF0457">
        <w:rPr>
          <w:rFonts w:cstheme="minorHAnsi"/>
          <w:bCs/>
        </w:rPr>
        <w:t xml:space="preserve"> hypertension and </w:t>
      </w:r>
      <w:r w:rsidR="00B06F59" w:rsidRPr="00AF0457">
        <w:rPr>
          <w:rFonts w:cstheme="minorHAnsi"/>
          <w:bCs/>
        </w:rPr>
        <w:t>BP</w:t>
      </w:r>
      <w:r w:rsidR="00B64B4D" w:rsidRPr="00AF0457">
        <w:rPr>
          <w:rFonts w:cstheme="minorHAnsi"/>
          <w:bCs/>
        </w:rPr>
        <w:t xml:space="preserve"> change</w:t>
      </w:r>
      <w:r w:rsidRPr="00AF0457">
        <w:rPr>
          <w:rFonts w:cstheme="minorHAnsi"/>
          <w:bCs/>
        </w:rPr>
        <w:t xml:space="preserve">. </w:t>
      </w:r>
      <w:r w:rsidR="00EA27F3" w:rsidRPr="00AF0457">
        <w:rPr>
          <w:rFonts w:cstheme="minorHAnsi"/>
          <w:bCs/>
        </w:rPr>
        <w:t>We</w:t>
      </w:r>
      <w:r w:rsidR="00E27261" w:rsidRPr="00AF0457">
        <w:rPr>
          <w:rFonts w:cstheme="minorHAnsi"/>
          <w:bCs/>
        </w:rPr>
        <w:t xml:space="preserve"> assessed</w:t>
      </w:r>
      <w:r w:rsidR="00E136D0" w:rsidRPr="00AF0457">
        <w:rPr>
          <w:rFonts w:cstheme="minorHAnsi"/>
          <w:bCs/>
        </w:rPr>
        <w:t xml:space="preserve"> associations </w:t>
      </w:r>
      <w:r w:rsidR="004A3F72" w:rsidRPr="00AF0457">
        <w:rPr>
          <w:rFonts w:cstheme="minorHAnsi"/>
          <w:bCs/>
        </w:rPr>
        <w:t>of hormones</w:t>
      </w:r>
      <w:r w:rsidR="00956BB6" w:rsidRPr="00AF0457">
        <w:rPr>
          <w:rFonts w:cstheme="minorHAnsi"/>
          <w:bCs/>
        </w:rPr>
        <w:t xml:space="preserve"> </w:t>
      </w:r>
      <w:r w:rsidR="004A3F72" w:rsidRPr="00AF0457">
        <w:rPr>
          <w:rFonts w:cstheme="minorHAnsi"/>
          <w:bCs/>
        </w:rPr>
        <w:t>with</w:t>
      </w:r>
      <w:r w:rsidR="00E136D0" w:rsidRPr="00AF0457">
        <w:rPr>
          <w:rFonts w:cstheme="minorHAnsi"/>
          <w:bCs/>
        </w:rPr>
        <w:t xml:space="preserve"> longitudinal change</w:t>
      </w:r>
      <w:r w:rsidR="004A3F72" w:rsidRPr="00AF0457">
        <w:rPr>
          <w:rFonts w:cstheme="minorHAnsi"/>
          <w:bCs/>
        </w:rPr>
        <w:t xml:space="preserve"> in</w:t>
      </w:r>
      <w:r w:rsidR="00956BB6" w:rsidRPr="00AF0457">
        <w:rPr>
          <w:rFonts w:cstheme="minorHAnsi"/>
          <w:bCs/>
        </w:rPr>
        <w:t xml:space="preserve"> various</w:t>
      </w:r>
      <w:r w:rsidR="00E136D0" w:rsidRPr="00AF0457">
        <w:rPr>
          <w:rFonts w:cstheme="minorHAnsi"/>
          <w:bCs/>
        </w:rPr>
        <w:t xml:space="preserve"> </w:t>
      </w:r>
      <w:r w:rsidR="00EA27F3" w:rsidRPr="00AF0457">
        <w:rPr>
          <w:rFonts w:cstheme="minorHAnsi"/>
          <w:bCs/>
        </w:rPr>
        <w:t>BP</w:t>
      </w:r>
      <w:r w:rsidR="003861FE" w:rsidRPr="00AF0457">
        <w:rPr>
          <w:rFonts w:cstheme="minorHAnsi"/>
          <w:bCs/>
        </w:rPr>
        <w:t xml:space="preserve"> </w:t>
      </w:r>
      <w:r w:rsidR="00956BB6" w:rsidRPr="00AF0457">
        <w:rPr>
          <w:rFonts w:cstheme="minorHAnsi"/>
          <w:bCs/>
        </w:rPr>
        <w:t>measures and stages in the development of hypertension</w:t>
      </w:r>
      <w:r w:rsidR="008638EE" w:rsidRPr="00AF0457">
        <w:rPr>
          <w:rFonts w:cstheme="minorHAnsi"/>
          <w:bCs/>
        </w:rPr>
        <w:t xml:space="preserve"> after an average </w:t>
      </w:r>
      <w:r w:rsidR="008638EE" w:rsidRPr="00AF0457">
        <w:rPr>
          <w:rFonts w:cstheme="minorHAnsi"/>
          <w:bCs/>
        </w:rPr>
        <w:lastRenderedPageBreak/>
        <w:t>follow-up of 6 years</w:t>
      </w:r>
      <w:r w:rsidR="00956BB6" w:rsidRPr="00AF0457">
        <w:rPr>
          <w:rFonts w:cstheme="minorHAnsi"/>
          <w:bCs/>
        </w:rPr>
        <w:t xml:space="preserve">. </w:t>
      </w:r>
      <w:r w:rsidR="0040429B" w:rsidRPr="00AF0457">
        <w:rPr>
          <w:rFonts w:cstheme="minorHAnsi"/>
          <w:bCs/>
        </w:rPr>
        <w:t>Our study</w:t>
      </w:r>
      <w:r w:rsidR="00956BB6" w:rsidRPr="00AF0457">
        <w:rPr>
          <w:rFonts w:cstheme="minorHAnsi"/>
          <w:bCs/>
        </w:rPr>
        <w:t xml:space="preserve"> </w:t>
      </w:r>
      <w:r w:rsidR="003861FE" w:rsidRPr="00AF0457">
        <w:rPr>
          <w:rFonts w:cstheme="minorHAnsi"/>
          <w:bCs/>
        </w:rPr>
        <w:t>carefully classified menopause status using endogenous hormone</w:t>
      </w:r>
      <w:r w:rsidR="0008399B" w:rsidRPr="00AF0457">
        <w:rPr>
          <w:rFonts w:cstheme="minorHAnsi"/>
          <w:bCs/>
        </w:rPr>
        <w:t xml:space="preserve"> levels</w:t>
      </w:r>
      <w:r w:rsidR="003861FE" w:rsidRPr="00AF0457">
        <w:rPr>
          <w:rFonts w:cstheme="minorHAnsi"/>
          <w:bCs/>
        </w:rPr>
        <w:t xml:space="preserve"> and clinical data and excluded individuals </w:t>
      </w:r>
      <w:r w:rsidR="00060386" w:rsidRPr="00AF0457">
        <w:rPr>
          <w:rFonts w:cstheme="minorHAnsi"/>
          <w:bCs/>
        </w:rPr>
        <w:t>using</w:t>
      </w:r>
      <w:r w:rsidR="003861FE" w:rsidRPr="00AF0457">
        <w:rPr>
          <w:rFonts w:cstheme="minorHAnsi"/>
          <w:bCs/>
        </w:rPr>
        <w:t xml:space="preserve"> medications related to hormones. We applied multiple imputation methodology to prevent loss of information and maintained a robust sample size with adequate statistical power to detect observed effects. </w:t>
      </w:r>
      <w:r w:rsidRPr="00AF0457">
        <w:rPr>
          <w:rFonts w:cstheme="minorHAnsi"/>
          <w:bCs/>
        </w:rPr>
        <w:t xml:space="preserve">Finally, we included a wide range of covariates as potential confounders to better </w:t>
      </w:r>
      <w:r w:rsidR="0033568C" w:rsidRPr="00AF0457">
        <w:rPr>
          <w:rFonts w:cstheme="minorHAnsi"/>
          <w:bCs/>
        </w:rPr>
        <w:t>account for</w:t>
      </w:r>
      <w:r w:rsidRPr="00AF0457">
        <w:rPr>
          <w:rFonts w:cstheme="minorHAnsi"/>
          <w:bCs/>
        </w:rPr>
        <w:t xml:space="preserve"> the complex multifactorial disease etiology of hypertension.</w:t>
      </w:r>
    </w:p>
    <w:p w14:paraId="2A71EA8D" w14:textId="324FA650" w:rsidR="00687DB3" w:rsidRPr="00AF0457" w:rsidRDefault="007750A2" w:rsidP="00CC21FA">
      <w:pPr>
        <w:spacing w:after="40" w:line="480" w:lineRule="auto"/>
        <w:ind w:left="-4" w:right="58" w:firstLine="724"/>
        <w:rPr>
          <w:rFonts w:cstheme="minorHAnsi"/>
          <w:bCs/>
        </w:rPr>
      </w:pPr>
      <w:r w:rsidRPr="00AF0457">
        <w:rPr>
          <w:rFonts w:cstheme="minorHAnsi"/>
          <w:bCs/>
        </w:rPr>
        <w:t>Our</w:t>
      </w:r>
      <w:r w:rsidR="00FC6E14" w:rsidRPr="00AF0457">
        <w:rPr>
          <w:rFonts w:cstheme="minorHAnsi"/>
          <w:bCs/>
        </w:rPr>
        <w:t xml:space="preserve"> study is</w:t>
      </w:r>
      <w:r w:rsidRPr="00AF0457">
        <w:rPr>
          <w:rFonts w:cstheme="minorHAnsi"/>
          <w:bCs/>
        </w:rPr>
        <w:t xml:space="preserve"> also</w:t>
      </w:r>
      <w:r w:rsidR="00FC6E14" w:rsidRPr="00AF0457">
        <w:rPr>
          <w:rFonts w:cstheme="minorHAnsi"/>
          <w:bCs/>
        </w:rPr>
        <w:t xml:space="preserve"> subject to some limitations. First,</w:t>
      </w:r>
      <w:r w:rsidR="00F66482">
        <w:rPr>
          <w:rFonts w:cstheme="minorHAnsi"/>
          <w:bCs/>
        </w:rPr>
        <w:t xml:space="preserve"> </w:t>
      </w:r>
      <w:r w:rsidR="00F66482" w:rsidRPr="00AF0457">
        <w:rPr>
          <w:rFonts w:cstheme="minorHAnsi"/>
          <w:bCs/>
        </w:rPr>
        <w:t>multiple comparisons were not accounted for since these were prespecified hypotheses; however, the number of comparisons presents the possibility of false positive findings highlighting the need to replicate these findings in other studies</w:t>
      </w:r>
      <w:r w:rsidR="00F66482">
        <w:rPr>
          <w:rFonts w:cstheme="minorHAnsi"/>
          <w:bCs/>
        </w:rPr>
        <w:t>.</w:t>
      </w:r>
      <w:r w:rsidR="00486EDD" w:rsidRPr="00AF0457">
        <w:rPr>
          <w:rStyle w:val="EndnoteReference"/>
          <w:rFonts w:cstheme="minorHAnsi"/>
          <w:bCs/>
        </w:rPr>
        <w:endnoteReference w:id="82"/>
      </w:r>
      <w:r w:rsidR="00F66482">
        <w:rPr>
          <w:rFonts w:cstheme="minorHAnsi"/>
          <w:bCs/>
        </w:rPr>
        <w:t xml:space="preserve"> Second,</w:t>
      </w:r>
      <w:r w:rsidR="00FC6E14" w:rsidRPr="00AF0457">
        <w:rPr>
          <w:rFonts w:cstheme="minorHAnsi"/>
          <w:bCs/>
        </w:rPr>
        <w:t xml:space="preserve"> we </w:t>
      </w:r>
      <w:r w:rsidR="005D465E" w:rsidRPr="00AF0457">
        <w:rPr>
          <w:rFonts w:cstheme="minorHAnsi"/>
          <w:bCs/>
        </w:rPr>
        <w:t xml:space="preserve">included a limited number of </w:t>
      </w:r>
      <w:r w:rsidR="00693253" w:rsidRPr="00AF0457">
        <w:rPr>
          <w:rFonts w:cstheme="minorHAnsi"/>
          <w:bCs/>
        </w:rPr>
        <w:t>thyroid-related</w:t>
      </w:r>
      <w:r w:rsidR="005D465E" w:rsidRPr="00AF0457">
        <w:rPr>
          <w:rFonts w:cstheme="minorHAnsi"/>
          <w:bCs/>
        </w:rPr>
        <w:t xml:space="preserve"> hormones and utilized</w:t>
      </w:r>
      <w:r w:rsidR="002375B4" w:rsidRPr="00AF0457">
        <w:rPr>
          <w:rFonts w:cstheme="minorHAnsi"/>
          <w:bCs/>
        </w:rPr>
        <w:t xml:space="preserve"> only</w:t>
      </w:r>
      <w:r w:rsidR="005D465E" w:rsidRPr="00AF0457">
        <w:rPr>
          <w:rFonts w:cstheme="minorHAnsi"/>
          <w:bCs/>
        </w:rPr>
        <w:t xml:space="preserve"> baseline</w:t>
      </w:r>
      <w:r w:rsidR="00B6680E" w:rsidRPr="00AF0457">
        <w:rPr>
          <w:rFonts w:cstheme="minorHAnsi"/>
          <w:bCs/>
        </w:rPr>
        <w:t xml:space="preserve"> measurement of hormones.</w:t>
      </w:r>
      <w:r w:rsidR="00FC6E14" w:rsidRPr="00AF0457">
        <w:rPr>
          <w:rFonts w:cstheme="minorHAnsi"/>
          <w:bCs/>
        </w:rPr>
        <w:t xml:space="preserve"> </w:t>
      </w:r>
      <w:r w:rsidR="004A5929" w:rsidRPr="00AF0457">
        <w:rPr>
          <w:rFonts w:cstheme="minorHAnsi"/>
          <w:bCs/>
        </w:rPr>
        <w:t xml:space="preserve">Hence, </w:t>
      </w:r>
      <w:r w:rsidR="004A5C64" w:rsidRPr="00AF0457">
        <w:rPr>
          <w:rFonts w:cstheme="minorHAnsi"/>
          <w:bCs/>
        </w:rPr>
        <w:t xml:space="preserve">our </w:t>
      </w:r>
      <w:r w:rsidR="004A5929" w:rsidRPr="00AF0457">
        <w:rPr>
          <w:rFonts w:cstheme="minorHAnsi"/>
          <w:bCs/>
        </w:rPr>
        <w:t>findings may not be reflective of an individual</w:t>
      </w:r>
      <w:r w:rsidR="00F33F1C" w:rsidRPr="00AF0457">
        <w:rPr>
          <w:rFonts w:cstheme="minorHAnsi"/>
          <w:bCs/>
        </w:rPr>
        <w:t>’</w:t>
      </w:r>
      <w:r w:rsidR="004A5929" w:rsidRPr="00AF0457">
        <w:rPr>
          <w:rFonts w:cstheme="minorHAnsi"/>
          <w:bCs/>
        </w:rPr>
        <w:t xml:space="preserve">s hormone concentrations </w:t>
      </w:r>
      <w:r w:rsidR="004A5C64" w:rsidRPr="00AF0457">
        <w:rPr>
          <w:rFonts w:cstheme="minorHAnsi"/>
          <w:bCs/>
        </w:rPr>
        <w:t>across time</w:t>
      </w:r>
      <w:r w:rsidR="004A5929" w:rsidRPr="00AF0457">
        <w:rPr>
          <w:rFonts w:cstheme="minorHAnsi"/>
          <w:bCs/>
        </w:rPr>
        <w:t>.</w:t>
      </w:r>
      <w:r w:rsidR="008434DB" w:rsidRPr="00AF0457">
        <w:rPr>
          <w:rFonts w:cstheme="minorHAnsi"/>
          <w:bCs/>
        </w:rPr>
        <w:t xml:space="preserve"> </w:t>
      </w:r>
      <w:r w:rsidR="00B44E00">
        <w:rPr>
          <w:rFonts w:cstheme="minorHAnsi"/>
          <w:bCs/>
        </w:rPr>
        <w:t>Third</w:t>
      </w:r>
      <w:r w:rsidR="00866824" w:rsidRPr="00AF0457">
        <w:rPr>
          <w:rFonts w:cstheme="minorHAnsi"/>
          <w:bCs/>
        </w:rPr>
        <w:t>,</w:t>
      </w:r>
      <w:r w:rsidR="00F657AE" w:rsidRPr="00AF0457">
        <w:rPr>
          <w:rFonts w:cstheme="minorHAnsi"/>
          <w:bCs/>
        </w:rPr>
        <w:t xml:space="preserve"> </w:t>
      </w:r>
      <w:bookmarkStart w:id="49" w:name="_Hlk158378657"/>
      <w:r w:rsidR="005E79C8" w:rsidRPr="005E79C8">
        <w:rPr>
          <w:rFonts w:cstheme="minorHAnsi"/>
          <w:bCs/>
        </w:rPr>
        <w:t>we excluded participants based on medication use influencing thyroid hormones at V1 and evaluated associations among euthyroid individuals in a sub-analysis</w:t>
      </w:r>
      <w:r w:rsidR="000D5973" w:rsidRPr="005E79C8">
        <w:rPr>
          <w:rFonts w:cstheme="minorHAnsi"/>
          <w:bCs/>
        </w:rPr>
        <w:t xml:space="preserve">. </w:t>
      </w:r>
      <w:r w:rsidR="005E79C8" w:rsidRPr="005E79C8">
        <w:rPr>
          <w:rFonts w:cstheme="minorHAnsi"/>
          <w:bCs/>
        </w:rPr>
        <w:t xml:space="preserve">We measured thyroid-related hormones </w:t>
      </w:r>
      <w:r w:rsidR="00583410">
        <w:rPr>
          <w:rFonts w:cstheme="minorHAnsi"/>
          <w:bCs/>
        </w:rPr>
        <w:t xml:space="preserve">only </w:t>
      </w:r>
      <w:r w:rsidR="005E79C8" w:rsidRPr="005E79C8">
        <w:rPr>
          <w:rFonts w:cstheme="minorHAnsi"/>
          <w:bCs/>
        </w:rPr>
        <w:t>at V1</w:t>
      </w:r>
      <w:r w:rsidR="00583410">
        <w:rPr>
          <w:rFonts w:cstheme="minorHAnsi"/>
          <w:bCs/>
        </w:rPr>
        <w:t>.</w:t>
      </w:r>
      <w:r w:rsidR="005E79C8" w:rsidRPr="005E79C8">
        <w:rPr>
          <w:rFonts w:cstheme="minorHAnsi"/>
          <w:bCs/>
        </w:rPr>
        <w:t xml:space="preserve"> </w:t>
      </w:r>
      <w:r w:rsidR="00583410">
        <w:rPr>
          <w:rFonts w:cstheme="minorHAnsi"/>
          <w:bCs/>
        </w:rPr>
        <w:t>W</w:t>
      </w:r>
      <w:r w:rsidR="005E5ABB">
        <w:rPr>
          <w:rFonts w:cstheme="minorHAnsi"/>
          <w:bCs/>
        </w:rPr>
        <w:t>e do not expect</w:t>
      </w:r>
      <w:r w:rsidR="003E44E9" w:rsidRPr="003E44E9">
        <w:rPr>
          <w:rFonts w:cstheme="minorHAnsi"/>
          <w:bCs/>
        </w:rPr>
        <w:t xml:space="preserve"> a large number will start thyroid medication between V1 and V2, although we do not have a way to assess the impact of those who do initiate thyroid therapy</w:t>
      </w:r>
      <w:r w:rsidR="005E79C8" w:rsidRPr="005E79C8">
        <w:rPr>
          <w:rFonts w:cstheme="minorHAnsi"/>
          <w:bCs/>
        </w:rPr>
        <w:t>.</w:t>
      </w:r>
      <w:bookmarkEnd w:id="49"/>
      <w:r w:rsidR="00F657AE" w:rsidRPr="00AF0457">
        <w:rPr>
          <w:rFonts w:cstheme="minorHAnsi"/>
          <w:bCs/>
        </w:rPr>
        <w:t xml:space="preserve">. </w:t>
      </w:r>
      <w:r w:rsidR="001A10DC">
        <w:rPr>
          <w:rFonts w:cstheme="minorHAnsi"/>
          <w:bCs/>
        </w:rPr>
        <w:t>Fourth</w:t>
      </w:r>
      <w:r w:rsidR="00F657AE" w:rsidRPr="00AF0457">
        <w:rPr>
          <w:rFonts w:cstheme="minorHAnsi"/>
          <w:bCs/>
        </w:rPr>
        <w:t>,</w:t>
      </w:r>
      <w:r w:rsidR="00866824" w:rsidRPr="00AF0457">
        <w:rPr>
          <w:rFonts w:cstheme="minorHAnsi"/>
          <w:bCs/>
        </w:rPr>
        <w:t xml:space="preserve"> hypertension was not the primary endpoint of our ancillary study where Hispanic/Latino adults free of diabetes at </w:t>
      </w:r>
      <w:r w:rsidR="00107682" w:rsidRPr="00AF0457">
        <w:rPr>
          <w:rFonts w:cstheme="minorHAnsi"/>
          <w:bCs/>
        </w:rPr>
        <w:t>V1</w:t>
      </w:r>
      <w:r w:rsidR="00866824" w:rsidRPr="00AF0457">
        <w:rPr>
          <w:rFonts w:cstheme="minorHAnsi"/>
          <w:bCs/>
        </w:rPr>
        <w:t xml:space="preserve"> were selected based on prediabet</w:t>
      </w:r>
      <w:r w:rsidR="00107682" w:rsidRPr="00AF0457">
        <w:rPr>
          <w:rFonts w:cstheme="minorHAnsi"/>
          <w:bCs/>
        </w:rPr>
        <w:t>es</w:t>
      </w:r>
      <w:r w:rsidR="00866824" w:rsidRPr="00AF0457">
        <w:rPr>
          <w:rFonts w:cstheme="minorHAnsi"/>
          <w:bCs/>
        </w:rPr>
        <w:t xml:space="preserve"> status</w:t>
      </w:r>
      <w:r w:rsidR="00107682" w:rsidRPr="00AF0457">
        <w:rPr>
          <w:rFonts w:cstheme="minorHAnsi"/>
          <w:bCs/>
        </w:rPr>
        <w:t xml:space="preserve"> (normoglycemia or prediabetes)</w:t>
      </w:r>
      <w:r w:rsidR="00866824" w:rsidRPr="00AF0457">
        <w:rPr>
          <w:rFonts w:cstheme="minorHAnsi"/>
          <w:bCs/>
        </w:rPr>
        <w:t xml:space="preserve"> to assess associations of </w:t>
      </w:r>
      <w:r w:rsidR="0033643D" w:rsidRPr="00AF0457">
        <w:rPr>
          <w:rFonts w:cstheme="minorHAnsi"/>
          <w:bCs/>
        </w:rPr>
        <w:t>persistent organic pollutants</w:t>
      </w:r>
      <w:r w:rsidR="00866824" w:rsidRPr="00AF0457">
        <w:rPr>
          <w:rFonts w:cstheme="minorHAnsi"/>
          <w:bCs/>
        </w:rPr>
        <w:t xml:space="preserve"> exposure and endogenous hormones with </w:t>
      </w:r>
      <w:r w:rsidR="00E93CF5" w:rsidRPr="00AF0457">
        <w:rPr>
          <w:rFonts w:cstheme="minorHAnsi"/>
          <w:bCs/>
        </w:rPr>
        <w:t>the development of</w:t>
      </w:r>
      <w:r w:rsidR="00866824" w:rsidRPr="00AF0457">
        <w:rPr>
          <w:rFonts w:cstheme="minorHAnsi"/>
          <w:bCs/>
        </w:rPr>
        <w:t xml:space="preserve"> diabetes. </w:t>
      </w:r>
      <w:r w:rsidR="00E23C4F" w:rsidRPr="00AF0457">
        <w:rPr>
          <w:rFonts w:cstheme="minorHAnsi"/>
          <w:bCs/>
        </w:rPr>
        <w:t>However, o</w:t>
      </w:r>
      <w:r w:rsidR="009310F1" w:rsidRPr="00AF0457">
        <w:rPr>
          <w:rFonts w:cstheme="minorHAnsi"/>
          <w:bCs/>
        </w:rPr>
        <w:t xml:space="preserve">ur previous study </w:t>
      </w:r>
      <w:r w:rsidR="00054262" w:rsidRPr="00AF0457">
        <w:rPr>
          <w:rFonts w:cstheme="minorHAnsi"/>
          <w:bCs/>
        </w:rPr>
        <w:t>did not find substantial differences in demographic characteristics for the ancillary vs full HCHS/SOL cohort</w:t>
      </w:r>
      <w:r w:rsidR="004B0378">
        <w:rPr>
          <w:rFonts w:cstheme="minorHAnsi"/>
          <w:bCs/>
        </w:rPr>
        <w:t>.</w:t>
      </w:r>
      <w:r w:rsidR="003C7822" w:rsidRPr="003C7822">
        <w:rPr>
          <w:rFonts w:cstheme="minorHAnsi"/>
          <w:bCs/>
          <w:vertAlign w:val="superscript"/>
        </w:rPr>
        <w:fldChar w:fldCharType="begin"/>
      </w:r>
      <w:r w:rsidR="003C7822" w:rsidRPr="003C7822">
        <w:rPr>
          <w:rFonts w:cstheme="minorHAnsi"/>
          <w:bCs/>
          <w:vertAlign w:val="superscript"/>
        </w:rPr>
        <w:instrText xml:space="preserve"> NOTEREF _Ref158720343 \h </w:instrText>
      </w:r>
      <w:r w:rsidR="003C7822" w:rsidRPr="003C7822">
        <w:rPr>
          <w:rFonts w:cstheme="minorHAnsi"/>
          <w:bCs/>
          <w:vertAlign w:val="superscript"/>
        </w:rPr>
      </w:r>
      <w:r w:rsidR="003C7822">
        <w:rPr>
          <w:rFonts w:cstheme="minorHAnsi"/>
          <w:bCs/>
          <w:vertAlign w:val="superscript"/>
        </w:rPr>
        <w:instrText xml:space="preserve"> \* MERGEFORMAT </w:instrText>
      </w:r>
      <w:r w:rsidR="003C7822" w:rsidRPr="003C7822">
        <w:rPr>
          <w:rFonts w:cstheme="minorHAnsi"/>
          <w:bCs/>
          <w:vertAlign w:val="superscript"/>
        </w:rPr>
        <w:fldChar w:fldCharType="separate"/>
      </w:r>
      <w:r w:rsidR="000F6C53">
        <w:rPr>
          <w:rFonts w:cstheme="minorHAnsi"/>
          <w:bCs/>
          <w:vertAlign w:val="superscript"/>
        </w:rPr>
        <w:t>50</w:t>
      </w:r>
      <w:r w:rsidR="003C7822" w:rsidRPr="003C7822">
        <w:rPr>
          <w:rFonts w:cstheme="minorHAnsi"/>
          <w:bCs/>
          <w:vertAlign w:val="superscript"/>
        </w:rPr>
        <w:fldChar w:fldCharType="end"/>
      </w:r>
      <w:r w:rsidR="00054262" w:rsidRPr="00AF0457">
        <w:rPr>
          <w:rFonts w:cstheme="minorHAnsi"/>
          <w:bCs/>
        </w:rPr>
        <w:t xml:space="preserve"> We also </w:t>
      </w:r>
      <w:r w:rsidR="00866824" w:rsidRPr="00AF0457">
        <w:rPr>
          <w:rFonts w:cstheme="minorHAnsi"/>
          <w:bCs/>
        </w:rPr>
        <w:t>adjusted</w:t>
      </w:r>
      <w:r w:rsidR="00107682" w:rsidRPr="00AF0457">
        <w:rPr>
          <w:rFonts w:cstheme="minorHAnsi"/>
          <w:bCs/>
        </w:rPr>
        <w:t xml:space="preserve"> the present analysis </w:t>
      </w:r>
      <w:r w:rsidR="00866824" w:rsidRPr="00AF0457">
        <w:rPr>
          <w:rFonts w:cstheme="minorHAnsi"/>
          <w:bCs/>
        </w:rPr>
        <w:t>for prediabetes status to account for potential selection bias.</w:t>
      </w:r>
      <w:r w:rsidR="00933AD4" w:rsidRPr="00AF0457">
        <w:rPr>
          <w:rFonts w:cstheme="minorHAnsi"/>
          <w:bCs/>
        </w:rPr>
        <w:t xml:space="preserve"> </w:t>
      </w:r>
      <w:r w:rsidR="008218A9">
        <w:rPr>
          <w:rFonts w:cstheme="minorHAnsi"/>
          <w:bCs/>
        </w:rPr>
        <w:t>Fifth</w:t>
      </w:r>
      <w:r w:rsidR="001B74F9" w:rsidRPr="00AF0457">
        <w:rPr>
          <w:rFonts w:cstheme="minorHAnsi"/>
          <w:bCs/>
        </w:rPr>
        <w:t>, o</w:t>
      </w:r>
      <w:r w:rsidR="00933AD4" w:rsidRPr="00AF0457">
        <w:rPr>
          <w:rFonts w:cstheme="minorHAnsi"/>
          <w:bCs/>
        </w:rPr>
        <w:t xml:space="preserve">ur analysis of incident hypertension and the sub-analysis in euthyroid individuals </w:t>
      </w:r>
      <w:r w:rsidR="00E675DC" w:rsidRPr="00AF0457">
        <w:rPr>
          <w:rFonts w:cstheme="minorHAnsi"/>
          <w:bCs/>
        </w:rPr>
        <w:t>may be limited in sample size</w:t>
      </w:r>
      <w:r w:rsidR="00933AD4" w:rsidRPr="00AF0457">
        <w:rPr>
          <w:rFonts w:cstheme="minorHAnsi"/>
          <w:bCs/>
        </w:rPr>
        <w:t xml:space="preserve">. However, we found </w:t>
      </w:r>
      <w:r w:rsidR="002608BA" w:rsidRPr="00AF0457">
        <w:rPr>
          <w:rFonts w:cstheme="minorHAnsi"/>
          <w:bCs/>
        </w:rPr>
        <w:t xml:space="preserve">some </w:t>
      </w:r>
      <w:r w:rsidR="00933AD4" w:rsidRPr="00AF0457">
        <w:rPr>
          <w:rFonts w:cstheme="minorHAnsi"/>
          <w:bCs/>
        </w:rPr>
        <w:t xml:space="preserve">significant and robust associations </w:t>
      </w:r>
      <w:r w:rsidR="00B03A42" w:rsidRPr="00AF0457">
        <w:rPr>
          <w:rFonts w:cstheme="minorHAnsi"/>
          <w:bCs/>
        </w:rPr>
        <w:t xml:space="preserve">that </w:t>
      </w:r>
      <w:r w:rsidR="00933AD4" w:rsidRPr="00AF0457">
        <w:rPr>
          <w:rFonts w:cstheme="minorHAnsi"/>
          <w:bCs/>
        </w:rPr>
        <w:t xml:space="preserve">make our findings </w:t>
      </w:r>
      <w:r w:rsidR="00B03A42" w:rsidRPr="00AF0457">
        <w:rPr>
          <w:rFonts w:cstheme="minorHAnsi"/>
          <w:bCs/>
        </w:rPr>
        <w:t>noteworthy</w:t>
      </w:r>
      <w:r w:rsidR="00933AD4" w:rsidRPr="00AF0457">
        <w:rPr>
          <w:rFonts w:cstheme="minorHAnsi"/>
          <w:bCs/>
        </w:rPr>
        <w:t>.</w:t>
      </w:r>
      <w:r w:rsidR="000D2143" w:rsidRPr="00AF0457">
        <w:rPr>
          <w:rFonts w:cstheme="minorHAnsi"/>
          <w:bCs/>
        </w:rPr>
        <w:t xml:space="preserve"> </w:t>
      </w:r>
      <w:r w:rsidR="00216CC7">
        <w:rPr>
          <w:rFonts w:cstheme="minorHAnsi"/>
          <w:bCs/>
        </w:rPr>
        <w:t>Sixth</w:t>
      </w:r>
      <w:r w:rsidR="00866824" w:rsidRPr="00AF0457">
        <w:rPr>
          <w:rFonts w:cstheme="minorHAnsi"/>
          <w:bCs/>
        </w:rPr>
        <w:t>, lifestyle covariates</w:t>
      </w:r>
      <w:r w:rsidR="0033643D" w:rsidRPr="00AF0457">
        <w:rPr>
          <w:rFonts w:cstheme="minorHAnsi"/>
          <w:bCs/>
        </w:rPr>
        <w:t>, some medication use</w:t>
      </w:r>
      <w:r w:rsidR="00B03A42" w:rsidRPr="00AF0457">
        <w:rPr>
          <w:rFonts w:cstheme="minorHAnsi"/>
          <w:bCs/>
        </w:rPr>
        <w:t>,</w:t>
      </w:r>
      <w:r w:rsidR="00866824" w:rsidRPr="00AF0457">
        <w:rPr>
          <w:rFonts w:cstheme="minorHAnsi"/>
          <w:bCs/>
        </w:rPr>
        <w:t xml:space="preserve"> and </w:t>
      </w:r>
      <w:r w:rsidR="00B03A42" w:rsidRPr="00AF0457">
        <w:rPr>
          <w:rFonts w:cstheme="minorHAnsi"/>
          <w:bCs/>
        </w:rPr>
        <w:t xml:space="preserve">measures of </w:t>
      </w:r>
      <w:r w:rsidR="00866824" w:rsidRPr="00AF0457">
        <w:rPr>
          <w:rFonts w:cstheme="minorHAnsi"/>
          <w:bCs/>
        </w:rPr>
        <w:t xml:space="preserve">socio-economic status were assessed by self-report and are subject to potential recall bias. </w:t>
      </w:r>
      <w:r w:rsidR="00600246">
        <w:rPr>
          <w:rFonts w:cstheme="minorHAnsi"/>
          <w:bCs/>
        </w:rPr>
        <w:t>Seventh</w:t>
      </w:r>
      <w:r w:rsidR="00866824" w:rsidRPr="00AF0457">
        <w:rPr>
          <w:rFonts w:cstheme="minorHAnsi"/>
          <w:bCs/>
        </w:rPr>
        <w:t>,</w:t>
      </w:r>
      <w:r w:rsidR="00A43705" w:rsidRPr="00AF0457">
        <w:rPr>
          <w:rFonts w:cstheme="minorHAnsi"/>
          <w:bCs/>
        </w:rPr>
        <w:t xml:space="preserve"> our results </w:t>
      </w:r>
      <w:r w:rsidR="009310F1" w:rsidRPr="00AF0457">
        <w:rPr>
          <w:rFonts w:cstheme="minorHAnsi"/>
          <w:bCs/>
        </w:rPr>
        <w:t>may not</w:t>
      </w:r>
      <w:r w:rsidR="00A43705" w:rsidRPr="00AF0457">
        <w:rPr>
          <w:rFonts w:cstheme="minorHAnsi"/>
          <w:bCs/>
        </w:rPr>
        <w:t xml:space="preserve"> be </w:t>
      </w:r>
      <w:r w:rsidR="009310F1" w:rsidRPr="00AF0457">
        <w:rPr>
          <w:rFonts w:cstheme="minorHAnsi"/>
          <w:bCs/>
        </w:rPr>
        <w:t>generalizable</w:t>
      </w:r>
      <w:r w:rsidR="00A43705" w:rsidRPr="00AF0457">
        <w:rPr>
          <w:rFonts w:cstheme="minorHAnsi"/>
          <w:bCs/>
        </w:rPr>
        <w:t xml:space="preserve"> to non-Hispanic populations.</w:t>
      </w:r>
      <w:r w:rsidR="008A22DE" w:rsidRPr="00AF0457">
        <w:rPr>
          <w:rFonts w:cstheme="minorHAnsi"/>
          <w:bCs/>
        </w:rPr>
        <w:t>.</w:t>
      </w:r>
    </w:p>
    <w:p w14:paraId="7FB45290" w14:textId="659BF0CE" w:rsidR="004F2B23" w:rsidRPr="00AF0457" w:rsidRDefault="00F33F1C" w:rsidP="00CC21FA">
      <w:pPr>
        <w:spacing w:before="240" w:after="40" w:line="480" w:lineRule="auto"/>
        <w:ind w:right="58"/>
        <w:rPr>
          <w:rFonts w:cstheme="minorHAnsi"/>
          <w:b/>
        </w:rPr>
      </w:pPr>
      <w:r w:rsidRPr="00AF0457">
        <w:rPr>
          <w:rFonts w:cstheme="minorHAnsi"/>
          <w:b/>
        </w:rPr>
        <w:t>Conclusions</w:t>
      </w:r>
    </w:p>
    <w:p w14:paraId="711711AD" w14:textId="3E5DC44E" w:rsidR="00E87159" w:rsidRPr="00AF0457" w:rsidRDefault="00CC0B98" w:rsidP="00CC21FA">
      <w:pPr>
        <w:spacing w:after="40" w:line="480" w:lineRule="auto"/>
        <w:ind w:right="58"/>
        <w:rPr>
          <w:rFonts w:cstheme="minorHAnsi"/>
          <w:bCs/>
        </w:rPr>
      </w:pPr>
      <w:r>
        <w:rPr>
          <w:rFonts w:cstheme="minorHAnsi"/>
          <w:bCs/>
        </w:rPr>
        <w:lastRenderedPageBreak/>
        <w:t>In an adult Hispanic/Latino population, w</w:t>
      </w:r>
      <w:r w:rsidR="00B2784E" w:rsidRPr="00AF0457">
        <w:rPr>
          <w:rFonts w:cstheme="minorHAnsi"/>
          <w:bCs/>
        </w:rPr>
        <w:t xml:space="preserve">e </w:t>
      </w:r>
      <w:r w:rsidR="00BC56AA" w:rsidRPr="00AF0457">
        <w:rPr>
          <w:rFonts w:cstheme="minorHAnsi"/>
          <w:bCs/>
        </w:rPr>
        <w:t>observed</w:t>
      </w:r>
      <w:r w:rsidR="00B2784E" w:rsidRPr="00AF0457">
        <w:rPr>
          <w:rFonts w:cstheme="minorHAnsi"/>
          <w:bCs/>
        </w:rPr>
        <w:t xml:space="preserve"> positive </w:t>
      </w:r>
      <w:r w:rsidR="00B2784E" w:rsidRPr="00AF0457">
        <w:rPr>
          <w:rFonts w:cstheme="minorHAnsi"/>
        </w:rPr>
        <w:t>a</w:t>
      </w:r>
      <w:r w:rsidR="00BD4E85" w:rsidRPr="00AF0457">
        <w:rPr>
          <w:rFonts w:cstheme="minorHAnsi"/>
        </w:rPr>
        <w:t>ssociations of</w:t>
      </w:r>
      <w:r w:rsidR="00B2784E" w:rsidRPr="00AF0457">
        <w:rPr>
          <w:rFonts w:cstheme="minorHAnsi"/>
        </w:rPr>
        <w:t xml:space="preserve"> </w:t>
      </w:r>
      <w:r w:rsidR="004F067D" w:rsidRPr="00AF0457">
        <w:rPr>
          <w:rFonts w:cstheme="minorHAnsi"/>
        </w:rPr>
        <w:t>TSH</w:t>
      </w:r>
      <w:r w:rsidR="00A031F7" w:rsidRPr="00AF0457">
        <w:rPr>
          <w:rFonts w:cstheme="minorHAnsi"/>
        </w:rPr>
        <w:t xml:space="preserve"> and TSH/FT4 ratio</w:t>
      </w:r>
      <w:r w:rsidR="00BD4E85" w:rsidRPr="00AF0457">
        <w:rPr>
          <w:rFonts w:cstheme="minorHAnsi"/>
        </w:rPr>
        <w:t xml:space="preserve"> with</w:t>
      </w:r>
      <w:r w:rsidR="009A29A0" w:rsidRPr="00AF0457">
        <w:rPr>
          <w:rFonts w:cstheme="minorHAnsi"/>
        </w:rPr>
        <w:t xml:space="preserve"> </w:t>
      </w:r>
      <w:r w:rsidR="009A29A0" w:rsidRPr="00AF0457">
        <w:rPr>
          <w:rFonts w:cstheme="minorHAnsi"/>
          <w:bCs/>
        </w:rPr>
        <w:t>change in</w:t>
      </w:r>
      <w:r w:rsidR="00B2784E" w:rsidRPr="00AF0457">
        <w:rPr>
          <w:rFonts w:cstheme="minorHAnsi"/>
        </w:rPr>
        <w:t xml:space="preserve"> DBP</w:t>
      </w:r>
      <w:r w:rsidR="003C4AAB" w:rsidRPr="00AF0457">
        <w:rPr>
          <w:rFonts w:cstheme="minorHAnsi"/>
        </w:rPr>
        <w:t xml:space="preserve"> and</w:t>
      </w:r>
      <w:r w:rsidR="004F067D" w:rsidRPr="00AF0457">
        <w:rPr>
          <w:rFonts w:cstheme="minorHAnsi"/>
        </w:rPr>
        <w:t xml:space="preserve"> T3 with</w:t>
      </w:r>
      <w:r w:rsidR="009A29A0" w:rsidRPr="00AF0457">
        <w:rPr>
          <w:rFonts w:cstheme="minorHAnsi"/>
        </w:rPr>
        <w:t xml:space="preserve"> </w:t>
      </w:r>
      <w:r w:rsidR="009A29A0" w:rsidRPr="00AF0457">
        <w:rPr>
          <w:rFonts w:cstheme="minorHAnsi"/>
          <w:bCs/>
        </w:rPr>
        <w:t>change in</w:t>
      </w:r>
      <w:r w:rsidR="00B2784E" w:rsidRPr="00AF0457">
        <w:rPr>
          <w:rFonts w:cstheme="minorHAnsi"/>
        </w:rPr>
        <w:t xml:space="preserve"> pulse pressure</w:t>
      </w:r>
      <w:r w:rsidR="00A31C11" w:rsidRPr="00AF0457">
        <w:rPr>
          <w:rFonts w:cstheme="minorHAnsi"/>
        </w:rPr>
        <w:t xml:space="preserve"> in</w:t>
      </w:r>
      <w:r>
        <w:rPr>
          <w:rFonts w:cstheme="minorHAnsi"/>
        </w:rPr>
        <w:t xml:space="preserve"> both</w:t>
      </w:r>
      <w:r w:rsidR="00A31C11" w:rsidRPr="00AF0457">
        <w:rPr>
          <w:rFonts w:cstheme="minorHAnsi"/>
        </w:rPr>
        <w:t xml:space="preserve"> men and </w:t>
      </w:r>
      <w:r w:rsidR="00441B8F" w:rsidRPr="00AF0457">
        <w:rPr>
          <w:rFonts w:cstheme="minorHAnsi"/>
        </w:rPr>
        <w:t xml:space="preserve">postmenopausal </w:t>
      </w:r>
      <w:r w:rsidR="00A31C11" w:rsidRPr="00AF0457">
        <w:rPr>
          <w:rFonts w:cstheme="minorHAnsi"/>
        </w:rPr>
        <w:t>women</w:t>
      </w:r>
      <w:r w:rsidR="003C4AAB" w:rsidRPr="00AF0457">
        <w:rPr>
          <w:rFonts w:cstheme="minorHAnsi"/>
        </w:rPr>
        <w:t xml:space="preserve">. Overall, </w:t>
      </w:r>
      <w:r w:rsidR="00EE0AB9" w:rsidRPr="00AF0457">
        <w:rPr>
          <w:rFonts w:cstheme="minorHAnsi"/>
        </w:rPr>
        <w:t>T3</w:t>
      </w:r>
      <w:r w:rsidR="00B2784E" w:rsidRPr="00AF0457">
        <w:rPr>
          <w:rFonts w:cstheme="minorHAnsi"/>
        </w:rPr>
        <w:t xml:space="preserve"> </w:t>
      </w:r>
      <w:r w:rsidR="003C4AAB" w:rsidRPr="00AF0457">
        <w:rPr>
          <w:rFonts w:cstheme="minorHAnsi"/>
        </w:rPr>
        <w:t>w</w:t>
      </w:r>
      <w:r w:rsidR="00EE0AB9" w:rsidRPr="00AF0457">
        <w:rPr>
          <w:rFonts w:cstheme="minorHAnsi"/>
        </w:rPr>
        <w:t>as</w:t>
      </w:r>
      <w:r w:rsidR="003C4AAB" w:rsidRPr="00AF0457">
        <w:rPr>
          <w:rFonts w:cstheme="minorHAnsi"/>
        </w:rPr>
        <w:t xml:space="preserve"> associated with</w:t>
      </w:r>
      <w:r w:rsidR="00B2784E" w:rsidRPr="00AF0457">
        <w:rPr>
          <w:rFonts w:cstheme="minorHAnsi"/>
        </w:rPr>
        <w:t xml:space="preserve"> the</w:t>
      </w:r>
      <w:r w:rsidR="00BD4E85" w:rsidRPr="00AF0457">
        <w:rPr>
          <w:rFonts w:cstheme="minorHAnsi"/>
        </w:rPr>
        <w:t xml:space="preserve"> development of hypertension</w:t>
      </w:r>
      <w:r w:rsidR="003C4AAB" w:rsidRPr="00AF0457">
        <w:rPr>
          <w:rFonts w:cstheme="minorHAnsi"/>
        </w:rPr>
        <w:t xml:space="preserve"> but not prehypertension</w:t>
      </w:r>
      <w:r w:rsidR="00EE0AB9" w:rsidRPr="00AF0457">
        <w:rPr>
          <w:rFonts w:cstheme="minorHAnsi"/>
        </w:rPr>
        <w:t xml:space="preserve"> in men and postmenopausal women</w:t>
      </w:r>
      <w:r w:rsidR="00302B3E" w:rsidRPr="00AF0457">
        <w:rPr>
          <w:rFonts w:cstheme="minorHAnsi"/>
        </w:rPr>
        <w:t>,</w:t>
      </w:r>
      <w:r w:rsidR="00EE0AB9" w:rsidRPr="00AF0457">
        <w:rPr>
          <w:rFonts w:cstheme="minorHAnsi"/>
        </w:rPr>
        <w:t xml:space="preserve"> while TSH was associated with the development of hypertension in men</w:t>
      </w:r>
      <w:r w:rsidR="003C4AAB" w:rsidRPr="00AF0457">
        <w:rPr>
          <w:rFonts w:cstheme="minorHAnsi"/>
        </w:rPr>
        <w:t xml:space="preserve"> suggesting that these hormones are operative at a later stage in hypertension development</w:t>
      </w:r>
      <w:r w:rsidR="00315B02" w:rsidRPr="00AF0457">
        <w:rPr>
          <w:rFonts w:cstheme="minorHAnsi"/>
        </w:rPr>
        <w:t>.</w:t>
      </w:r>
      <w:r w:rsidR="00BC56AA" w:rsidRPr="00AF0457">
        <w:rPr>
          <w:rFonts w:cstheme="minorHAnsi"/>
        </w:rPr>
        <w:t xml:space="preserve"> </w:t>
      </w:r>
      <w:r w:rsidR="00843D80" w:rsidRPr="00AF0457">
        <w:rPr>
          <w:rFonts w:cstheme="minorHAnsi"/>
        </w:rPr>
        <w:t xml:space="preserve">We observed </w:t>
      </w:r>
      <w:r w:rsidR="00D132A0" w:rsidRPr="00AF0457">
        <w:rPr>
          <w:rFonts w:cstheme="minorHAnsi"/>
        </w:rPr>
        <w:t xml:space="preserve">sex-specific </w:t>
      </w:r>
      <w:r w:rsidR="00843D80" w:rsidRPr="00AF0457">
        <w:rPr>
          <w:rFonts w:cstheme="minorHAnsi"/>
        </w:rPr>
        <w:t>d</w:t>
      </w:r>
      <w:r w:rsidR="00626E86" w:rsidRPr="00AF0457">
        <w:rPr>
          <w:rFonts w:cstheme="minorHAnsi"/>
        </w:rPr>
        <w:t>ifferences</w:t>
      </w:r>
      <w:r w:rsidR="00D132A0" w:rsidRPr="00AF0457">
        <w:rPr>
          <w:rFonts w:cstheme="minorHAnsi"/>
        </w:rPr>
        <w:t xml:space="preserve"> </w:t>
      </w:r>
      <w:r w:rsidR="00626E86" w:rsidRPr="00AF0457">
        <w:rPr>
          <w:rFonts w:cstheme="minorHAnsi"/>
        </w:rPr>
        <w:t xml:space="preserve">in </w:t>
      </w:r>
      <w:r w:rsidR="00BE6AA3" w:rsidRPr="00AF0457">
        <w:rPr>
          <w:rFonts w:cstheme="minorHAnsi"/>
        </w:rPr>
        <w:t xml:space="preserve">the </w:t>
      </w:r>
      <w:r w:rsidR="00626E86" w:rsidRPr="00AF0457">
        <w:rPr>
          <w:rFonts w:cstheme="minorHAnsi"/>
        </w:rPr>
        <w:t>association of</w:t>
      </w:r>
      <w:r w:rsidR="00502FD6" w:rsidRPr="00AF0457">
        <w:rPr>
          <w:rFonts w:cstheme="minorHAnsi"/>
        </w:rPr>
        <w:t xml:space="preserve"> </w:t>
      </w:r>
      <w:r w:rsidR="00244148" w:rsidRPr="00AF0457">
        <w:rPr>
          <w:rFonts w:cstheme="minorHAnsi"/>
        </w:rPr>
        <w:t>T3/FT4</w:t>
      </w:r>
      <w:r w:rsidR="00615E42" w:rsidRPr="00AF0457">
        <w:rPr>
          <w:rFonts w:cstheme="minorHAnsi"/>
        </w:rPr>
        <w:t xml:space="preserve"> ratio</w:t>
      </w:r>
      <w:r w:rsidR="00B134BA" w:rsidRPr="00AF0457">
        <w:rPr>
          <w:rFonts w:cstheme="minorHAnsi"/>
        </w:rPr>
        <w:t xml:space="preserve"> and </w:t>
      </w:r>
      <w:r w:rsidR="00244148" w:rsidRPr="00AF0457">
        <w:rPr>
          <w:rFonts w:cstheme="minorHAnsi"/>
        </w:rPr>
        <w:t xml:space="preserve">various </w:t>
      </w:r>
      <w:r w:rsidR="00D132A0" w:rsidRPr="00AF0457">
        <w:rPr>
          <w:rFonts w:cstheme="minorHAnsi"/>
          <w:bCs/>
        </w:rPr>
        <w:t xml:space="preserve">indicators of </w:t>
      </w:r>
      <w:r w:rsidR="00527315" w:rsidRPr="00AF0457">
        <w:rPr>
          <w:rFonts w:cstheme="minorHAnsi"/>
          <w:bCs/>
        </w:rPr>
        <w:t xml:space="preserve">pituitary sensitivity to </w:t>
      </w:r>
      <w:r w:rsidR="00D132A0" w:rsidRPr="00AF0457">
        <w:rPr>
          <w:rFonts w:cstheme="minorHAnsi"/>
          <w:bCs/>
        </w:rPr>
        <w:t>thyroid hormone</w:t>
      </w:r>
      <w:r w:rsidR="00527315" w:rsidRPr="00AF0457">
        <w:rPr>
          <w:rFonts w:cstheme="minorHAnsi"/>
          <w:bCs/>
        </w:rPr>
        <w:t>s</w:t>
      </w:r>
      <w:r w:rsidR="00D132A0" w:rsidRPr="00AF0457">
        <w:rPr>
          <w:rFonts w:cstheme="minorHAnsi"/>
          <w:bCs/>
        </w:rPr>
        <w:t xml:space="preserve"> </w:t>
      </w:r>
      <w:r w:rsidR="00626E86" w:rsidRPr="00AF0457">
        <w:rPr>
          <w:rFonts w:cstheme="minorHAnsi"/>
          <w:bCs/>
        </w:rPr>
        <w:t>with</w:t>
      </w:r>
      <w:r w:rsidR="009F5036" w:rsidRPr="00AF0457">
        <w:rPr>
          <w:rFonts w:cstheme="minorHAnsi"/>
          <w:bCs/>
        </w:rPr>
        <w:t xml:space="preserve"> pulse pressure</w:t>
      </w:r>
      <w:r w:rsidR="00A74B46" w:rsidRPr="00AF0457">
        <w:rPr>
          <w:rFonts w:cstheme="minorHAnsi"/>
          <w:bCs/>
        </w:rPr>
        <w:t xml:space="preserve">, </w:t>
      </w:r>
      <w:r w:rsidR="00872569" w:rsidRPr="00AF0457">
        <w:rPr>
          <w:rFonts w:cstheme="minorHAnsi"/>
          <w:bCs/>
        </w:rPr>
        <w:t>a marker of arterial stiffness</w:t>
      </w:r>
      <w:r w:rsidR="00A74B46" w:rsidRPr="00AF0457">
        <w:rPr>
          <w:rFonts w:cstheme="minorHAnsi"/>
          <w:bCs/>
        </w:rPr>
        <w:t>,</w:t>
      </w:r>
      <w:r w:rsidR="009F5036" w:rsidRPr="00AF0457">
        <w:rPr>
          <w:rFonts w:cstheme="minorHAnsi"/>
          <w:bCs/>
        </w:rPr>
        <w:t xml:space="preserve"> and with</w:t>
      </w:r>
      <w:r w:rsidR="00626E86" w:rsidRPr="00AF0457">
        <w:rPr>
          <w:rFonts w:cstheme="minorHAnsi"/>
          <w:bCs/>
        </w:rPr>
        <w:t xml:space="preserve"> </w:t>
      </w:r>
      <w:r w:rsidR="00D60983" w:rsidRPr="00AF0457">
        <w:rPr>
          <w:rFonts w:cstheme="minorHAnsi"/>
          <w:bCs/>
        </w:rPr>
        <w:t xml:space="preserve">the </w:t>
      </w:r>
      <w:r w:rsidR="00626E86" w:rsidRPr="00AF0457">
        <w:rPr>
          <w:rFonts w:cstheme="minorHAnsi"/>
          <w:bCs/>
        </w:rPr>
        <w:t xml:space="preserve">development of hypertension </w:t>
      </w:r>
      <w:r w:rsidR="00B134BA" w:rsidRPr="00AF0457">
        <w:rPr>
          <w:rFonts w:cstheme="minorHAnsi"/>
          <w:bCs/>
        </w:rPr>
        <w:t xml:space="preserve">and </w:t>
      </w:r>
      <w:r w:rsidR="00626E86" w:rsidRPr="00AF0457">
        <w:rPr>
          <w:rFonts w:cstheme="minorHAnsi"/>
          <w:bCs/>
        </w:rPr>
        <w:t>prehypertension</w:t>
      </w:r>
      <w:r w:rsidR="007E45D3" w:rsidRPr="00AF0457">
        <w:rPr>
          <w:rFonts w:cstheme="minorHAnsi"/>
          <w:bCs/>
        </w:rPr>
        <w:t>. In the present study</w:t>
      </w:r>
      <w:r w:rsidR="000F628F" w:rsidRPr="00AF0457">
        <w:rPr>
          <w:rFonts w:cstheme="minorHAnsi"/>
        </w:rPr>
        <w:t>,</w:t>
      </w:r>
      <w:r w:rsidR="00BC56AA" w:rsidRPr="00AF0457">
        <w:rPr>
          <w:rFonts w:cstheme="minorHAnsi"/>
        </w:rPr>
        <w:t xml:space="preserve"> FT4 </w:t>
      </w:r>
      <w:r w:rsidR="00223C38">
        <w:rPr>
          <w:rFonts w:cstheme="minorHAnsi"/>
        </w:rPr>
        <w:t xml:space="preserve">demonstrated non-linear </w:t>
      </w:r>
      <w:r w:rsidR="00BC56AA" w:rsidRPr="00AF0457">
        <w:rPr>
          <w:rFonts w:cstheme="minorHAnsi"/>
        </w:rPr>
        <w:t>associa</w:t>
      </w:r>
      <w:r w:rsidR="00223C38">
        <w:rPr>
          <w:rFonts w:cstheme="minorHAnsi"/>
        </w:rPr>
        <w:t>tions</w:t>
      </w:r>
      <w:r w:rsidR="00BC56AA" w:rsidRPr="00AF0457">
        <w:rPr>
          <w:rFonts w:cstheme="minorHAnsi"/>
        </w:rPr>
        <w:t xml:space="preserve"> with</w:t>
      </w:r>
      <w:r w:rsidR="009A29A0" w:rsidRPr="00AF0457">
        <w:rPr>
          <w:rFonts w:cstheme="minorHAnsi"/>
        </w:rPr>
        <w:t xml:space="preserve"> </w:t>
      </w:r>
      <w:r w:rsidR="00BC56AA" w:rsidRPr="00AF0457">
        <w:rPr>
          <w:rFonts w:cstheme="minorHAnsi"/>
        </w:rPr>
        <w:t xml:space="preserve">the development of </w:t>
      </w:r>
      <w:r w:rsidR="00223C38">
        <w:rPr>
          <w:rFonts w:cstheme="minorHAnsi"/>
        </w:rPr>
        <w:t>pre</w:t>
      </w:r>
      <w:r w:rsidR="00BC56AA" w:rsidRPr="00AF0457">
        <w:rPr>
          <w:rFonts w:cstheme="minorHAnsi"/>
        </w:rPr>
        <w:t>hypertension</w:t>
      </w:r>
      <w:r w:rsidR="00223C38">
        <w:rPr>
          <w:rFonts w:cstheme="minorHAnsi"/>
        </w:rPr>
        <w:t xml:space="preserve"> from normotension </w:t>
      </w:r>
      <w:r w:rsidR="000F520D">
        <w:rPr>
          <w:rFonts w:cstheme="minorHAnsi"/>
        </w:rPr>
        <w:t xml:space="preserve">only </w:t>
      </w:r>
      <w:r w:rsidR="00223C38">
        <w:rPr>
          <w:rFonts w:cstheme="minorHAnsi"/>
        </w:rPr>
        <w:t>in postmenopausal women</w:t>
      </w:r>
      <w:r w:rsidR="00BC56AA" w:rsidRPr="00AF0457">
        <w:rPr>
          <w:rFonts w:cstheme="minorHAnsi"/>
        </w:rPr>
        <w:t>. Sex</w:t>
      </w:r>
      <w:r w:rsidR="00F06978" w:rsidRPr="00AF0457">
        <w:rPr>
          <w:rFonts w:cstheme="minorHAnsi"/>
        </w:rPr>
        <w:t xml:space="preserve">-specific </w:t>
      </w:r>
      <w:r w:rsidR="00BC56AA" w:rsidRPr="00AF0457">
        <w:rPr>
          <w:rFonts w:cstheme="minorHAnsi"/>
        </w:rPr>
        <w:t xml:space="preserve">differences </w:t>
      </w:r>
      <w:r w:rsidR="007C3092" w:rsidRPr="00AF0457">
        <w:rPr>
          <w:rFonts w:cstheme="minorHAnsi"/>
        </w:rPr>
        <w:t>observed in the present study</w:t>
      </w:r>
      <w:r w:rsidR="00BC56AA" w:rsidRPr="00AF0457">
        <w:rPr>
          <w:rFonts w:cstheme="minorHAnsi"/>
        </w:rPr>
        <w:t xml:space="preserve"> </w:t>
      </w:r>
      <w:r w:rsidR="00BD4E85" w:rsidRPr="00AF0457">
        <w:rPr>
          <w:rFonts w:cstheme="minorHAnsi"/>
          <w:bCs/>
        </w:rPr>
        <w:t>warrants additional investigation in future</w:t>
      </w:r>
      <w:r w:rsidR="00944E7B" w:rsidRPr="00AF0457">
        <w:rPr>
          <w:rFonts w:cstheme="minorHAnsi"/>
          <w:bCs/>
        </w:rPr>
        <w:t xml:space="preserve"> longitudinal</w:t>
      </w:r>
      <w:r w:rsidR="00BD4E85" w:rsidRPr="00AF0457">
        <w:rPr>
          <w:rFonts w:cstheme="minorHAnsi"/>
          <w:bCs/>
        </w:rPr>
        <w:t xml:space="preserve"> studies.</w:t>
      </w:r>
      <w:r w:rsidR="00E87159" w:rsidRPr="00AF0457">
        <w:rPr>
          <w:rFonts w:cstheme="minorHAnsi"/>
          <w:bCs/>
        </w:rPr>
        <w:br w:type="page"/>
      </w:r>
    </w:p>
    <w:p w14:paraId="05E460B9" w14:textId="7FA62FB4" w:rsidR="006B2697" w:rsidRDefault="00315B1E" w:rsidP="00334845">
      <w:pPr>
        <w:spacing w:before="60" w:after="60" w:line="360" w:lineRule="auto"/>
        <w:rPr>
          <w:rFonts w:cstheme="minorHAnsi"/>
          <w:b/>
        </w:rPr>
      </w:pPr>
      <w:r w:rsidRPr="00315B1E">
        <w:rPr>
          <w:rFonts w:cstheme="minorHAnsi"/>
          <w:b/>
        </w:rPr>
        <w:lastRenderedPageBreak/>
        <w:t>Table legends</w:t>
      </w:r>
    </w:p>
    <w:p w14:paraId="1F783214" w14:textId="7123E05B" w:rsidR="00315B1E" w:rsidRDefault="00315B1E" w:rsidP="00334845">
      <w:pPr>
        <w:spacing w:before="60" w:after="60" w:line="360" w:lineRule="auto"/>
        <w:rPr>
          <w:rFonts w:cstheme="minorHAnsi"/>
          <w:bCs/>
        </w:rPr>
      </w:pPr>
      <w:r w:rsidRPr="00315B1E">
        <w:rPr>
          <w:rFonts w:cstheme="minorHAnsi"/>
          <w:bCs/>
        </w:rPr>
        <w:t>Table 1. Sociodemographic characteristics of Hispanic/Latino men and postmenopausal women at baseline examination</w:t>
      </w:r>
    </w:p>
    <w:p w14:paraId="1E8B5CE3" w14:textId="3025CD7C" w:rsidR="00315B1E" w:rsidRDefault="0056630C" w:rsidP="00334845">
      <w:pPr>
        <w:spacing w:before="60" w:after="60" w:line="360" w:lineRule="auto"/>
        <w:rPr>
          <w:rFonts w:cstheme="minorHAnsi"/>
          <w:bCs/>
        </w:rPr>
      </w:pPr>
      <w:r w:rsidRPr="0056630C">
        <w:rPr>
          <w:rFonts w:cstheme="minorHAnsi"/>
          <w:bCs/>
        </w:rPr>
        <w:t>Table 2. Multivariable linear regression models for associations of endogenous thyroid-related hormones with change in blood pressure measures among Hispanic/Latino men and postmenopausal women</w:t>
      </w:r>
    </w:p>
    <w:p w14:paraId="12F7D444" w14:textId="30F61A16" w:rsidR="0056630C" w:rsidRDefault="00E43177" w:rsidP="00334845">
      <w:pPr>
        <w:spacing w:before="60" w:after="60" w:line="360" w:lineRule="auto"/>
        <w:rPr>
          <w:rFonts w:cstheme="minorHAnsi"/>
          <w:bCs/>
        </w:rPr>
      </w:pPr>
      <w:r w:rsidRPr="00E43177">
        <w:rPr>
          <w:rFonts w:cstheme="minorHAnsi"/>
          <w:bCs/>
        </w:rPr>
        <w:t>Table 3. Multivariable Poisson regression models for prospective associations of endogenous thyroid-related hormones with incident prehypertension and hypertension among postmenopausal Hispanic/Latino women; N=314</w:t>
      </w:r>
    </w:p>
    <w:p w14:paraId="3DA09476" w14:textId="3AC8EE86" w:rsidR="00E43177" w:rsidRDefault="00D31568" w:rsidP="00334845">
      <w:pPr>
        <w:spacing w:before="60" w:after="60" w:line="360" w:lineRule="auto"/>
        <w:rPr>
          <w:rFonts w:cstheme="minorHAnsi"/>
          <w:bCs/>
        </w:rPr>
      </w:pPr>
      <w:r w:rsidRPr="00D31568">
        <w:rPr>
          <w:rFonts w:cstheme="minorHAnsi"/>
          <w:bCs/>
        </w:rPr>
        <w:t>Table 4. Multivariable Poisson regression models for prospective associations of endogenous thyroid-related hormones with incident prehypertension and hypertension among Hispanic/Latino men; N=484</w:t>
      </w:r>
    </w:p>
    <w:p w14:paraId="55C13061" w14:textId="1315E088" w:rsidR="00AD52E9" w:rsidRDefault="00AD52E9" w:rsidP="00334845">
      <w:pPr>
        <w:spacing w:before="60" w:after="60" w:line="360" w:lineRule="auto"/>
        <w:rPr>
          <w:rFonts w:cstheme="minorHAnsi"/>
          <w:bCs/>
        </w:rPr>
      </w:pPr>
      <w:r>
        <w:rPr>
          <w:rFonts w:cstheme="minorHAnsi"/>
          <w:bCs/>
        </w:rPr>
        <w:t>Figure legends</w:t>
      </w:r>
    </w:p>
    <w:p w14:paraId="50FC0047" w14:textId="7BD0F923" w:rsidR="00AD52E9" w:rsidRPr="00315B1E" w:rsidRDefault="00AD52E9" w:rsidP="00334845">
      <w:pPr>
        <w:spacing w:before="60" w:after="60" w:line="360" w:lineRule="auto"/>
        <w:rPr>
          <w:rFonts w:cstheme="minorHAnsi"/>
          <w:bCs/>
        </w:rPr>
      </w:pPr>
      <w:r>
        <w:rPr>
          <w:rFonts w:cstheme="minorHAnsi"/>
          <w:bCs/>
        </w:rPr>
        <w:t xml:space="preserve">Figure 1. </w:t>
      </w:r>
      <w:r w:rsidR="00522724" w:rsidRPr="00522724">
        <w:rPr>
          <w:rFonts w:cstheme="minorHAnsi"/>
          <w:bCs/>
        </w:rPr>
        <w:t>Significant non-linear associations of endogenous thyroid-related hormones in quartiles with change in blood pressure, incident prehypertension and hypertension among Hispanic/Latino men and postmenopausal women</w:t>
      </w:r>
    </w:p>
    <w:p w14:paraId="531879E3" w14:textId="728F9314" w:rsidR="002278F5" w:rsidRPr="00AF0457" w:rsidRDefault="000F1508" w:rsidP="00334845">
      <w:pPr>
        <w:spacing w:after="40" w:line="360" w:lineRule="auto"/>
        <w:rPr>
          <w:rFonts w:cstheme="minorHAnsi"/>
          <w:bCs/>
        </w:rPr>
      </w:pPr>
      <w:r w:rsidRPr="00AF0457">
        <w:rPr>
          <w:rFonts w:cstheme="minorHAnsi"/>
          <w:bCs/>
        </w:rPr>
        <w:br w:type="page"/>
      </w:r>
      <w:r w:rsidR="000207A5" w:rsidRPr="00AF0457">
        <w:rPr>
          <w:rFonts w:cstheme="minorHAnsi"/>
          <w:b/>
          <w:bCs/>
        </w:rPr>
        <w:lastRenderedPageBreak/>
        <w:t>References</w:t>
      </w:r>
    </w:p>
    <w:sectPr w:rsidR="002278F5" w:rsidRPr="00AF0457" w:rsidSect="00BD5705">
      <w:headerReference w:type="default" r:id="rId10"/>
      <w:footerReference w:type="default" r:id="rId11"/>
      <w:endnotePr>
        <w:numFmt w:val="decimal"/>
      </w:endnotePr>
      <w:pgSz w:w="12240" w:h="15840"/>
      <w:pgMar w:top="1440" w:right="1080" w:bottom="1440" w:left="108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8F32AA" w14:textId="77777777" w:rsidR="00BD5705" w:rsidRDefault="00BD5705" w:rsidP="000207A5">
      <w:pPr>
        <w:spacing w:after="0" w:line="240" w:lineRule="auto"/>
      </w:pPr>
      <w:r>
        <w:separator/>
      </w:r>
    </w:p>
  </w:endnote>
  <w:endnote w:type="continuationSeparator" w:id="0">
    <w:p w14:paraId="5EBB8455" w14:textId="77777777" w:rsidR="00BD5705" w:rsidRDefault="00BD5705" w:rsidP="000207A5">
      <w:pPr>
        <w:spacing w:after="0" w:line="240" w:lineRule="auto"/>
      </w:pPr>
      <w:r>
        <w:continuationSeparator/>
      </w:r>
    </w:p>
  </w:endnote>
  <w:endnote w:type="continuationNotice" w:id="1">
    <w:p w14:paraId="1023E6F7" w14:textId="77777777" w:rsidR="00BD5705" w:rsidRDefault="00BD5705">
      <w:pPr>
        <w:spacing w:after="0" w:line="240" w:lineRule="auto"/>
      </w:pPr>
    </w:p>
  </w:endnote>
  <w:endnote w:id="2">
    <w:p w14:paraId="71A6552C" w14:textId="77777777" w:rsidR="0031593F" w:rsidRPr="006D3C41" w:rsidRDefault="0031593F" w:rsidP="00D04F56">
      <w:pPr>
        <w:spacing w:after="0" w:line="240" w:lineRule="auto"/>
        <w:rPr>
          <w:rFonts w:cstheme="minorHAnsi"/>
          <w:bCs/>
        </w:rPr>
      </w:pPr>
      <w:r w:rsidRPr="006D3C41">
        <w:rPr>
          <w:rStyle w:val="EndnoteReference"/>
          <w:rFonts w:cstheme="minorHAnsi"/>
        </w:rPr>
        <w:endnoteRef/>
      </w:r>
      <w:r w:rsidRPr="006D3C41">
        <w:rPr>
          <w:rFonts w:cstheme="minorHAnsi"/>
        </w:rPr>
        <w:t xml:space="preserve"> </w:t>
      </w:r>
      <w:r w:rsidRPr="006D3C41">
        <w:rPr>
          <w:rFonts w:cstheme="minorHAnsi"/>
          <w:bCs/>
        </w:rPr>
        <w:t>Schiffrin EL. Remodeling of resistance arteries in essential hypertension and effects of antihypertensive treatment. Am J Hypertens. 2004;17(12 Pt 1):1192-1200. doi:10.1016/j.amjhyper.2004.05.023.</w:t>
      </w:r>
    </w:p>
  </w:endnote>
  <w:endnote w:id="3">
    <w:p w14:paraId="151E5AFE" w14:textId="77777777" w:rsidR="0031593F" w:rsidRPr="006D3C41" w:rsidRDefault="0031593F" w:rsidP="00D04F56">
      <w:pPr>
        <w:spacing w:after="0" w:line="240" w:lineRule="auto"/>
        <w:rPr>
          <w:rFonts w:cstheme="minorHAnsi"/>
          <w:bCs/>
        </w:rPr>
      </w:pPr>
      <w:r w:rsidRPr="006D3C41">
        <w:rPr>
          <w:rStyle w:val="EndnoteReference"/>
          <w:rFonts w:cstheme="minorHAnsi"/>
        </w:rPr>
        <w:endnoteRef/>
      </w:r>
      <w:r w:rsidRPr="006D3C41">
        <w:rPr>
          <w:rFonts w:cstheme="minorHAnsi"/>
        </w:rPr>
        <w:t xml:space="preserve"> </w:t>
      </w:r>
      <w:r w:rsidRPr="006D3C41">
        <w:rPr>
          <w:rFonts w:cstheme="minorHAnsi"/>
          <w:bCs/>
        </w:rPr>
        <w:t>McEniery CM, Yasmin, Wallace S, et al. Increased stroke volume and aortic stiffness contribute to isolated systolic hypertension in young adults. Hypertension. 2005;46(1):221-226. doi:10.1161/01.HYP.0000165310.84801.e0</w:t>
      </w:r>
    </w:p>
  </w:endnote>
  <w:endnote w:id="4">
    <w:p w14:paraId="4504ADD7" w14:textId="30361134" w:rsidR="00B73F36" w:rsidRPr="006D3C41" w:rsidRDefault="00B73F36" w:rsidP="000632D7">
      <w:pPr>
        <w:pStyle w:val="EndnoteText"/>
        <w:rPr>
          <w:rFonts w:cstheme="minorHAnsi"/>
          <w:szCs w:val="22"/>
        </w:rPr>
      </w:pPr>
      <w:r w:rsidRPr="006D3C41">
        <w:rPr>
          <w:rStyle w:val="EndnoteReference"/>
          <w:rFonts w:cstheme="minorHAnsi"/>
          <w:szCs w:val="22"/>
        </w:rPr>
        <w:endnoteRef/>
      </w:r>
      <w:r w:rsidRPr="006D3C41">
        <w:rPr>
          <w:rFonts w:cstheme="minorHAnsi"/>
          <w:szCs w:val="22"/>
        </w:rPr>
        <w:t xml:space="preserve"> Ademolu A. Correlation between hyperlipidemia and hypertension, mean arterial pressure, pulse pressure among Africans. Endocrinol Metab Int J. 2017;5(6):330-334. DOI: 10.15406/emij.2017.05.00140</w:t>
      </w:r>
    </w:p>
  </w:endnote>
  <w:endnote w:id="5">
    <w:p w14:paraId="6D30B26A" w14:textId="3C419C4F" w:rsidR="00857777" w:rsidRPr="006D3C41" w:rsidRDefault="00857777" w:rsidP="000632D7">
      <w:pPr>
        <w:pStyle w:val="EndnoteText"/>
        <w:rPr>
          <w:rFonts w:cstheme="minorHAnsi"/>
          <w:szCs w:val="22"/>
        </w:rPr>
      </w:pPr>
      <w:r w:rsidRPr="006D3C41">
        <w:rPr>
          <w:rStyle w:val="EndnoteReference"/>
          <w:rFonts w:cstheme="minorHAnsi"/>
          <w:szCs w:val="22"/>
        </w:rPr>
        <w:endnoteRef/>
      </w:r>
      <w:r w:rsidRPr="006D3C41">
        <w:rPr>
          <w:rFonts w:cstheme="minorHAnsi"/>
          <w:szCs w:val="22"/>
        </w:rPr>
        <w:t xml:space="preserve"> Ademolu A. Thyrotoxic Cardiomyopathy: A Study of Three Cases. Gerontology &amp; Geriatrics Studies.</w:t>
      </w:r>
      <w:r w:rsidR="009C1F9B" w:rsidRPr="006D3C41">
        <w:rPr>
          <w:rFonts w:cstheme="minorHAnsi"/>
          <w:szCs w:val="22"/>
        </w:rPr>
        <w:t xml:space="preserve"> 2017</w:t>
      </w:r>
      <w:r w:rsidR="00CB6160" w:rsidRPr="006D3C41">
        <w:rPr>
          <w:rFonts w:cstheme="minorHAnsi"/>
          <w:szCs w:val="22"/>
        </w:rPr>
        <w:t>;</w:t>
      </w:r>
      <w:r w:rsidRPr="006D3C41">
        <w:rPr>
          <w:rFonts w:cstheme="minorHAnsi"/>
          <w:szCs w:val="22"/>
        </w:rPr>
        <w:t>1. 10.31031/GGS.2017.01.000512.</w:t>
      </w:r>
    </w:p>
  </w:endnote>
  <w:endnote w:id="6">
    <w:p w14:paraId="2DC4FA69" w14:textId="77777777" w:rsidR="004C0B26" w:rsidRPr="006D3C41" w:rsidRDefault="004C0B26" w:rsidP="00D04F56">
      <w:pPr>
        <w:pStyle w:val="EndnoteText"/>
        <w:jc w:val="left"/>
        <w:rPr>
          <w:rFonts w:cstheme="minorHAnsi"/>
          <w:szCs w:val="22"/>
        </w:rPr>
      </w:pPr>
      <w:r w:rsidRPr="006D3C41">
        <w:rPr>
          <w:rStyle w:val="EndnoteReference"/>
          <w:rFonts w:cstheme="minorHAnsi"/>
          <w:szCs w:val="22"/>
        </w:rPr>
        <w:endnoteRef/>
      </w:r>
      <w:r w:rsidRPr="006D3C41">
        <w:rPr>
          <w:rFonts w:cstheme="minorHAnsi"/>
          <w:szCs w:val="22"/>
        </w:rPr>
        <w:t xml:space="preserve"> </w:t>
      </w:r>
      <w:r w:rsidRPr="006D3C41">
        <w:rPr>
          <w:rFonts w:cstheme="minorHAnsi"/>
          <w:color w:val="212121"/>
          <w:szCs w:val="22"/>
          <w:shd w:val="clear" w:color="auto" w:fill="FFFFFF"/>
        </w:rPr>
        <w:t>Elfassy T, Zeki Al Hazzouri A, Cai J, Baldoni PL, Llabre MM, Rundek T, Raij L, Lash JP, Talavera GA, Wassertheil-Smoller S, Daviglus M, Booth JN 3rd, Castaneda SF, Garcia M, Schneiderman N. Incidence of Hypertension Among US Hispanics/Latinos: The Hispanic Community Health Study/Study of Latinos, 2008 to 2017. J Am Heart Assoc. 2020 Jun 16;9(12):e015031. doi: 10.1161/JAHA.119.015031. Epub 2020 Jun 1. PMID: 32476602; PMCID: PMC7429033.</w:t>
      </w:r>
    </w:p>
  </w:endnote>
  <w:endnote w:id="7">
    <w:p w14:paraId="78C74F67" w14:textId="77777777" w:rsidR="004C0B26" w:rsidRPr="006D3C41" w:rsidRDefault="004C0B26" w:rsidP="00D04F56">
      <w:pPr>
        <w:pStyle w:val="EndnoteText"/>
        <w:jc w:val="left"/>
        <w:rPr>
          <w:rFonts w:cstheme="minorHAnsi"/>
          <w:szCs w:val="22"/>
        </w:rPr>
      </w:pPr>
      <w:r w:rsidRPr="006D3C41">
        <w:rPr>
          <w:rStyle w:val="EndnoteReference"/>
          <w:rFonts w:cstheme="minorHAnsi"/>
          <w:szCs w:val="22"/>
        </w:rPr>
        <w:endnoteRef/>
      </w:r>
      <w:r w:rsidRPr="006D3C41">
        <w:rPr>
          <w:rFonts w:cstheme="minorHAnsi"/>
          <w:szCs w:val="22"/>
        </w:rPr>
        <w:t xml:space="preserve"> </w:t>
      </w:r>
      <w:r w:rsidRPr="006D3C41">
        <w:rPr>
          <w:rFonts w:cstheme="minorHAnsi"/>
          <w:color w:val="212121"/>
          <w:szCs w:val="22"/>
          <w:shd w:val="clear" w:color="auto" w:fill="FFFFFF"/>
        </w:rPr>
        <w:t>Sorlie PD, Allison MA, Avilés-Santa ML, Cai J, Daviglus ML, Howard AG, Kaplan R, Lavange LM, Raij L, Schneiderman N, Wassertheil-Smoller S, Talavera GA. Prevalence of hypertension, awareness, treatment, and control in the Hispanic Community Health Study/Study of Latinos. Am J Hypertens. 2014 Jun;27(6):793-800. doi: 10.1093/ajh/hpu003. Epub 2014 Mar 12. PMID: 24627442; PMCID: PMC4017932.</w:t>
      </w:r>
    </w:p>
  </w:endnote>
  <w:endnote w:id="8">
    <w:p w14:paraId="2D0099DF" w14:textId="77777777" w:rsidR="00312CA7" w:rsidRPr="006D3C41" w:rsidRDefault="00312CA7" w:rsidP="00D04F56">
      <w:pPr>
        <w:pStyle w:val="EndnoteText"/>
        <w:jc w:val="left"/>
        <w:rPr>
          <w:rFonts w:cstheme="minorHAnsi"/>
          <w:szCs w:val="22"/>
        </w:rPr>
      </w:pPr>
      <w:r w:rsidRPr="006D3C41">
        <w:rPr>
          <w:rStyle w:val="EndnoteReference"/>
          <w:rFonts w:cstheme="minorHAnsi"/>
          <w:szCs w:val="22"/>
        </w:rPr>
        <w:endnoteRef/>
      </w:r>
      <w:r w:rsidRPr="006D3C41">
        <w:rPr>
          <w:rFonts w:cstheme="minorHAnsi"/>
          <w:szCs w:val="22"/>
        </w:rPr>
        <w:t xml:space="preserve"> Rana J, Oldroyd J, Islam MM, Tarazona-Meza CE, Islam RM. Prevalence of hypertension and controlled hypertension among United States adults: Evidence from NHANES 2017-18 survey. Int J Cardiol Hypertens. 2020;7:100061. Published 2020 Oct 26. doi:10.1016/j.ijchy.2020.100061</w:t>
      </w:r>
    </w:p>
  </w:endnote>
  <w:endnote w:id="9">
    <w:p w14:paraId="0B1BD476" w14:textId="77777777" w:rsidR="00312CA7" w:rsidRPr="006D3C41" w:rsidRDefault="00312CA7" w:rsidP="00D04F56">
      <w:pPr>
        <w:pStyle w:val="EndnoteText"/>
        <w:jc w:val="left"/>
        <w:rPr>
          <w:rFonts w:cstheme="minorHAnsi"/>
          <w:szCs w:val="22"/>
        </w:rPr>
      </w:pPr>
      <w:r w:rsidRPr="006D3C41">
        <w:rPr>
          <w:rStyle w:val="EndnoteCharacters"/>
          <w:rFonts w:cstheme="minorHAnsi"/>
          <w:szCs w:val="22"/>
        </w:rPr>
        <w:endnoteRef/>
      </w:r>
      <w:r w:rsidRPr="006D3C41">
        <w:rPr>
          <w:rFonts w:cstheme="minorHAnsi"/>
          <w:szCs w:val="22"/>
        </w:rPr>
        <w:t xml:space="preserve"> Chobanian AV, Bakris GL, Black HR, Cushman WC, Green WC, Izzo JL, Jones DW, Materson BJ, Oparil S, Wright JT Jr, et al. Seventh report of the Joint National Committee on prevention, detection, evaluation, and treatment of high blood pressure. Hypertension. 2003;42:1206–1252.</w:t>
      </w:r>
    </w:p>
  </w:endnote>
  <w:endnote w:id="10">
    <w:p w14:paraId="45B25B2E" w14:textId="77777777" w:rsidR="00312CA7" w:rsidRPr="006D3C41" w:rsidRDefault="00312CA7" w:rsidP="00D04F56">
      <w:pPr>
        <w:spacing w:after="0" w:line="240" w:lineRule="auto"/>
        <w:rPr>
          <w:rFonts w:cstheme="minorHAnsi"/>
          <w:bCs/>
        </w:rPr>
      </w:pPr>
      <w:r w:rsidRPr="006D3C41">
        <w:rPr>
          <w:rStyle w:val="EndnoteCharacters"/>
          <w:rFonts w:cstheme="minorHAnsi"/>
        </w:rPr>
        <w:endnoteRef/>
      </w:r>
      <w:r w:rsidRPr="006D3C41">
        <w:rPr>
          <w:rFonts w:cstheme="minorHAnsi"/>
        </w:rPr>
        <w:t xml:space="preserve"> </w:t>
      </w:r>
      <w:r w:rsidRPr="006D3C41">
        <w:rPr>
          <w:rFonts w:cstheme="minorHAnsi"/>
          <w:bCs/>
        </w:rPr>
        <w:t>Whelton Paul K, Carey Robert M, Aronow Wilbert S, Casey Donald E, Collins Karen J, Dennison Himmelfarb C, et al. ACC/AHA/AAPA/ABC/ACPM/AGS/APhA/ASH/ASPC/NMA/PCNA guideline for the prevention, detection, evaluation, and management of high blood pressure in adults: a report of the American College of Cardiology/American Heart Association Task Force on Clinical Practice Guidelines. Hypertension (Dallas, Tex : 1979). 2017;71(6):e13–e115 2018.</w:t>
      </w:r>
    </w:p>
  </w:endnote>
  <w:endnote w:id="11">
    <w:p w14:paraId="76233256" w14:textId="62961704" w:rsidR="00EA7984" w:rsidRPr="006D3C41" w:rsidRDefault="00EA7984" w:rsidP="00ED3148">
      <w:pPr>
        <w:spacing w:after="0" w:line="240" w:lineRule="auto"/>
        <w:rPr>
          <w:rFonts w:cstheme="minorHAnsi"/>
        </w:rPr>
      </w:pPr>
      <w:r w:rsidRPr="006D3C41">
        <w:rPr>
          <w:rStyle w:val="EndnoteReference"/>
          <w:rFonts w:cstheme="minorHAnsi"/>
        </w:rPr>
        <w:endnoteRef/>
      </w:r>
      <w:r w:rsidRPr="006D3C41">
        <w:rPr>
          <w:rFonts w:cstheme="minorHAnsi"/>
        </w:rPr>
        <w:t xml:space="preserve"> Baksi, S., Pradhan, A. Thyroid hormone: sex-dependent role in nervous system regulation and disease. Biol Sex Differ</w:t>
      </w:r>
      <w:r w:rsidR="00B20FC9" w:rsidRPr="006D3C41">
        <w:rPr>
          <w:rFonts w:cstheme="minorHAnsi"/>
        </w:rPr>
        <w:t>. 2021;</w:t>
      </w:r>
      <w:r w:rsidRPr="006D3C41">
        <w:rPr>
          <w:rFonts w:cstheme="minorHAnsi"/>
        </w:rPr>
        <w:t>12, 25.</w:t>
      </w:r>
    </w:p>
  </w:endnote>
  <w:endnote w:id="12">
    <w:p w14:paraId="1923DABA" w14:textId="5BCDDEC7" w:rsidR="00D26C6C" w:rsidRPr="006D3C41" w:rsidRDefault="00D26C6C" w:rsidP="00ED3148">
      <w:pPr>
        <w:spacing w:after="0" w:line="240" w:lineRule="auto"/>
        <w:rPr>
          <w:rFonts w:cstheme="minorHAnsi"/>
        </w:rPr>
      </w:pPr>
      <w:r w:rsidRPr="006D3C41">
        <w:rPr>
          <w:rStyle w:val="EndnoteReference"/>
          <w:rFonts w:cstheme="minorHAnsi"/>
        </w:rPr>
        <w:endnoteRef/>
      </w:r>
      <w:r w:rsidRPr="006D3C41">
        <w:rPr>
          <w:rFonts w:cstheme="minorHAnsi"/>
        </w:rPr>
        <w:t xml:space="preserve"> Suzuki, S., Nishio, Si., Takeda, T. et al. Gender-specific regulation of response to thyroid hormone in aging. Thyroid Res</w:t>
      </w:r>
      <w:r w:rsidR="00B20FC9" w:rsidRPr="006D3C41">
        <w:rPr>
          <w:rFonts w:cstheme="minorHAnsi"/>
        </w:rPr>
        <w:t>. 2012;</w:t>
      </w:r>
      <w:r w:rsidRPr="006D3C41">
        <w:rPr>
          <w:rFonts w:cstheme="minorHAnsi"/>
        </w:rPr>
        <w:t xml:space="preserve">5, 1. </w:t>
      </w:r>
    </w:p>
  </w:endnote>
  <w:endnote w:id="13">
    <w:p w14:paraId="64603493" w14:textId="370E766B" w:rsidR="00CE05AA" w:rsidRPr="006D3C41" w:rsidRDefault="00CE05AA" w:rsidP="00ED3148">
      <w:pPr>
        <w:pStyle w:val="EndnoteText"/>
        <w:jc w:val="left"/>
        <w:rPr>
          <w:rFonts w:cstheme="minorHAnsi"/>
          <w:szCs w:val="22"/>
        </w:rPr>
      </w:pPr>
      <w:r w:rsidRPr="006D3C41">
        <w:rPr>
          <w:rStyle w:val="EndnoteReference"/>
          <w:rFonts w:cstheme="minorHAnsi"/>
          <w:szCs w:val="22"/>
        </w:rPr>
        <w:endnoteRef/>
      </w:r>
      <w:r w:rsidRPr="006D3C41">
        <w:rPr>
          <w:rFonts w:cstheme="minorHAnsi"/>
          <w:szCs w:val="22"/>
        </w:rPr>
        <w:t xml:space="preserve"> </w:t>
      </w:r>
      <w:r w:rsidRPr="006D3C41">
        <w:rPr>
          <w:rFonts w:cstheme="minorHAnsi"/>
          <w:color w:val="212121"/>
          <w:szCs w:val="22"/>
          <w:shd w:val="clear" w:color="auto" w:fill="FFFFFF"/>
        </w:rPr>
        <w:t>Gerdts E, Regitz-Zagrosek V. Sex differences in cardiometabolic disorders. Nat Med. 2019 Nov;25(11):1657-1666. doi: 10.1038/s41591-019-0643-8. Epub 2019 Nov 7. PMID: 31700185.</w:t>
      </w:r>
    </w:p>
  </w:endnote>
  <w:endnote w:id="14">
    <w:p w14:paraId="0004CCB4" w14:textId="5B451DB7" w:rsidR="00A25EB1" w:rsidRPr="006D3C41" w:rsidRDefault="00A25EB1" w:rsidP="00D04F56">
      <w:pPr>
        <w:pStyle w:val="EndnoteText"/>
        <w:jc w:val="left"/>
        <w:rPr>
          <w:rFonts w:cstheme="minorHAnsi"/>
          <w:szCs w:val="22"/>
        </w:rPr>
      </w:pPr>
      <w:r w:rsidRPr="006D3C41">
        <w:rPr>
          <w:rStyle w:val="EndnoteReference"/>
          <w:rFonts w:cstheme="minorHAnsi"/>
          <w:szCs w:val="22"/>
        </w:rPr>
        <w:endnoteRef/>
      </w:r>
      <w:r w:rsidRPr="006D3C41">
        <w:rPr>
          <w:rFonts w:cstheme="minorHAnsi"/>
          <w:szCs w:val="22"/>
        </w:rPr>
        <w:t xml:space="preserve"> </w:t>
      </w:r>
      <w:r w:rsidRPr="006D3C41">
        <w:rPr>
          <w:rFonts w:cstheme="minorHAnsi"/>
          <w:color w:val="212121"/>
          <w:szCs w:val="22"/>
          <w:shd w:val="clear" w:color="auto" w:fill="FFFFFF"/>
        </w:rPr>
        <w:t>Gerdts E, de Simone G. Hypertension in Women: Should There be a Sex-specific Threshold? Eur Cardiol. 2021 Oct 18;16:e38. doi: 10.15420/ecr.2021.17. PMID: 34733358; PMCID: PMC8548871.</w:t>
      </w:r>
    </w:p>
  </w:endnote>
  <w:endnote w:id="15">
    <w:p w14:paraId="06243AD5" w14:textId="45F38CA6" w:rsidR="003527FF" w:rsidRPr="006D3C41" w:rsidRDefault="003527FF" w:rsidP="00D04F56">
      <w:pPr>
        <w:pStyle w:val="EndnoteText"/>
        <w:jc w:val="left"/>
        <w:rPr>
          <w:rFonts w:cstheme="minorHAnsi"/>
          <w:szCs w:val="22"/>
        </w:rPr>
      </w:pPr>
      <w:r w:rsidRPr="006D3C41">
        <w:rPr>
          <w:rStyle w:val="EndnoteReference"/>
          <w:rFonts w:cstheme="minorHAnsi"/>
          <w:szCs w:val="22"/>
        </w:rPr>
        <w:endnoteRef/>
      </w:r>
      <w:r w:rsidRPr="006D3C41">
        <w:rPr>
          <w:rFonts w:cstheme="minorHAnsi"/>
          <w:szCs w:val="22"/>
        </w:rPr>
        <w:t xml:space="preserve"> </w:t>
      </w:r>
      <w:r w:rsidRPr="006D3C41">
        <w:rPr>
          <w:rFonts w:cstheme="minorHAnsi"/>
          <w:color w:val="212121"/>
          <w:szCs w:val="22"/>
          <w:shd w:val="clear" w:color="auto" w:fill="FFFFFF"/>
        </w:rPr>
        <w:t>Bruno RM, Varbiro S, Pucci G, Nemcsik J, Lønnebakken MT, Kublickiene K, Schluchter H, Park C, Mozos I, Guala A, Hametner B, Seeland U, Boutouyrie P; Sex and Gender VascAgeNet Expert Group. Vascular function in hypertension: does gender dimension matter? J Hum Hypertens. 2023 Aug;37(8):634-643. doi: 10.1038/s41371-023-00826-w. Epub 2023 Apr 15. PMID: 37061653.</w:t>
      </w:r>
    </w:p>
  </w:endnote>
  <w:endnote w:id="16">
    <w:p w14:paraId="2D309B46" w14:textId="76D455CE" w:rsidR="00C17668" w:rsidRPr="006D3C41" w:rsidRDefault="00C17668" w:rsidP="00D04F56">
      <w:pPr>
        <w:spacing w:after="0" w:line="240" w:lineRule="auto"/>
        <w:rPr>
          <w:rFonts w:cstheme="minorHAnsi"/>
        </w:rPr>
      </w:pPr>
      <w:r w:rsidRPr="006D3C41">
        <w:rPr>
          <w:rStyle w:val="EndnoteReference"/>
          <w:rFonts w:cstheme="minorHAnsi"/>
        </w:rPr>
        <w:endnoteRef/>
      </w:r>
      <w:r w:rsidRPr="006D3C41">
        <w:rPr>
          <w:rFonts w:cstheme="minorHAnsi"/>
        </w:rPr>
        <w:t xml:space="preserve"> Coylewright M, Reckelhoff JF, Ouyang P. Menopause and hypertension: an age-old debate. Hypertension. 2008 Apr;51(4):952-9. doi: 10.1161/HYPERTENSIONAHA.107.105742. Epub 2008 Feb 7. PMID: 18259027.</w:t>
      </w:r>
    </w:p>
  </w:endnote>
  <w:endnote w:id="17">
    <w:p w14:paraId="2C00C826" w14:textId="3392E9B4" w:rsidR="0066186D" w:rsidRPr="006D3C41" w:rsidRDefault="0066186D" w:rsidP="00D04F56">
      <w:pPr>
        <w:spacing w:after="0" w:line="240" w:lineRule="auto"/>
        <w:rPr>
          <w:rFonts w:cstheme="minorHAnsi"/>
          <w:bCs/>
        </w:rPr>
      </w:pPr>
      <w:r w:rsidRPr="006D3C41">
        <w:rPr>
          <w:rStyle w:val="EndnoteReference"/>
          <w:rFonts w:cstheme="minorHAnsi"/>
        </w:rPr>
        <w:endnoteRef/>
      </w:r>
      <w:r w:rsidRPr="006D3C41">
        <w:rPr>
          <w:rFonts w:cstheme="minorHAnsi"/>
        </w:rPr>
        <w:t xml:space="preserve"> </w:t>
      </w:r>
      <w:r w:rsidRPr="006D3C41">
        <w:rPr>
          <w:rFonts w:cstheme="minorHAnsi"/>
          <w:bCs/>
        </w:rPr>
        <w:t xml:space="preserve">Bakris, George L., and Matthew Sorrentino. Hypertension: a Companion to Braunwald's Heart Disease E-Book, Elsevier, 2017. ProQuest Ebook Central, </w:t>
      </w:r>
      <w:hyperlink r:id="rId1" w:history="1">
        <w:r w:rsidRPr="006D3C41">
          <w:rPr>
            <w:rStyle w:val="Hyperlink"/>
            <w:rFonts w:cstheme="minorHAnsi"/>
            <w:bCs/>
          </w:rPr>
          <w:t>http://ebookcentral.proquest.com/lib/uic/detail.action?docID=4775673</w:t>
        </w:r>
      </w:hyperlink>
      <w:r w:rsidRPr="006D3C41">
        <w:rPr>
          <w:rFonts w:cstheme="minorHAnsi"/>
          <w:bCs/>
        </w:rPr>
        <w:t xml:space="preserve">. </w:t>
      </w:r>
    </w:p>
  </w:endnote>
  <w:endnote w:id="18">
    <w:p w14:paraId="11013409" w14:textId="77777777" w:rsidR="00257137" w:rsidRPr="006D3C41" w:rsidRDefault="00257137" w:rsidP="00D04F56">
      <w:pPr>
        <w:spacing w:after="0" w:line="240" w:lineRule="auto"/>
        <w:rPr>
          <w:rFonts w:cstheme="minorHAnsi"/>
          <w:bCs/>
        </w:rPr>
      </w:pPr>
      <w:r w:rsidRPr="006D3C41">
        <w:rPr>
          <w:rStyle w:val="EndnoteReference"/>
          <w:rFonts w:cstheme="minorHAnsi"/>
        </w:rPr>
        <w:endnoteRef/>
      </w:r>
      <w:r w:rsidRPr="006D3C41">
        <w:rPr>
          <w:rFonts w:cstheme="minorHAnsi"/>
        </w:rPr>
        <w:t xml:space="preserve"> </w:t>
      </w:r>
      <w:r w:rsidRPr="006D3C41">
        <w:rPr>
          <w:rFonts w:cstheme="minorHAnsi"/>
          <w:bCs/>
        </w:rPr>
        <w:t>Zoeller RT, Tan SW, Tyl RW. General background on the hypothalamic-pituitary-thyroid (HPT) axis. Crit Rev Toxicol. 2007;37(1-2):11-53. doi:10.1080/10408440601123446</w:t>
      </w:r>
    </w:p>
  </w:endnote>
  <w:endnote w:id="19">
    <w:p w14:paraId="7635E979" w14:textId="77777777" w:rsidR="00257137" w:rsidRPr="006D3C41" w:rsidRDefault="00257137" w:rsidP="00D04F56">
      <w:pPr>
        <w:spacing w:after="0" w:line="240" w:lineRule="auto"/>
        <w:rPr>
          <w:rFonts w:cstheme="minorHAnsi"/>
          <w:bCs/>
        </w:rPr>
      </w:pPr>
      <w:r w:rsidRPr="006D3C41">
        <w:rPr>
          <w:rStyle w:val="EndnoteReference"/>
          <w:rFonts w:cstheme="minorHAnsi"/>
        </w:rPr>
        <w:endnoteRef/>
      </w:r>
      <w:r w:rsidRPr="006D3C41">
        <w:rPr>
          <w:rFonts w:cstheme="minorHAnsi"/>
        </w:rPr>
        <w:t xml:space="preserve"> </w:t>
      </w:r>
      <w:r w:rsidRPr="006D3C41">
        <w:rPr>
          <w:rFonts w:cstheme="minorHAnsi"/>
          <w:bCs/>
        </w:rPr>
        <w:t>Dagklis T, Ravanos K, Makedou K, Kourtis A, Rousso D. Common features and differences of the hypothalamic-pituitary-gonadal axis in male and female. Gynecol Endocrinol. 2015;31(1):14-17. doi:10.3109/09513590.2014.959917</w:t>
      </w:r>
    </w:p>
  </w:endnote>
  <w:endnote w:id="20">
    <w:p w14:paraId="2BA24AFB" w14:textId="77777777" w:rsidR="004E1E99" w:rsidRPr="006D3C41" w:rsidRDefault="004E1E99" w:rsidP="00ED3148">
      <w:pPr>
        <w:pStyle w:val="EndnoteText"/>
        <w:jc w:val="left"/>
        <w:rPr>
          <w:rFonts w:cstheme="minorHAnsi"/>
          <w:szCs w:val="22"/>
        </w:rPr>
      </w:pPr>
      <w:r w:rsidRPr="006D3C41">
        <w:rPr>
          <w:rStyle w:val="EndnoteReference"/>
          <w:rFonts w:cstheme="minorHAnsi"/>
          <w:szCs w:val="22"/>
        </w:rPr>
        <w:endnoteRef/>
      </w:r>
      <w:r w:rsidRPr="006D3C41">
        <w:rPr>
          <w:rFonts w:cstheme="minorHAnsi"/>
          <w:szCs w:val="22"/>
        </w:rPr>
        <w:t xml:space="preserve"> Liu B, Wang Z, Fu J, Guan H, Lyu Z, Wang W. Sensitivity to Thyroid Hormones and Risk of Prediabetes: A Cross-Sectional Study. Front Endocrinol (Lausanne). 2021;12:657114. doi:10.3389/fendo.2021.657114</w:t>
      </w:r>
    </w:p>
  </w:endnote>
  <w:endnote w:id="21">
    <w:p w14:paraId="0C233D4D" w14:textId="77777777" w:rsidR="004E1E99" w:rsidRPr="006D3C41" w:rsidRDefault="004E1E99" w:rsidP="00ED3148">
      <w:pPr>
        <w:pStyle w:val="EndnoteText"/>
        <w:jc w:val="left"/>
        <w:rPr>
          <w:rFonts w:cstheme="minorHAnsi"/>
          <w:szCs w:val="22"/>
        </w:rPr>
      </w:pPr>
      <w:r w:rsidRPr="006D3C41">
        <w:rPr>
          <w:rStyle w:val="EndnoteReference"/>
          <w:rFonts w:cstheme="minorHAnsi"/>
          <w:szCs w:val="22"/>
        </w:rPr>
        <w:endnoteRef/>
      </w:r>
      <w:r w:rsidRPr="006D3C41">
        <w:rPr>
          <w:rFonts w:cstheme="minorHAnsi"/>
          <w:szCs w:val="22"/>
        </w:rPr>
        <w:t xml:space="preserve"> Laclaustra M, Moreno-Franco B, Lou-Bonafonte JM, et al. Impaired Sensitivity to Thyroid Hormones Is Associated With Diabetes and Metabolic Syndrome. Diabetes Care. 02 2019;42(2):303-310. doi:10.2337/dc18-1410</w:t>
      </w:r>
    </w:p>
  </w:endnote>
  <w:endnote w:id="22">
    <w:p w14:paraId="061DF108" w14:textId="77777777" w:rsidR="000F4069" w:rsidRPr="006D3C41" w:rsidRDefault="000F4069" w:rsidP="00ED3148">
      <w:pPr>
        <w:pStyle w:val="EndnoteText"/>
        <w:jc w:val="left"/>
        <w:rPr>
          <w:rFonts w:cstheme="minorHAnsi"/>
          <w:szCs w:val="22"/>
        </w:rPr>
      </w:pPr>
      <w:r w:rsidRPr="006D3C41">
        <w:rPr>
          <w:rStyle w:val="EndnoteReference"/>
          <w:rFonts w:cstheme="minorHAnsi"/>
          <w:szCs w:val="22"/>
        </w:rPr>
        <w:endnoteRef/>
      </w:r>
      <w:r w:rsidRPr="006D3C41">
        <w:rPr>
          <w:rFonts w:cstheme="minorHAnsi"/>
          <w:szCs w:val="22"/>
        </w:rPr>
        <w:t xml:space="preserve"> Wang S, Mason J, Charney D, Yehuda R, Riney S, Southwick S. Relationships between hormonal profile and novelty seeking in combat-related posttraumatic stress disorder. Biol Psychiatry. 1997;41(2):145-151. doi:10.1016/S0006-3223(95)00648-6</w:t>
      </w:r>
    </w:p>
  </w:endnote>
  <w:endnote w:id="23">
    <w:p w14:paraId="45B4739B" w14:textId="77777777" w:rsidR="000F4069" w:rsidRPr="006D3C41" w:rsidRDefault="000F4069" w:rsidP="00ED3148">
      <w:pPr>
        <w:pStyle w:val="EndnoteText"/>
        <w:jc w:val="left"/>
        <w:rPr>
          <w:rFonts w:cstheme="minorHAnsi"/>
          <w:szCs w:val="22"/>
        </w:rPr>
      </w:pPr>
      <w:r w:rsidRPr="006D3C41">
        <w:rPr>
          <w:rStyle w:val="EndnoteReference"/>
          <w:rFonts w:cstheme="minorHAnsi"/>
          <w:szCs w:val="22"/>
        </w:rPr>
        <w:endnoteRef/>
      </w:r>
      <w:r w:rsidRPr="006D3C41">
        <w:rPr>
          <w:rFonts w:cstheme="minorHAnsi"/>
          <w:szCs w:val="22"/>
        </w:rPr>
        <w:t xml:space="preserve"> Liu, Y., Ma, M., Li, L., Liu, F., Li, Z., Yu, L., Yang, T., Wang, Y., Gao, S., Gao, S., Yang, R., &amp; Yu, C. (2023). Association between sensitivity to thyroid hormones and dyslipidemia in patients with coronary heart disease. Endocrine, 79(3), 459–468. https://doi.org/10.1007/s12020-022-03254-x</w:t>
      </w:r>
    </w:p>
  </w:endnote>
  <w:endnote w:id="24">
    <w:p w14:paraId="36C3E7E3" w14:textId="77777777" w:rsidR="000F4069" w:rsidRPr="006D3C41" w:rsidRDefault="000F4069" w:rsidP="00ED3148">
      <w:pPr>
        <w:pStyle w:val="EndnoteText"/>
        <w:jc w:val="left"/>
        <w:rPr>
          <w:rFonts w:cstheme="minorHAnsi"/>
          <w:szCs w:val="22"/>
        </w:rPr>
      </w:pPr>
      <w:r w:rsidRPr="006D3C41">
        <w:rPr>
          <w:rStyle w:val="EndnoteReference"/>
          <w:rFonts w:cstheme="minorHAnsi"/>
          <w:szCs w:val="22"/>
        </w:rPr>
        <w:endnoteRef/>
      </w:r>
      <w:r w:rsidRPr="006D3C41">
        <w:rPr>
          <w:rFonts w:cstheme="minorHAnsi"/>
          <w:szCs w:val="22"/>
        </w:rPr>
        <w:t xml:space="preserve"> Jostel A, Ryder WD, Shalet SM. The use of thyroid function tests in the diagnosis of hypopituitarism: definition and evaluation of the TSH Index. Clin Endocrinol (Oxf). Oct 2009;71(4):529- 34. doi:10.1111/j.1365-2265.2009.03534.x</w:t>
      </w:r>
    </w:p>
  </w:endnote>
  <w:endnote w:id="25">
    <w:p w14:paraId="4F1DD2BA" w14:textId="4ACD35A8" w:rsidR="00F83C1C" w:rsidRPr="006D3C41" w:rsidRDefault="00F83C1C" w:rsidP="00D04F56">
      <w:pPr>
        <w:pStyle w:val="EndnoteText"/>
        <w:jc w:val="left"/>
        <w:rPr>
          <w:rFonts w:cstheme="minorHAnsi"/>
          <w:szCs w:val="22"/>
        </w:rPr>
      </w:pPr>
      <w:r w:rsidRPr="006D3C41">
        <w:rPr>
          <w:rStyle w:val="EndnoteReference"/>
          <w:rFonts w:cstheme="minorHAnsi"/>
          <w:szCs w:val="22"/>
        </w:rPr>
        <w:endnoteRef/>
      </w:r>
      <w:r w:rsidRPr="006D3C41">
        <w:rPr>
          <w:rFonts w:cstheme="minorHAnsi"/>
          <w:szCs w:val="22"/>
        </w:rPr>
        <w:t xml:space="preserve"> Baksi S, Pradhan A. Thyroid hormone: sex-dependent role in nervous system regulation and disease. Biol Sex Differ. 2021 Mar 8;12(1):25. doi: 10.1186/s13293-021-00367-2. PMID: 33685490; PMCID: PMC7971120.</w:t>
      </w:r>
    </w:p>
  </w:endnote>
  <w:endnote w:id="26">
    <w:p w14:paraId="1E229401" w14:textId="624EBD59" w:rsidR="004F0494" w:rsidRPr="006D3C41" w:rsidRDefault="004F0494" w:rsidP="00D04F56">
      <w:pPr>
        <w:pStyle w:val="EndnoteText"/>
        <w:jc w:val="left"/>
        <w:rPr>
          <w:rFonts w:cstheme="minorHAnsi"/>
          <w:szCs w:val="22"/>
        </w:rPr>
      </w:pPr>
      <w:r w:rsidRPr="006D3C41">
        <w:rPr>
          <w:rStyle w:val="EndnoteReference"/>
          <w:rFonts w:cstheme="minorHAnsi"/>
          <w:szCs w:val="22"/>
        </w:rPr>
        <w:endnoteRef/>
      </w:r>
      <w:r w:rsidRPr="006D3C41">
        <w:rPr>
          <w:rFonts w:cstheme="minorHAnsi"/>
          <w:szCs w:val="22"/>
        </w:rPr>
        <w:t xml:space="preserve"> Bauer M, Glenn T, Pilhatsch M, Pfennig A, Whybrow PC. Gender differences in thyroid system function: relevance to bipolar disorder and its treatment. Bipolar Disord. 2014 Feb;16(1):58-71. doi: 10.1111/bdi.12150. Epub 2013 Nov 19. PMID: 24245529.</w:t>
      </w:r>
    </w:p>
  </w:endnote>
  <w:endnote w:id="27">
    <w:p w14:paraId="52FE62C3" w14:textId="0A095A89" w:rsidR="009334AA" w:rsidRPr="006D3C41" w:rsidRDefault="009334AA" w:rsidP="00D04F56">
      <w:pPr>
        <w:pStyle w:val="EndnoteText"/>
        <w:jc w:val="left"/>
        <w:rPr>
          <w:rFonts w:cstheme="minorHAnsi"/>
          <w:szCs w:val="22"/>
        </w:rPr>
      </w:pPr>
      <w:r w:rsidRPr="006D3C41">
        <w:rPr>
          <w:rStyle w:val="EndnoteReference"/>
          <w:rFonts w:cstheme="minorHAnsi"/>
          <w:szCs w:val="22"/>
        </w:rPr>
        <w:endnoteRef/>
      </w:r>
      <w:r w:rsidRPr="006D3C41">
        <w:rPr>
          <w:rFonts w:cstheme="minorHAnsi"/>
          <w:szCs w:val="22"/>
        </w:rPr>
        <w:t xml:space="preserve"> Yamakawa, H., Kato, T. S., Noh, J. Y., Yuasa, S., Kawamura, A., Fukuda, K., &amp; Aizawa, Y. Thyroid Hormone Plays an Important Role in Cardiac Function: From Bench to Bedside. Frontiers in physiology</w:t>
      </w:r>
      <w:r w:rsidR="00625687" w:rsidRPr="006D3C41">
        <w:rPr>
          <w:rFonts w:cstheme="minorHAnsi"/>
          <w:szCs w:val="22"/>
        </w:rPr>
        <w:t>. 2021;</w:t>
      </w:r>
      <w:r w:rsidRPr="006D3C41">
        <w:rPr>
          <w:rFonts w:cstheme="minorHAnsi"/>
          <w:szCs w:val="22"/>
        </w:rPr>
        <w:t xml:space="preserve"> 12, 606931. </w:t>
      </w:r>
      <w:hyperlink r:id="rId2" w:history="1">
        <w:r w:rsidRPr="006D3C41">
          <w:rPr>
            <w:rStyle w:val="Hyperlink"/>
            <w:rFonts w:cstheme="minorHAnsi"/>
            <w:szCs w:val="22"/>
          </w:rPr>
          <w:t>https://doi.org/10.3389/fphys.2021.606931</w:t>
        </w:r>
      </w:hyperlink>
      <w:r w:rsidRPr="006D3C41">
        <w:rPr>
          <w:rFonts w:cstheme="minorHAnsi"/>
          <w:szCs w:val="22"/>
        </w:rPr>
        <w:t xml:space="preserve"> </w:t>
      </w:r>
    </w:p>
  </w:endnote>
  <w:endnote w:id="28">
    <w:p w14:paraId="11186FB7" w14:textId="6D3449AC" w:rsidR="006C28BE" w:rsidRPr="006D3C41" w:rsidRDefault="006C28BE" w:rsidP="00D04F56">
      <w:pPr>
        <w:spacing w:after="0" w:line="240" w:lineRule="auto"/>
        <w:rPr>
          <w:rFonts w:cstheme="minorHAnsi"/>
          <w:bCs/>
        </w:rPr>
      </w:pPr>
      <w:r w:rsidRPr="006D3C41">
        <w:rPr>
          <w:rStyle w:val="EndnoteReference"/>
          <w:rFonts w:cstheme="minorHAnsi"/>
        </w:rPr>
        <w:endnoteRef/>
      </w:r>
      <w:r w:rsidRPr="006D3C41">
        <w:rPr>
          <w:rFonts w:cstheme="minorHAnsi"/>
        </w:rPr>
        <w:t xml:space="preserve"> </w:t>
      </w:r>
      <w:r w:rsidRPr="006D3C41">
        <w:rPr>
          <w:rFonts w:cstheme="minorHAnsi"/>
          <w:bCs/>
        </w:rPr>
        <w:t>Kotsis V, Alevizaki M, Stabouli S, Pitiriga V, Rizos Z, Sion M, Zakopoulos N. Hypertension, and hypothyroidism: results from an ambulatory blood pressure monitoring study. J Hypertens</w:t>
      </w:r>
      <w:r w:rsidR="00D70409" w:rsidRPr="006D3C41">
        <w:rPr>
          <w:rFonts w:cstheme="minorHAnsi"/>
          <w:bCs/>
        </w:rPr>
        <w:t>.</w:t>
      </w:r>
      <w:r w:rsidRPr="006D3C41">
        <w:rPr>
          <w:rFonts w:cstheme="minorHAnsi"/>
          <w:bCs/>
        </w:rPr>
        <w:t xml:space="preserve"> 2007; 25:993–999.</w:t>
      </w:r>
    </w:p>
  </w:endnote>
  <w:endnote w:id="29">
    <w:p w14:paraId="71828742" w14:textId="789A5430" w:rsidR="006C28BE" w:rsidRPr="006D3C41" w:rsidRDefault="006C28BE" w:rsidP="00D04F56">
      <w:pPr>
        <w:spacing w:after="0" w:line="240" w:lineRule="auto"/>
        <w:rPr>
          <w:rFonts w:cstheme="minorHAnsi"/>
          <w:bCs/>
        </w:rPr>
      </w:pPr>
      <w:r w:rsidRPr="006D3C41">
        <w:rPr>
          <w:rStyle w:val="EndnoteReference"/>
          <w:rFonts w:cstheme="minorHAnsi"/>
        </w:rPr>
        <w:endnoteRef/>
      </w:r>
      <w:r w:rsidRPr="006D3C41">
        <w:rPr>
          <w:rFonts w:cstheme="minorHAnsi"/>
        </w:rPr>
        <w:t xml:space="preserve"> </w:t>
      </w:r>
      <w:r w:rsidRPr="006D3C41">
        <w:rPr>
          <w:rFonts w:cstheme="minorHAnsi"/>
          <w:bCs/>
        </w:rPr>
        <w:t>Prisant LM, Gujral JS, Mulloy AL. Hyperthyroidism: a secondary cause of isolated systolic hypertension. J Clin Hypertens (Greenwich)</w:t>
      </w:r>
      <w:r w:rsidR="001E44A7" w:rsidRPr="006D3C41">
        <w:rPr>
          <w:rFonts w:cstheme="minorHAnsi"/>
          <w:bCs/>
        </w:rPr>
        <w:t>.</w:t>
      </w:r>
      <w:r w:rsidRPr="006D3C41">
        <w:rPr>
          <w:rFonts w:cstheme="minorHAnsi"/>
          <w:bCs/>
        </w:rPr>
        <w:t xml:space="preserve"> 2006; 8:596–599.</w:t>
      </w:r>
    </w:p>
  </w:endnote>
  <w:endnote w:id="30">
    <w:p w14:paraId="45F223D4" w14:textId="77777777" w:rsidR="00D57AB5" w:rsidRPr="006D3C41" w:rsidRDefault="00D57AB5" w:rsidP="00ED3148">
      <w:pPr>
        <w:spacing w:after="0" w:line="240" w:lineRule="auto"/>
        <w:rPr>
          <w:rFonts w:cstheme="minorHAnsi"/>
          <w:bCs/>
        </w:rPr>
      </w:pPr>
      <w:r w:rsidRPr="006D3C41">
        <w:rPr>
          <w:rStyle w:val="EndnoteReference"/>
          <w:rFonts w:cstheme="minorHAnsi"/>
        </w:rPr>
        <w:endnoteRef/>
      </w:r>
      <w:r w:rsidRPr="006D3C41">
        <w:rPr>
          <w:rFonts w:cstheme="minorHAnsi"/>
        </w:rPr>
        <w:t xml:space="preserve"> </w:t>
      </w:r>
      <w:r w:rsidRPr="006D3C41">
        <w:rPr>
          <w:rFonts w:cstheme="minorHAnsi"/>
          <w:bCs/>
        </w:rPr>
        <w:t>He, Weiweia; Li, Shelia, Wang, Binb; Mu, Kaidac; Shao, Xiaoqingb; Yao, Qiumingb; Li, Lingb; Li, Qianb; Zhang, Jin-anc. Dose–response relationship between thyroid stimulating hormone and hypertension risk in euthyroid individuals, Journal of Hypertension: January 2019 - Volume 37 - Issue 1 - p 144-153 doi: 10.1097/HJH.0000000000001826</w:t>
      </w:r>
    </w:p>
  </w:endnote>
  <w:endnote w:id="31">
    <w:p w14:paraId="75554A2A" w14:textId="77777777" w:rsidR="00D57AB5" w:rsidRPr="006D3C41" w:rsidRDefault="00D57AB5" w:rsidP="00ED3148">
      <w:pPr>
        <w:spacing w:after="0" w:line="240" w:lineRule="auto"/>
        <w:rPr>
          <w:rFonts w:cstheme="minorHAnsi"/>
          <w:bCs/>
        </w:rPr>
      </w:pPr>
      <w:r w:rsidRPr="006D3C41">
        <w:rPr>
          <w:rStyle w:val="EndnoteReference"/>
          <w:rFonts w:cstheme="minorHAnsi"/>
        </w:rPr>
        <w:endnoteRef/>
      </w:r>
      <w:r w:rsidRPr="006D3C41">
        <w:rPr>
          <w:rFonts w:cstheme="minorHAnsi"/>
        </w:rPr>
        <w:t xml:space="preserve"> </w:t>
      </w:r>
      <w:r w:rsidRPr="006D3C41">
        <w:rPr>
          <w:rFonts w:cstheme="minorHAnsi"/>
          <w:bCs/>
        </w:rPr>
        <w:t xml:space="preserve">Iqbal A, Figenschau Y, Jorde R. Blood pressure in relation to serum thyrotropin: The Tromsø study. J Hum Hypertens. 2006;20(12):932-936. doi:10.1038/sj.jhh.1002091 </w:t>
      </w:r>
    </w:p>
  </w:endnote>
  <w:endnote w:id="32">
    <w:p w14:paraId="640B1867" w14:textId="77777777" w:rsidR="00D57AB5" w:rsidRPr="006D3C41" w:rsidRDefault="00D57AB5" w:rsidP="00ED3148">
      <w:pPr>
        <w:pStyle w:val="EndnoteText"/>
        <w:jc w:val="left"/>
        <w:rPr>
          <w:rFonts w:cstheme="minorHAnsi"/>
          <w:szCs w:val="22"/>
        </w:rPr>
      </w:pPr>
      <w:r w:rsidRPr="006D3C41">
        <w:rPr>
          <w:rStyle w:val="EndnoteReference"/>
          <w:rFonts w:cstheme="minorHAnsi"/>
          <w:szCs w:val="22"/>
        </w:rPr>
        <w:endnoteRef/>
      </w:r>
      <w:r w:rsidRPr="006D3C41">
        <w:rPr>
          <w:rFonts w:cstheme="minorHAnsi"/>
          <w:szCs w:val="22"/>
        </w:rPr>
        <w:t xml:space="preserve"> Jiang F, Liu A, Lai Y, et al. Change in serum TSH levels within the reference range was associated with variation of future blood pressure: a 5-year follow-up study. J Hum Hypertens. 2017;31(4):244-247. doi:10.1038/jhh.2016.59</w:t>
      </w:r>
    </w:p>
  </w:endnote>
  <w:endnote w:id="33">
    <w:p w14:paraId="18B41E08" w14:textId="77777777" w:rsidR="00D57AB5" w:rsidRPr="006D3C41" w:rsidRDefault="00D57AB5" w:rsidP="00ED3148">
      <w:pPr>
        <w:pStyle w:val="EndnoteText"/>
        <w:jc w:val="left"/>
        <w:rPr>
          <w:rFonts w:cstheme="minorHAnsi"/>
          <w:szCs w:val="22"/>
        </w:rPr>
      </w:pPr>
      <w:r w:rsidRPr="006D3C41">
        <w:rPr>
          <w:rStyle w:val="EndnoteReference"/>
          <w:rFonts w:cstheme="minorHAnsi"/>
          <w:szCs w:val="22"/>
        </w:rPr>
        <w:endnoteRef/>
      </w:r>
      <w:r w:rsidRPr="006D3C41">
        <w:rPr>
          <w:rFonts w:cstheme="minorHAnsi"/>
          <w:szCs w:val="22"/>
        </w:rPr>
        <w:t xml:space="preserve"> Ittermann T, Tiller D, Meisinger C, et al. High serum thyrotropin levels are associated with current but not with incident hypertension. Thyroid. 2013;23(8):955-963. doi:10.1089/thy.2012.0626</w:t>
      </w:r>
    </w:p>
  </w:endnote>
  <w:endnote w:id="34">
    <w:p w14:paraId="50F0E0FD" w14:textId="77777777" w:rsidR="00D57AB5" w:rsidRPr="006D3C41" w:rsidRDefault="00D57AB5" w:rsidP="00ED3148">
      <w:pPr>
        <w:spacing w:after="0" w:line="240" w:lineRule="auto"/>
        <w:rPr>
          <w:rFonts w:cstheme="minorHAnsi"/>
          <w:bCs/>
        </w:rPr>
      </w:pPr>
      <w:r w:rsidRPr="006D3C41">
        <w:rPr>
          <w:rStyle w:val="EndnoteReference"/>
          <w:rFonts w:cstheme="minorHAnsi"/>
        </w:rPr>
        <w:endnoteRef/>
      </w:r>
      <w:r w:rsidRPr="006D3C41">
        <w:rPr>
          <w:rFonts w:cstheme="minorHAnsi"/>
        </w:rPr>
        <w:t xml:space="preserve"> </w:t>
      </w:r>
      <w:r w:rsidRPr="006D3C41">
        <w:rPr>
          <w:rFonts w:cstheme="minorHAnsi"/>
          <w:bCs/>
        </w:rPr>
        <w:t xml:space="preserve">Asvold BO, Bjøro T, Nilsen TI, Vatten LJ. Association between blood pressure and serum thyroid-stimulating hormone concentration within the reference range: a population-based study. J Clin Endocrinol Metab. 2007;92(3):841-845. doi:10.1210/jc.2006-2208 </w:t>
      </w:r>
    </w:p>
  </w:endnote>
  <w:endnote w:id="35">
    <w:p w14:paraId="1E531F17" w14:textId="77777777" w:rsidR="009228F6" w:rsidRPr="006D3C41" w:rsidRDefault="009228F6" w:rsidP="00ED3148">
      <w:pPr>
        <w:pStyle w:val="EndnoteText"/>
        <w:jc w:val="left"/>
        <w:rPr>
          <w:rFonts w:cstheme="minorHAnsi"/>
          <w:szCs w:val="22"/>
        </w:rPr>
      </w:pPr>
      <w:r w:rsidRPr="006D3C41">
        <w:rPr>
          <w:rStyle w:val="EndnoteReference"/>
          <w:rFonts w:cstheme="minorHAnsi"/>
          <w:szCs w:val="22"/>
        </w:rPr>
        <w:endnoteRef/>
      </w:r>
      <w:r w:rsidRPr="006D3C41">
        <w:rPr>
          <w:rFonts w:cstheme="minorHAnsi"/>
          <w:szCs w:val="22"/>
        </w:rPr>
        <w:t xml:space="preserve"> Rivas AM, Dennis J, Pena C, Kopel J, Nugent K. Association of Hypertension and Hyperthyroidism in a Subspecialty Clinic and a National Database. South Med J. 2020;113(12):607-611. doi:10.14423/SMJ.0000000000001186</w:t>
      </w:r>
    </w:p>
  </w:endnote>
  <w:endnote w:id="36">
    <w:p w14:paraId="75DC7FC2" w14:textId="77777777" w:rsidR="009228F6" w:rsidRPr="006D3C41" w:rsidRDefault="009228F6" w:rsidP="00ED3148">
      <w:pPr>
        <w:pStyle w:val="EndnoteText"/>
        <w:jc w:val="left"/>
        <w:rPr>
          <w:rFonts w:cstheme="minorHAnsi"/>
          <w:szCs w:val="22"/>
        </w:rPr>
      </w:pPr>
      <w:r w:rsidRPr="006D3C41">
        <w:rPr>
          <w:rStyle w:val="EndnoteReference"/>
          <w:rFonts w:cstheme="minorHAnsi"/>
          <w:szCs w:val="22"/>
        </w:rPr>
        <w:endnoteRef/>
      </w:r>
      <w:r w:rsidRPr="006D3C41">
        <w:rPr>
          <w:rFonts w:cstheme="minorHAnsi"/>
          <w:szCs w:val="22"/>
        </w:rPr>
        <w:t xml:space="preserve"> Wolffenbuttel BHR, Wouters HJCM, Slagter SN, et al. Thyroid function and metabolic syndrome in the population-based LifeLines cohort study. BMC Endocr Disord. 2017;17(1):65. Published 2017 Oct 16. doi:10.1186/s12902-017-0215-1</w:t>
      </w:r>
    </w:p>
  </w:endnote>
  <w:endnote w:id="37">
    <w:p w14:paraId="271E1D7B" w14:textId="77777777" w:rsidR="009228F6" w:rsidRPr="006D3C41" w:rsidRDefault="009228F6" w:rsidP="00ED3148">
      <w:pPr>
        <w:pStyle w:val="EndnoteText"/>
        <w:jc w:val="left"/>
        <w:rPr>
          <w:rFonts w:cstheme="minorHAnsi"/>
          <w:szCs w:val="22"/>
        </w:rPr>
      </w:pPr>
      <w:r w:rsidRPr="006D3C41">
        <w:rPr>
          <w:rStyle w:val="EndnoteReference"/>
          <w:rFonts w:cstheme="minorHAnsi"/>
          <w:szCs w:val="22"/>
        </w:rPr>
        <w:endnoteRef/>
      </w:r>
      <w:r w:rsidRPr="006D3C41">
        <w:rPr>
          <w:rFonts w:cstheme="minorHAnsi"/>
          <w:szCs w:val="22"/>
        </w:rPr>
        <w:t xml:space="preserve"> Roef GL, Rietzschel ER, Van Daele CM, et al. Triiodothyronine and free thyroxine levels are differentially associated with metabolic profile and adiposity-related cardiovascular risk markers in euthyroid middle-aged subjects. Thyroid. 2014;24(2):223-231. doi:10.1089/thy.2013.0314</w:t>
      </w:r>
    </w:p>
  </w:endnote>
  <w:endnote w:id="38">
    <w:p w14:paraId="495DAFA8" w14:textId="77777777" w:rsidR="009228F6" w:rsidRPr="006D3C41" w:rsidRDefault="009228F6" w:rsidP="00ED3148">
      <w:pPr>
        <w:spacing w:after="0" w:line="240" w:lineRule="auto"/>
        <w:rPr>
          <w:rFonts w:cstheme="minorHAnsi"/>
          <w:bCs/>
        </w:rPr>
      </w:pPr>
      <w:r w:rsidRPr="006D3C41">
        <w:rPr>
          <w:rStyle w:val="EndnoteReference"/>
          <w:rFonts w:cstheme="minorHAnsi"/>
        </w:rPr>
        <w:endnoteRef/>
      </w:r>
      <w:r w:rsidRPr="006D3C41">
        <w:rPr>
          <w:rFonts w:cstheme="minorHAnsi"/>
        </w:rPr>
        <w:t xml:space="preserve"> </w:t>
      </w:r>
      <w:r w:rsidRPr="006D3C41">
        <w:rPr>
          <w:rFonts w:cstheme="minorHAnsi"/>
          <w:bCs/>
        </w:rPr>
        <w:t>Gu Y, Zheng L, Zhang Q, et al. Relationship between thyroid function and elevated blood pressure in euthyroid adults. J Clin Hypertens (Greenwich). 2018;20(10):1541-1549. doi:10.1111/jch.13369</w:t>
      </w:r>
    </w:p>
  </w:endnote>
  <w:endnote w:id="39">
    <w:p w14:paraId="2A288DCF" w14:textId="77777777" w:rsidR="009228F6" w:rsidRPr="006D3C41" w:rsidRDefault="009228F6" w:rsidP="00ED3148">
      <w:pPr>
        <w:pStyle w:val="EndnoteText"/>
        <w:jc w:val="left"/>
        <w:rPr>
          <w:rFonts w:cstheme="minorHAnsi"/>
          <w:szCs w:val="22"/>
        </w:rPr>
      </w:pPr>
      <w:r w:rsidRPr="006D3C41">
        <w:rPr>
          <w:rStyle w:val="EndnoteReference"/>
          <w:rFonts w:cstheme="minorHAnsi"/>
          <w:szCs w:val="22"/>
        </w:rPr>
        <w:endnoteRef/>
      </w:r>
      <w:r w:rsidRPr="006D3C41">
        <w:rPr>
          <w:rFonts w:cstheme="minorHAnsi"/>
          <w:szCs w:val="22"/>
        </w:rPr>
        <w:t xml:space="preserve"> Boekholdt SM, Titan SM, Wiersinga WM, et al. Initial thyroid status and cardiovascular risk factors: the EPIC-Norfolk prospective population study. Clin Endocrinol (Oxf). 2010;72(3):404-410. doi:10.1111/j.1365-2265.2009.03640.x</w:t>
      </w:r>
    </w:p>
  </w:endnote>
  <w:endnote w:id="40">
    <w:p w14:paraId="48B2E9EE" w14:textId="77777777" w:rsidR="00952239" w:rsidRPr="006D3C41" w:rsidRDefault="00952239" w:rsidP="00ED3148">
      <w:pPr>
        <w:pStyle w:val="EndnoteText"/>
        <w:jc w:val="left"/>
        <w:rPr>
          <w:rFonts w:cstheme="minorHAnsi"/>
          <w:szCs w:val="22"/>
        </w:rPr>
      </w:pPr>
      <w:r w:rsidRPr="006D3C41">
        <w:rPr>
          <w:rStyle w:val="EndnoteReference"/>
          <w:rFonts w:cstheme="minorHAnsi"/>
          <w:szCs w:val="22"/>
        </w:rPr>
        <w:endnoteRef/>
      </w:r>
      <w:r w:rsidRPr="006D3C41">
        <w:rPr>
          <w:rFonts w:cstheme="minorHAnsi"/>
          <w:szCs w:val="22"/>
        </w:rPr>
        <w:t xml:space="preserve"> Langén VL, Niiranen TJ, Puukka P, Sundvall J, Jula AM. Association between thyroid-stimulating hormone and blood pressure in adults: an 11-year longitudinal study. Clin Endocrinol (Oxf). 2016;84(5):741-747. doi:10.1111/cen.12876</w:t>
      </w:r>
    </w:p>
  </w:endnote>
  <w:endnote w:id="41">
    <w:p w14:paraId="12C51D8A" w14:textId="77777777" w:rsidR="00952239" w:rsidRPr="006D3C41" w:rsidRDefault="00952239" w:rsidP="006D3C41">
      <w:pPr>
        <w:pStyle w:val="EndnoteText"/>
        <w:jc w:val="left"/>
        <w:rPr>
          <w:rFonts w:cstheme="minorHAnsi"/>
          <w:szCs w:val="22"/>
        </w:rPr>
      </w:pPr>
      <w:r w:rsidRPr="006D3C41">
        <w:rPr>
          <w:rStyle w:val="EndnoteReference"/>
          <w:rFonts w:cstheme="minorHAnsi"/>
          <w:szCs w:val="22"/>
        </w:rPr>
        <w:endnoteRef/>
      </w:r>
      <w:r w:rsidRPr="006D3C41">
        <w:rPr>
          <w:rFonts w:cstheme="minorHAnsi"/>
          <w:szCs w:val="22"/>
        </w:rPr>
        <w:t xml:space="preserve"> Lee JJ, Pedley A, Marqusee E, et al. Thyroid function and cardiovascular disease risk factors in euthyroid adults: a cross-sectional and longitudinal study. Clin Endocrinol (Oxf). 2016;85(6):932-941. doi:10.1111/cen.13124</w:t>
      </w:r>
    </w:p>
  </w:endnote>
  <w:endnote w:id="42">
    <w:p w14:paraId="2F0AF4F3" w14:textId="77777777" w:rsidR="00952239" w:rsidRPr="006D3C41" w:rsidRDefault="00952239" w:rsidP="00ED3148">
      <w:pPr>
        <w:spacing w:after="0" w:line="240" w:lineRule="auto"/>
        <w:rPr>
          <w:rFonts w:cstheme="minorHAnsi"/>
          <w:bCs/>
        </w:rPr>
      </w:pPr>
      <w:r w:rsidRPr="006D3C41">
        <w:rPr>
          <w:rStyle w:val="EndnoteReference"/>
          <w:rFonts w:cstheme="minorHAnsi"/>
        </w:rPr>
        <w:endnoteRef/>
      </w:r>
      <w:r w:rsidRPr="006D3C41">
        <w:rPr>
          <w:rFonts w:cstheme="minorHAnsi"/>
        </w:rPr>
        <w:t xml:space="preserve"> </w:t>
      </w:r>
      <w:r w:rsidRPr="006D3C41">
        <w:rPr>
          <w:rFonts w:cstheme="minorHAnsi"/>
          <w:bCs/>
        </w:rPr>
        <w:t xml:space="preserve">Liu D, Jiang F, Shan Z, et al. A cross-sectional survey of relationship between serum TSH level and blood pressure. J Hum Hypertens. 2010;24(2):134-138. doi:10.1038/jhh.2009.44 </w:t>
      </w:r>
    </w:p>
  </w:endnote>
  <w:endnote w:id="43">
    <w:p w14:paraId="5263E27F" w14:textId="77777777" w:rsidR="00952239" w:rsidRPr="006D3C41" w:rsidRDefault="00952239" w:rsidP="00ED3148">
      <w:pPr>
        <w:pStyle w:val="EndnoteText"/>
        <w:jc w:val="left"/>
        <w:rPr>
          <w:rFonts w:cstheme="minorHAnsi"/>
          <w:szCs w:val="22"/>
        </w:rPr>
      </w:pPr>
      <w:r w:rsidRPr="006D3C41">
        <w:rPr>
          <w:rStyle w:val="EndnoteReference"/>
          <w:rFonts w:cstheme="minorHAnsi"/>
          <w:szCs w:val="22"/>
        </w:rPr>
        <w:endnoteRef/>
      </w:r>
      <w:r w:rsidRPr="006D3C41">
        <w:rPr>
          <w:rFonts w:cstheme="minorHAnsi"/>
          <w:szCs w:val="22"/>
        </w:rPr>
        <w:t xml:space="preserve"> </w:t>
      </w:r>
      <w:r w:rsidRPr="006D3C41">
        <w:rPr>
          <w:rFonts w:cstheme="minorHAnsi"/>
          <w:color w:val="212121"/>
          <w:szCs w:val="22"/>
          <w:shd w:val="clear" w:color="auto" w:fill="FFFFFF"/>
        </w:rPr>
        <w:t>Amouzegar A, Heidari M, Gharibzadeh S, Mehran L, Tohidi M, Azizi F. The Association Between Blood Pressure and Normal Range Thyroid Function Tests in a Population Based Tehran Thyroid Study. Horm Metab Res. 2016 Mar;48(3):151-6. doi: 10.1055/s-0035-1564131. Epub 2015 Dec 15. PMID: 26671752.</w:t>
      </w:r>
    </w:p>
  </w:endnote>
  <w:endnote w:id="44">
    <w:p w14:paraId="53DD42DE" w14:textId="77777777" w:rsidR="00B512E5" w:rsidRPr="006D3C41" w:rsidRDefault="00B512E5" w:rsidP="00ED3148">
      <w:pPr>
        <w:spacing w:after="0" w:line="240" w:lineRule="auto"/>
        <w:rPr>
          <w:rFonts w:cstheme="minorHAnsi"/>
          <w:bCs/>
        </w:rPr>
      </w:pPr>
      <w:r w:rsidRPr="006D3C41">
        <w:rPr>
          <w:rStyle w:val="EndnoteReference"/>
          <w:rFonts w:cstheme="minorHAnsi"/>
        </w:rPr>
        <w:endnoteRef/>
      </w:r>
      <w:r w:rsidRPr="006D3C41">
        <w:rPr>
          <w:rFonts w:cstheme="minorHAnsi"/>
        </w:rPr>
        <w:t xml:space="preserve"> </w:t>
      </w:r>
      <w:r w:rsidRPr="006D3C41">
        <w:rPr>
          <w:rFonts w:cstheme="minorHAnsi"/>
          <w:bCs/>
        </w:rPr>
        <w:t>Asvold BO, Bjøro T, Vatten LJ. Associations of TSH levels within the reference range with future blood pressure and lipid concentrations: 11-year follow-up of the HUNT study. Eur J Endocrinol. 2013;169(1):73-82. Published 2013 Jun 7. doi:10.1530/EJE-13-0087</w:t>
      </w:r>
    </w:p>
  </w:endnote>
  <w:endnote w:id="45">
    <w:p w14:paraId="6A5B25AC" w14:textId="77777777" w:rsidR="00B512E5" w:rsidRPr="006D3C41" w:rsidRDefault="00B512E5" w:rsidP="00ED3148">
      <w:pPr>
        <w:pStyle w:val="EndnoteText"/>
        <w:jc w:val="left"/>
        <w:rPr>
          <w:rFonts w:cstheme="minorHAnsi"/>
          <w:szCs w:val="22"/>
        </w:rPr>
      </w:pPr>
      <w:r w:rsidRPr="006D3C41">
        <w:rPr>
          <w:rStyle w:val="EndnoteReference"/>
          <w:rFonts w:cstheme="minorHAnsi"/>
          <w:szCs w:val="22"/>
        </w:rPr>
        <w:endnoteRef/>
      </w:r>
      <w:r w:rsidRPr="006D3C41">
        <w:rPr>
          <w:rFonts w:cstheme="minorHAnsi"/>
          <w:szCs w:val="22"/>
        </w:rPr>
        <w:t xml:space="preserve"> Jamal MT, Li QL, Li QY, et al. Association of thyroid hormones with blood pressure and arterial stiffness in the general population: The Dali study. J Clin Hypertens (Greenwich). 2021;23(2):363-372. doi:10.1111/jch.14154</w:t>
      </w:r>
    </w:p>
  </w:endnote>
  <w:endnote w:id="46">
    <w:p w14:paraId="45C12E52" w14:textId="77777777" w:rsidR="00B512E5" w:rsidRPr="006D3C41" w:rsidRDefault="00B512E5" w:rsidP="00ED3148">
      <w:pPr>
        <w:pStyle w:val="EndnoteText"/>
        <w:jc w:val="left"/>
        <w:rPr>
          <w:rFonts w:cstheme="minorHAnsi"/>
          <w:szCs w:val="22"/>
        </w:rPr>
      </w:pPr>
      <w:r w:rsidRPr="006D3C41">
        <w:rPr>
          <w:rStyle w:val="EndnoteReference"/>
          <w:rFonts w:cstheme="minorHAnsi"/>
          <w:szCs w:val="22"/>
        </w:rPr>
        <w:endnoteRef/>
      </w:r>
      <w:r w:rsidRPr="006D3C41">
        <w:rPr>
          <w:rFonts w:cstheme="minorHAnsi"/>
          <w:szCs w:val="22"/>
        </w:rPr>
        <w:t xml:space="preserve"> Abdi H, Gharibzadeh S, Tasdighi E, et al. Associations Between Thyroid and Blood Pressure in Euthyroid Adults: A 9-Year Longitudinal Study. Horm Metab Res. 2018;50(3):236-241. doi:10.1055/s-0044-101756</w:t>
      </w:r>
    </w:p>
  </w:endnote>
  <w:endnote w:id="47">
    <w:p w14:paraId="4753889B" w14:textId="77777777" w:rsidR="00D73290" w:rsidRPr="006D3C41" w:rsidRDefault="00D73290" w:rsidP="00ED3148">
      <w:pPr>
        <w:pStyle w:val="EndnoteText"/>
        <w:jc w:val="left"/>
        <w:rPr>
          <w:rFonts w:cstheme="minorHAnsi"/>
          <w:szCs w:val="22"/>
        </w:rPr>
      </w:pPr>
      <w:r w:rsidRPr="006D3C41">
        <w:rPr>
          <w:rStyle w:val="EndnoteReference"/>
          <w:rFonts w:cstheme="minorHAnsi"/>
          <w:szCs w:val="22"/>
        </w:rPr>
        <w:endnoteRef/>
      </w:r>
      <w:r w:rsidRPr="006D3C41">
        <w:rPr>
          <w:rFonts w:cstheme="minorHAnsi"/>
          <w:szCs w:val="22"/>
        </w:rPr>
        <w:t xml:space="preserve"> </w:t>
      </w:r>
      <w:r w:rsidRPr="006D3C41">
        <w:rPr>
          <w:rFonts w:cstheme="minorHAnsi"/>
          <w:color w:val="212121"/>
          <w:szCs w:val="22"/>
          <w:shd w:val="clear" w:color="auto" w:fill="FFFFFF"/>
        </w:rPr>
        <w:t>Yang S, Wang Z, Li J, Fu J, Guan H, Wang W. Thyroid Feedback Quantile-Based Index Is Associated With Blood Pressure and Other Hemodynamic Measures: A Cross-sectional Study. Endocr Pract. 2022 Oct;28(10):1055-1061. doi: 10.1016/j.eprac.2022.07.010. Epub 2022 Aug 5. PMID: 35940471.</w:t>
      </w:r>
    </w:p>
  </w:endnote>
  <w:endnote w:id="48">
    <w:p w14:paraId="6AAC83A3" w14:textId="77777777" w:rsidR="00D73290" w:rsidRPr="006D3C41" w:rsidRDefault="00D73290" w:rsidP="00ED3148">
      <w:pPr>
        <w:pStyle w:val="EndnoteText"/>
        <w:jc w:val="left"/>
        <w:rPr>
          <w:rFonts w:cstheme="minorHAnsi"/>
          <w:szCs w:val="22"/>
        </w:rPr>
      </w:pPr>
      <w:r w:rsidRPr="006D3C41">
        <w:rPr>
          <w:rStyle w:val="EndnoteReference"/>
          <w:rFonts w:cstheme="minorHAnsi"/>
          <w:szCs w:val="22"/>
        </w:rPr>
        <w:endnoteRef/>
      </w:r>
      <w:r w:rsidRPr="006D3C41">
        <w:rPr>
          <w:rFonts w:cstheme="minorHAnsi"/>
          <w:szCs w:val="22"/>
        </w:rPr>
        <w:t xml:space="preserve"> Mehran L, Delbari N, Amouzegar A, Hasheminia M, Tohidi M, Azizi F. Reduced Sensitivity to Thyroid Hormone Is Associated with Diabetes and Hypertension. J Clin Endocrinol Metab. 01 01 2022;107(1):167-176. doi:10.1210/clinem/dgab646</w:t>
      </w:r>
    </w:p>
  </w:endnote>
  <w:endnote w:id="49">
    <w:p w14:paraId="46D9656F" w14:textId="77777777" w:rsidR="00270AEC" w:rsidRPr="006D3C41" w:rsidRDefault="00270AEC" w:rsidP="00270AEC">
      <w:pPr>
        <w:pStyle w:val="EndnoteText"/>
        <w:rPr>
          <w:rFonts w:cstheme="minorHAnsi"/>
          <w:szCs w:val="22"/>
        </w:rPr>
      </w:pPr>
      <w:r w:rsidRPr="006D3C41">
        <w:rPr>
          <w:rStyle w:val="EndnoteReference"/>
          <w:rFonts w:cstheme="minorHAnsi"/>
          <w:szCs w:val="22"/>
        </w:rPr>
        <w:endnoteRef/>
      </w:r>
      <w:r w:rsidRPr="006D3C41">
        <w:rPr>
          <w:rFonts w:cstheme="minorHAnsi"/>
          <w:szCs w:val="22"/>
        </w:rPr>
        <w:t xml:space="preserve"> Aoki Y, Belin RM, Clickner R, Jeffries R, Phillips L, Mahaffey KR. Serum TSH and total T4 in the United States population and their association with participant characteristics: National Health and Nutrition Examination Survey (NHANES 1999-2002). Thyroid. 2007 Dec;17(12):1211-23. doi: 10.1089/thy.2006.0235. PMID: 18177256.</w:t>
      </w:r>
    </w:p>
  </w:endnote>
  <w:endnote w:id="50">
    <w:p w14:paraId="1D152CB7" w14:textId="77777777" w:rsidR="00270AEC" w:rsidRPr="006D3C41" w:rsidRDefault="00270AEC" w:rsidP="00270AEC">
      <w:pPr>
        <w:pStyle w:val="EndnoteText"/>
        <w:rPr>
          <w:rFonts w:cstheme="minorHAnsi"/>
          <w:szCs w:val="22"/>
        </w:rPr>
      </w:pPr>
      <w:r w:rsidRPr="006D3C41">
        <w:rPr>
          <w:rStyle w:val="EndnoteReference"/>
          <w:rFonts w:cstheme="minorHAnsi"/>
          <w:szCs w:val="22"/>
        </w:rPr>
        <w:endnoteRef/>
      </w:r>
      <w:r w:rsidRPr="006D3C41">
        <w:rPr>
          <w:rFonts w:cstheme="minorHAnsi"/>
          <w:szCs w:val="22"/>
        </w:rPr>
        <w:t xml:space="preserve"> Hollowell JG, Staehling NW, Flanders WD, Hannon WH, Gunter EW, Spencer CA, Braverman LE. Serum TSH, T(4), and thyroid antibodies in the United States population (1988 to 1994): National Health and Nutrition Examination Survey (NHANES III). J Clin Endocrinol Metab. 2002 Feb;87(2):489-99. doi: 10.1210/jcem.87.2.8182. PMID: 11836274.</w:t>
      </w:r>
    </w:p>
  </w:endnote>
  <w:endnote w:id="51">
    <w:p w14:paraId="143535D9" w14:textId="78A09BE2" w:rsidR="003C74C9" w:rsidRPr="006D3C41" w:rsidRDefault="003C74C9" w:rsidP="00ED3148">
      <w:pPr>
        <w:pStyle w:val="EndnoteText"/>
        <w:jc w:val="left"/>
        <w:rPr>
          <w:rFonts w:cstheme="minorHAnsi"/>
          <w:szCs w:val="22"/>
        </w:rPr>
      </w:pPr>
      <w:r w:rsidRPr="006D3C41">
        <w:rPr>
          <w:rStyle w:val="EndnoteReference"/>
          <w:rFonts w:cstheme="minorHAnsi"/>
          <w:szCs w:val="22"/>
        </w:rPr>
        <w:endnoteRef/>
      </w:r>
      <w:r w:rsidRPr="006D3C41">
        <w:rPr>
          <w:rFonts w:cstheme="minorHAnsi"/>
          <w:szCs w:val="22"/>
        </w:rPr>
        <w:t xml:space="preserve"> </w:t>
      </w:r>
      <w:r w:rsidR="00734864" w:rsidRPr="00734864">
        <w:rPr>
          <w:rFonts w:cstheme="minorHAnsi"/>
          <w:szCs w:val="22"/>
        </w:rPr>
        <w:t>Abasilim C, Persky V, Sargis RM, et al. Association of Acculturation and Hispanic/Latino Background with Endogenous Sex and Thyroid-Related Hormones Among Middle-Aged and Older Hispanic/Latino Adults: the HCHS/SOL Study [published correction appears in J Racial Ethn Health Disparities. 2023 Sep 19;:]. J Racial Ethn Health Disparities. Published online August 24, 2023. doi:10.1007/s40615-023-01762-8</w:t>
      </w:r>
    </w:p>
  </w:endnote>
  <w:endnote w:id="52">
    <w:p w14:paraId="32283D91" w14:textId="77777777" w:rsidR="00D56AB8" w:rsidRPr="006D3C41" w:rsidRDefault="00D56AB8" w:rsidP="00D04F56">
      <w:pPr>
        <w:pStyle w:val="EndnoteText"/>
        <w:jc w:val="left"/>
        <w:rPr>
          <w:rFonts w:cstheme="minorHAnsi"/>
          <w:szCs w:val="22"/>
        </w:rPr>
      </w:pPr>
      <w:r w:rsidRPr="006D3C41">
        <w:rPr>
          <w:rStyle w:val="EndnoteCharacters"/>
          <w:rFonts w:cstheme="minorHAnsi"/>
          <w:szCs w:val="22"/>
        </w:rPr>
        <w:endnoteRef/>
      </w:r>
      <w:r w:rsidRPr="006D3C41">
        <w:rPr>
          <w:rFonts w:cstheme="minorHAnsi"/>
          <w:szCs w:val="22"/>
        </w:rPr>
        <w:t xml:space="preserve"> Daviglus ML, Talavera GA, Aviles-Santa ML, Allison M, Cai J, Criqui MH, et al. Prevalence of major cardiovascular risk factors and cardiovascular diseases among Hispanic/Latino individuals of diverse backgrounds in the United States. Jama. 2012;308(17): 1775–84</w:t>
      </w:r>
    </w:p>
  </w:endnote>
  <w:endnote w:id="53">
    <w:p w14:paraId="1A37AEC1" w14:textId="3D4DB63F" w:rsidR="000B7B2D" w:rsidRPr="006D3C41" w:rsidRDefault="000B7B2D" w:rsidP="00D04F56">
      <w:pPr>
        <w:pStyle w:val="EndnoteText"/>
        <w:jc w:val="left"/>
        <w:rPr>
          <w:rFonts w:cstheme="minorHAnsi"/>
          <w:szCs w:val="22"/>
        </w:rPr>
      </w:pPr>
      <w:r w:rsidRPr="006D3C41">
        <w:rPr>
          <w:rStyle w:val="EndnoteReference"/>
          <w:rFonts w:cstheme="minorHAnsi"/>
          <w:szCs w:val="22"/>
        </w:rPr>
        <w:endnoteRef/>
      </w:r>
      <w:r w:rsidRPr="006D3C41">
        <w:rPr>
          <w:rFonts w:cstheme="minorHAnsi"/>
          <w:szCs w:val="22"/>
        </w:rPr>
        <w:t xml:space="preserve"> </w:t>
      </w:r>
      <w:r w:rsidR="003F0B72" w:rsidRPr="003F0B72">
        <w:rPr>
          <w:rFonts w:cstheme="minorHAnsi"/>
          <w:szCs w:val="22"/>
        </w:rPr>
        <w:t>Persky V, Abasilim C, Tsintsifas K, et al. Sex Hormones and Diabetes in 45- to 74-year-old Men and Postmenopausal Women: The Hispanic Community Health Study. J Clin Endocrinol Metab. 2023;108(7):1709-1726. doi:10.1210/clinem/dgad018</w:t>
      </w:r>
    </w:p>
  </w:endnote>
  <w:endnote w:id="54">
    <w:p w14:paraId="10DA0843" w14:textId="1513764F" w:rsidR="0085762A" w:rsidRPr="006D3C41" w:rsidRDefault="0085762A" w:rsidP="00ED3148">
      <w:pPr>
        <w:spacing w:after="0" w:line="240" w:lineRule="auto"/>
        <w:rPr>
          <w:rFonts w:cstheme="minorHAnsi"/>
        </w:rPr>
      </w:pPr>
      <w:r w:rsidRPr="006D3C41">
        <w:rPr>
          <w:rStyle w:val="EndnoteReference"/>
          <w:rFonts w:cstheme="minorHAnsi"/>
        </w:rPr>
        <w:endnoteRef/>
      </w:r>
      <w:r w:rsidRPr="006D3C41">
        <w:rPr>
          <w:rFonts w:cstheme="minorHAnsi"/>
        </w:rPr>
        <w:t xml:space="preserve"> Uygur MM, Yoldemir T, Yavuz DG. Thyroid disease in the perimenopause and postmenopause period. Climacteric. 2018 Dec;21(6):542-548. doi: 10.1080/13697137.2018.1514004. Epub 2018 Oct 8. PMID: 30296186.</w:t>
      </w:r>
    </w:p>
  </w:endnote>
  <w:endnote w:id="55">
    <w:p w14:paraId="69B76C03" w14:textId="1EEE43D0" w:rsidR="002D2AE4" w:rsidRPr="006D3C41" w:rsidRDefault="002D2AE4" w:rsidP="00D04F56">
      <w:pPr>
        <w:pStyle w:val="EndnoteText"/>
        <w:jc w:val="left"/>
        <w:rPr>
          <w:rFonts w:cstheme="minorHAnsi"/>
          <w:szCs w:val="22"/>
        </w:rPr>
      </w:pPr>
      <w:r w:rsidRPr="006D3C41">
        <w:rPr>
          <w:rStyle w:val="EndnoteReference"/>
          <w:rFonts w:cstheme="minorHAnsi"/>
          <w:szCs w:val="22"/>
        </w:rPr>
        <w:endnoteRef/>
      </w:r>
      <w:r w:rsidR="00DB618E" w:rsidRPr="006D3C41">
        <w:rPr>
          <w:rFonts w:cstheme="minorHAnsi"/>
          <w:szCs w:val="22"/>
        </w:rPr>
        <w:t xml:space="preserve"> </w:t>
      </w:r>
      <w:r w:rsidR="00FE39B8" w:rsidRPr="006D3C41">
        <w:rPr>
          <w:rFonts w:cstheme="minorHAnsi"/>
          <w:szCs w:val="22"/>
        </w:rPr>
        <w:t>Abasilim C, Persky V, Sargis R.M, Argos M, Daviglus M.L, Freels S, Cai J, Tsintsifas K, Isasi C.R, Peters B.A, Talavera G.A, Thyagarajan B, Turyk M.E. Thyroid-related hormones and hypertension incidence in middle aged and older Hispanic/Latino adults: The Hispanic Community Health Study/Study of Latinos</w:t>
      </w:r>
      <w:r w:rsidR="003E4CAB" w:rsidRPr="006D3C41">
        <w:rPr>
          <w:rFonts w:cstheme="minorHAnsi"/>
          <w:szCs w:val="22"/>
        </w:rPr>
        <w:t xml:space="preserve"> </w:t>
      </w:r>
      <w:r w:rsidR="00DE638F" w:rsidRPr="006D3C41">
        <w:rPr>
          <w:rFonts w:cstheme="minorHAnsi"/>
          <w:szCs w:val="22"/>
        </w:rPr>
        <w:t xml:space="preserve"> Deposited in INDIGO </w:t>
      </w:r>
      <w:r w:rsidR="00CA18C1" w:rsidRPr="006D3C41">
        <w:rPr>
          <w:rFonts w:cstheme="minorHAnsi"/>
          <w:szCs w:val="22"/>
        </w:rPr>
        <w:t>February</w:t>
      </w:r>
      <w:r w:rsidR="00DE638F" w:rsidRPr="006D3C41">
        <w:rPr>
          <w:rFonts w:cstheme="minorHAnsi"/>
          <w:szCs w:val="22"/>
        </w:rPr>
        <w:t xml:space="preserve"> </w:t>
      </w:r>
      <w:r w:rsidR="00CA18C1" w:rsidRPr="006D3C41">
        <w:rPr>
          <w:rFonts w:cstheme="minorHAnsi"/>
          <w:szCs w:val="22"/>
        </w:rPr>
        <w:t>28</w:t>
      </w:r>
      <w:r w:rsidR="00DE638F" w:rsidRPr="006D3C41">
        <w:rPr>
          <w:rFonts w:cstheme="minorHAnsi"/>
          <w:szCs w:val="22"/>
        </w:rPr>
        <w:t>, 202</w:t>
      </w:r>
      <w:r w:rsidR="00CA18C1" w:rsidRPr="006D3C41">
        <w:rPr>
          <w:rFonts w:cstheme="minorHAnsi"/>
          <w:szCs w:val="22"/>
        </w:rPr>
        <w:t>4</w:t>
      </w:r>
      <w:r w:rsidR="00DE638F" w:rsidRPr="006D3C41">
        <w:rPr>
          <w:rFonts w:cstheme="minorHAnsi"/>
          <w:szCs w:val="22"/>
        </w:rPr>
        <w:t xml:space="preserve"> </w:t>
      </w:r>
      <w:hyperlink r:id="rId3" w:history="1">
        <w:r w:rsidR="00C8571A" w:rsidRPr="006D3C41">
          <w:rPr>
            <w:rStyle w:val="Hyperlink"/>
            <w:rFonts w:cstheme="minorHAnsi"/>
            <w:szCs w:val="22"/>
          </w:rPr>
          <w:t>https://figshare.com/s/a40a462602027e563dd1</w:t>
        </w:r>
      </w:hyperlink>
      <w:r w:rsidRPr="006D3C41">
        <w:rPr>
          <w:rFonts w:cstheme="minorHAnsi"/>
          <w:szCs w:val="22"/>
        </w:rPr>
        <w:t xml:space="preserve"> </w:t>
      </w:r>
    </w:p>
  </w:endnote>
  <w:endnote w:id="56">
    <w:p w14:paraId="1582FD50" w14:textId="77777777" w:rsidR="000207A5" w:rsidRPr="006D3C41" w:rsidRDefault="000207A5" w:rsidP="00D04F56">
      <w:pPr>
        <w:spacing w:after="0" w:line="240" w:lineRule="auto"/>
        <w:rPr>
          <w:rFonts w:cstheme="minorHAnsi"/>
        </w:rPr>
      </w:pPr>
      <w:r w:rsidRPr="006D3C41">
        <w:rPr>
          <w:rStyle w:val="EndnoteReference"/>
          <w:rFonts w:cstheme="minorHAnsi"/>
        </w:rPr>
        <w:endnoteRef/>
      </w:r>
      <w:r w:rsidRPr="006D3C41">
        <w:rPr>
          <w:rFonts w:cstheme="minorHAnsi"/>
        </w:rPr>
        <w:t xml:space="preserve"> Tobin MD, Sheehan NA, Scurrah KJ, et al. . Adjusting for treatment effects in studies of quantitative traits: antihypertensive therapy and systolic blood pressure. Stat Med 2005;24:2911–35. 10.1002/sim.2165</w:t>
      </w:r>
    </w:p>
  </w:endnote>
  <w:endnote w:id="57">
    <w:p w14:paraId="5D3CB389" w14:textId="77777777" w:rsidR="000207A5" w:rsidRPr="006D3C41" w:rsidRDefault="000207A5" w:rsidP="00D04F56">
      <w:pPr>
        <w:spacing w:after="0" w:line="240" w:lineRule="auto"/>
        <w:rPr>
          <w:rFonts w:cstheme="minorHAnsi"/>
        </w:rPr>
      </w:pPr>
      <w:r w:rsidRPr="006D3C41">
        <w:rPr>
          <w:rStyle w:val="EndnoteReference"/>
          <w:rFonts w:cstheme="minorHAnsi"/>
        </w:rPr>
        <w:endnoteRef/>
      </w:r>
      <w:r w:rsidRPr="006D3C41">
        <w:rPr>
          <w:rFonts w:cstheme="minorHAnsi"/>
        </w:rPr>
        <w:t xml:space="preserve"> Balakrishnan P, Beaty T, Young JH, et al. Methods to estimate underlying blood pressure: The Atherosclerosis risk in communities (ARIC) study. PLoS One 2017;12:e0179234. 10.1371/journal.pone.0179234</w:t>
      </w:r>
    </w:p>
  </w:endnote>
  <w:endnote w:id="58">
    <w:p w14:paraId="537B7984" w14:textId="7C53E210" w:rsidR="004207C3" w:rsidRPr="006D3C41" w:rsidRDefault="004207C3" w:rsidP="00D04F56">
      <w:pPr>
        <w:pStyle w:val="EndnoteText"/>
        <w:jc w:val="left"/>
        <w:rPr>
          <w:rFonts w:cstheme="minorHAnsi"/>
          <w:szCs w:val="22"/>
        </w:rPr>
      </w:pPr>
      <w:r w:rsidRPr="006D3C41">
        <w:rPr>
          <w:rStyle w:val="EndnoteReference"/>
          <w:rFonts w:cstheme="minorHAnsi"/>
          <w:szCs w:val="22"/>
        </w:rPr>
        <w:endnoteRef/>
      </w:r>
      <w:r w:rsidRPr="006D3C41">
        <w:rPr>
          <w:rFonts w:cstheme="minorHAnsi"/>
          <w:szCs w:val="22"/>
        </w:rPr>
        <w:t xml:space="preserve"> Sollberger S, Ehlert U. How to use and interpret hormone ratios. Psychoneuroendocrinology. 2016;63:385-397. doi:10.1016/j.psyneuen.2015.09.031</w:t>
      </w:r>
    </w:p>
  </w:endnote>
  <w:endnote w:id="59">
    <w:p w14:paraId="4BD40487" w14:textId="77777777" w:rsidR="000B409E" w:rsidRPr="006D3C41" w:rsidRDefault="000B409E" w:rsidP="00D04F56">
      <w:pPr>
        <w:pStyle w:val="EndnoteText"/>
        <w:jc w:val="left"/>
        <w:rPr>
          <w:rFonts w:cstheme="minorHAnsi"/>
          <w:szCs w:val="22"/>
        </w:rPr>
      </w:pPr>
      <w:r w:rsidRPr="006D3C41">
        <w:rPr>
          <w:rStyle w:val="EndnoteReference"/>
          <w:rFonts w:cstheme="minorHAnsi"/>
          <w:szCs w:val="22"/>
        </w:rPr>
        <w:endnoteRef/>
      </w:r>
      <w:r w:rsidRPr="006D3C41">
        <w:rPr>
          <w:rFonts w:cstheme="minorHAnsi"/>
          <w:szCs w:val="22"/>
        </w:rPr>
        <w:t xml:space="preserve"> Hoos T, Espinoza N, Marshall S, Arredondo EM. Validity of the Global Physical Activity Questionnaire (GPAQ) in Adult Latinas. Journal of Physical Activity and Health. 2012-07-01 2012;9(5):698-705. doi:10.1123/jpah.9.5.698</w:t>
      </w:r>
    </w:p>
  </w:endnote>
  <w:endnote w:id="60">
    <w:p w14:paraId="5AE9AEA1" w14:textId="77777777" w:rsidR="004D1AAA" w:rsidRPr="006D3C41" w:rsidRDefault="004D1AAA" w:rsidP="00D04F56">
      <w:pPr>
        <w:pStyle w:val="EndnoteText"/>
        <w:jc w:val="left"/>
        <w:rPr>
          <w:rFonts w:cstheme="minorHAnsi"/>
          <w:szCs w:val="22"/>
        </w:rPr>
      </w:pPr>
      <w:r w:rsidRPr="006D3C41">
        <w:rPr>
          <w:rStyle w:val="EndnoteReference"/>
          <w:rFonts w:cstheme="minorHAnsi"/>
          <w:szCs w:val="22"/>
        </w:rPr>
        <w:endnoteRef/>
      </w:r>
      <w:r w:rsidRPr="006D3C41">
        <w:rPr>
          <w:rFonts w:cstheme="minorHAnsi"/>
          <w:szCs w:val="22"/>
        </w:rPr>
        <w:t xml:space="preserve"> Chiuve SE, Fung TT, Rimm EB, et al. Alternative dietary indices both strongly predict risk of chronic disease. J Nutr. Jun 2012;142(6):1009-18. doi:10.3945/jn.111.157222</w:t>
      </w:r>
    </w:p>
  </w:endnote>
  <w:endnote w:id="61">
    <w:p w14:paraId="2FB52181" w14:textId="77777777" w:rsidR="00203CE7" w:rsidRPr="006D3C41" w:rsidRDefault="00203CE7" w:rsidP="00D04F56">
      <w:pPr>
        <w:pStyle w:val="EndnoteText"/>
        <w:jc w:val="left"/>
        <w:rPr>
          <w:rFonts w:cstheme="minorHAnsi"/>
          <w:szCs w:val="22"/>
        </w:rPr>
      </w:pPr>
      <w:r w:rsidRPr="006D3C41">
        <w:rPr>
          <w:rStyle w:val="EndnoteReference"/>
          <w:rFonts w:cstheme="minorHAnsi"/>
          <w:szCs w:val="22"/>
        </w:rPr>
        <w:endnoteRef/>
      </w:r>
      <w:r w:rsidRPr="006D3C41">
        <w:rPr>
          <w:rFonts w:cstheme="minorHAnsi"/>
          <w:szCs w:val="22"/>
        </w:rPr>
        <w:t xml:space="preserve"> Kandula NR, Diez-Roux AV, Chan C, et al. Association of acculturation levels and prevalence of diabetes in the multi-ethnic study of atherosclerosis (MESA). Diabetes Care. Aug 2008;31(8):1621-8. doi:10.2337/dc07-2182</w:t>
      </w:r>
    </w:p>
  </w:endnote>
  <w:endnote w:id="62">
    <w:p w14:paraId="7A27773F" w14:textId="77777777" w:rsidR="005A253A" w:rsidRPr="006D3C41" w:rsidRDefault="005A253A" w:rsidP="00D04F56">
      <w:pPr>
        <w:spacing w:after="0" w:line="240" w:lineRule="auto"/>
        <w:rPr>
          <w:rFonts w:cstheme="minorHAnsi"/>
          <w:bCs/>
        </w:rPr>
      </w:pPr>
      <w:r w:rsidRPr="006D3C41">
        <w:rPr>
          <w:rStyle w:val="EndnoteReference"/>
          <w:rFonts w:cstheme="minorHAnsi"/>
        </w:rPr>
        <w:endnoteRef/>
      </w:r>
      <w:r w:rsidRPr="006D3C41">
        <w:rPr>
          <w:rFonts w:cstheme="minorHAnsi"/>
        </w:rPr>
        <w:t xml:space="preserve"> </w:t>
      </w:r>
      <w:r w:rsidRPr="006D3C41">
        <w:rPr>
          <w:rFonts w:cstheme="minorHAnsi"/>
          <w:bCs/>
        </w:rPr>
        <w:t>Phillips DL, Pirkle JL, Burse VW, Bernert Jr JT, Henderson LO, Needham LL. Chlorinated hydrocarbon levels in human serum: effects of fasting and feeding. Arch Environ Contam Toxicol 1989;18(4):495–500.</w:t>
      </w:r>
    </w:p>
  </w:endnote>
  <w:endnote w:id="63">
    <w:p w14:paraId="4D8DFA87" w14:textId="77777777" w:rsidR="00C25EC5" w:rsidRPr="006D3C41" w:rsidRDefault="00C25EC5" w:rsidP="00D04F56">
      <w:pPr>
        <w:pStyle w:val="EndnoteText"/>
        <w:jc w:val="left"/>
        <w:rPr>
          <w:rFonts w:cstheme="minorHAnsi"/>
          <w:szCs w:val="22"/>
        </w:rPr>
      </w:pPr>
      <w:r w:rsidRPr="006D3C41">
        <w:rPr>
          <w:rStyle w:val="EndnoteReference"/>
          <w:rFonts w:cstheme="minorHAnsi"/>
          <w:szCs w:val="22"/>
        </w:rPr>
        <w:endnoteRef/>
      </w:r>
      <w:r w:rsidRPr="006D3C41">
        <w:rPr>
          <w:rFonts w:cstheme="minorHAnsi"/>
          <w:szCs w:val="22"/>
        </w:rPr>
        <w:t xml:space="preserve"> Grigg-Damberger MM. The AASM scoring manual four years later. J Clin Sleep Med. 2012;8(03):323–332. doi: 10.5664/jcsm.1928</w:t>
      </w:r>
    </w:p>
  </w:endnote>
  <w:endnote w:id="64">
    <w:p w14:paraId="4EFE0812" w14:textId="54BF1475" w:rsidR="001E4B87" w:rsidRPr="006D3C41" w:rsidRDefault="001E4B87" w:rsidP="00D04F56">
      <w:pPr>
        <w:pStyle w:val="EndnoteText"/>
        <w:jc w:val="left"/>
        <w:rPr>
          <w:rFonts w:cstheme="minorHAnsi"/>
          <w:szCs w:val="22"/>
        </w:rPr>
      </w:pPr>
      <w:r w:rsidRPr="006D3C41">
        <w:rPr>
          <w:rStyle w:val="EndnoteReference"/>
          <w:rFonts w:cstheme="minorHAnsi"/>
          <w:szCs w:val="22"/>
        </w:rPr>
        <w:endnoteRef/>
      </w:r>
      <w:r w:rsidRPr="006D3C41">
        <w:rPr>
          <w:rFonts w:cstheme="minorHAnsi"/>
          <w:szCs w:val="22"/>
        </w:rPr>
        <w:t xml:space="preserve"> Levey, A. S., Coresh, J., Greene, T., Stevens, L. A., Zhang, Y. L., Hendriksen, S., Kusek, J. W., Van Lente, F., &amp; Chronic Kidney Disease Epidemiology Collaboration. Using standardized serum creatinine values in the modification of diet in renal disease study equation for estimating glomerular filtration rate. Annals of internal medicine</w:t>
      </w:r>
      <w:r w:rsidR="001B2E5F">
        <w:rPr>
          <w:rFonts w:cstheme="minorHAnsi"/>
          <w:szCs w:val="22"/>
        </w:rPr>
        <w:t>. 2006;</w:t>
      </w:r>
      <w:r w:rsidRPr="006D3C41">
        <w:rPr>
          <w:rFonts w:cstheme="minorHAnsi"/>
          <w:szCs w:val="22"/>
        </w:rPr>
        <w:t xml:space="preserve"> 145(4), 247–254. https://doi.org/10.7326/0003-4819-145-4-200608150-00004</w:t>
      </w:r>
    </w:p>
  </w:endnote>
  <w:endnote w:id="65">
    <w:p w14:paraId="2B617FED" w14:textId="1196C42B" w:rsidR="008072DD" w:rsidRPr="006D3C41" w:rsidRDefault="008072DD" w:rsidP="00D04F56">
      <w:pPr>
        <w:pStyle w:val="EndnoteText"/>
        <w:jc w:val="left"/>
        <w:rPr>
          <w:rFonts w:cstheme="minorHAnsi"/>
          <w:szCs w:val="22"/>
        </w:rPr>
      </w:pPr>
      <w:r w:rsidRPr="006D3C41">
        <w:rPr>
          <w:rStyle w:val="EndnoteReference"/>
          <w:rFonts w:cstheme="minorHAnsi"/>
          <w:szCs w:val="22"/>
        </w:rPr>
        <w:endnoteRef/>
      </w:r>
      <w:r w:rsidRPr="006D3C41">
        <w:rPr>
          <w:rFonts w:cstheme="minorHAnsi"/>
          <w:szCs w:val="22"/>
        </w:rPr>
        <w:t xml:space="preserve"> StataCorp LLC (2022). Multiple imputation, Retrieved from </w:t>
      </w:r>
      <w:hyperlink r:id="rId4" w:history="1">
        <w:r w:rsidRPr="006D3C41">
          <w:rPr>
            <w:rStyle w:val="Hyperlink"/>
            <w:rFonts w:cstheme="minorHAnsi"/>
            <w:szCs w:val="22"/>
          </w:rPr>
          <w:t>https://www.stata.com/features/multiple-imputation/</w:t>
        </w:r>
      </w:hyperlink>
      <w:r w:rsidRPr="006D3C41">
        <w:rPr>
          <w:rFonts w:cstheme="minorHAnsi"/>
          <w:szCs w:val="22"/>
        </w:rPr>
        <w:t xml:space="preserve"> </w:t>
      </w:r>
    </w:p>
  </w:endnote>
  <w:endnote w:id="66">
    <w:p w14:paraId="31BD3609" w14:textId="77777777" w:rsidR="00AB1154" w:rsidRPr="006D3C41" w:rsidRDefault="00AB1154" w:rsidP="00D04F56">
      <w:pPr>
        <w:pStyle w:val="EndnoteText"/>
        <w:jc w:val="left"/>
        <w:rPr>
          <w:rFonts w:cstheme="minorHAnsi"/>
          <w:szCs w:val="22"/>
        </w:rPr>
      </w:pPr>
      <w:r w:rsidRPr="006D3C41">
        <w:rPr>
          <w:rStyle w:val="EndnoteReference"/>
          <w:rFonts w:cstheme="minorHAnsi"/>
          <w:szCs w:val="22"/>
        </w:rPr>
        <w:endnoteRef/>
      </w:r>
      <w:r w:rsidRPr="006D3C41">
        <w:rPr>
          <w:rFonts w:cstheme="minorHAnsi"/>
          <w:szCs w:val="22"/>
        </w:rPr>
        <w:t xml:space="preserve"> Franklin SS, Khan SA, Wong ND, Larson MG, Levy D. Is pulse pressure useful in predicting risk for coronary heart Disease? The Framingham heart study. Circulation. 1999;100(4):354-360. doi:10.1161/01.cir.100.4.354</w:t>
      </w:r>
    </w:p>
  </w:endnote>
  <w:endnote w:id="67">
    <w:p w14:paraId="42CECD83" w14:textId="77777777" w:rsidR="00AB1154" w:rsidRPr="006D3C41" w:rsidRDefault="00AB1154" w:rsidP="00D04F56">
      <w:pPr>
        <w:pStyle w:val="EndnoteText"/>
        <w:jc w:val="left"/>
        <w:rPr>
          <w:rFonts w:cstheme="minorHAnsi"/>
          <w:szCs w:val="22"/>
        </w:rPr>
      </w:pPr>
      <w:r w:rsidRPr="006D3C41">
        <w:rPr>
          <w:rStyle w:val="EndnoteReference"/>
          <w:rFonts w:cstheme="minorHAnsi"/>
          <w:szCs w:val="22"/>
        </w:rPr>
        <w:endnoteRef/>
      </w:r>
      <w:r w:rsidRPr="006D3C41">
        <w:rPr>
          <w:rFonts w:cstheme="minorHAnsi"/>
          <w:szCs w:val="22"/>
        </w:rPr>
        <w:t xml:space="preserve"> Stehouwer CD, Henry RM, Ferreira I. Arterial stiffness in diabetes and the metabolic syndrome: a pathway to cardiovascular disease. Diabetologia. 2008;51(4):527-539. doi:10.1007/s00125-007-0918-3</w:t>
      </w:r>
    </w:p>
  </w:endnote>
  <w:endnote w:id="68">
    <w:p w14:paraId="03554B3F" w14:textId="77777777" w:rsidR="00EA48B9" w:rsidRPr="006D3C41" w:rsidRDefault="00EA48B9" w:rsidP="00D04F56">
      <w:pPr>
        <w:spacing w:after="0" w:line="240" w:lineRule="auto"/>
        <w:rPr>
          <w:rFonts w:cstheme="minorHAnsi"/>
          <w:bCs/>
        </w:rPr>
      </w:pPr>
      <w:r w:rsidRPr="006D3C41">
        <w:rPr>
          <w:rStyle w:val="EndnoteReference"/>
          <w:rFonts w:cstheme="minorHAnsi"/>
        </w:rPr>
        <w:endnoteRef/>
      </w:r>
      <w:r w:rsidRPr="006D3C41">
        <w:rPr>
          <w:rFonts w:cstheme="minorHAnsi"/>
        </w:rPr>
        <w:t xml:space="preserve"> </w:t>
      </w:r>
      <w:r w:rsidRPr="006D3C41">
        <w:rPr>
          <w:rFonts w:cstheme="minorHAnsi"/>
          <w:bCs/>
        </w:rPr>
        <w:t>Turchi F, Ronconi V, di Tizio V, Boscaro M, Giacchetti G. Blood pressure, thyroid-stimulating hormone, and thyroid disease prevalence in primary aldosteronism and essential hypertension. Am J Hypertens. 2011;24(12):1274-1279. doi:10.1038/ajh.2011.144</w:t>
      </w:r>
    </w:p>
  </w:endnote>
  <w:endnote w:id="69">
    <w:p w14:paraId="5C96951D" w14:textId="77777777" w:rsidR="00EF7A60" w:rsidRPr="006D3C41" w:rsidRDefault="00EF7A60" w:rsidP="00D04F56">
      <w:pPr>
        <w:spacing w:after="0" w:line="240" w:lineRule="auto"/>
        <w:rPr>
          <w:rFonts w:cstheme="minorHAnsi"/>
          <w:bCs/>
        </w:rPr>
      </w:pPr>
      <w:r w:rsidRPr="006D3C41">
        <w:rPr>
          <w:rStyle w:val="EndnoteReference"/>
          <w:rFonts w:cstheme="minorHAnsi"/>
        </w:rPr>
        <w:endnoteRef/>
      </w:r>
      <w:r w:rsidRPr="006D3C41">
        <w:rPr>
          <w:rFonts w:cstheme="minorHAnsi"/>
        </w:rPr>
        <w:t xml:space="preserve"> </w:t>
      </w:r>
      <w:r w:rsidRPr="006D3C41">
        <w:rPr>
          <w:rFonts w:cstheme="minorHAnsi"/>
          <w:bCs/>
        </w:rPr>
        <w:t>Shimizu Y, Nabeshima-Kimura Y, Kawashiri SY, et al. Associations between thyroid-stimulating hormone and hypertension according to thyroid cyst status in the general population: a cross-sectional study. Environmental Health and Preventive Medicine. 2020 Nov;25(1):69. DOI: 10.1186/s12199-020-00910-4.</w:t>
      </w:r>
    </w:p>
  </w:endnote>
  <w:endnote w:id="70">
    <w:p w14:paraId="5CF846B0" w14:textId="77777777" w:rsidR="00B15F34" w:rsidRPr="006D3C41" w:rsidRDefault="00B15F34" w:rsidP="00D04F56">
      <w:pPr>
        <w:pStyle w:val="EndnoteText"/>
        <w:jc w:val="left"/>
        <w:rPr>
          <w:rFonts w:cstheme="minorHAnsi"/>
          <w:szCs w:val="22"/>
        </w:rPr>
      </w:pPr>
      <w:r w:rsidRPr="006D3C41">
        <w:rPr>
          <w:rStyle w:val="EndnoteReference"/>
          <w:rFonts w:cstheme="minorHAnsi"/>
          <w:szCs w:val="22"/>
        </w:rPr>
        <w:endnoteRef/>
      </w:r>
      <w:r w:rsidRPr="006D3C41">
        <w:rPr>
          <w:rFonts w:cstheme="minorHAnsi"/>
          <w:szCs w:val="22"/>
        </w:rPr>
        <w:t xml:space="preserve"> Saito I, Ito K, Saruta T. Hypothyroidism as a cause of hypertension. Hypertension. 1983;5(1):112-115. doi:10.1161/01.hyp.5.1.112</w:t>
      </w:r>
    </w:p>
  </w:endnote>
  <w:endnote w:id="71">
    <w:p w14:paraId="3BBCB7A9" w14:textId="77777777" w:rsidR="00B15F34" w:rsidRPr="006D3C41" w:rsidRDefault="00B15F34" w:rsidP="00D04F56">
      <w:pPr>
        <w:pStyle w:val="EndnoteText"/>
        <w:jc w:val="left"/>
        <w:rPr>
          <w:rFonts w:cstheme="minorHAnsi"/>
          <w:szCs w:val="22"/>
        </w:rPr>
      </w:pPr>
      <w:r w:rsidRPr="006D3C41">
        <w:rPr>
          <w:rStyle w:val="EndnoteReference"/>
          <w:rFonts w:cstheme="minorHAnsi"/>
          <w:szCs w:val="22"/>
        </w:rPr>
        <w:endnoteRef/>
      </w:r>
      <w:r w:rsidRPr="006D3C41">
        <w:rPr>
          <w:rFonts w:cstheme="minorHAnsi"/>
          <w:szCs w:val="22"/>
        </w:rPr>
        <w:t xml:space="preserve"> Stabouli S, Papakatsika S, Kotsis V. Hypothyroidism and hypertension. Expert Rev Cardiovasc Ther. 2010;8(11):1559-1565. doi:10.1586/erc.10.141</w:t>
      </w:r>
    </w:p>
  </w:endnote>
  <w:endnote w:id="72">
    <w:p w14:paraId="51DEB38C" w14:textId="77777777" w:rsidR="00B15F34" w:rsidRPr="006D3C41" w:rsidRDefault="00B15F34" w:rsidP="00D04F56">
      <w:pPr>
        <w:pStyle w:val="EndnoteText"/>
        <w:jc w:val="left"/>
        <w:rPr>
          <w:rFonts w:cstheme="minorHAnsi"/>
          <w:szCs w:val="22"/>
        </w:rPr>
      </w:pPr>
      <w:r w:rsidRPr="006D3C41">
        <w:rPr>
          <w:rStyle w:val="EndnoteReference"/>
          <w:rFonts w:cstheme="minorHAnsi"/>
          <w:szCs w:val="22"/>
        </w:rPr>
        <w:endnoteRef/>
      </w:r>
      <w:r w:rsidRPr="006D3C41">
        <w:rPr>
          <w:rFonts w:cstheme="minorHAnsi"/>
          <w:szCs w:val="22"/>
        </w:rPr>
        <w:t xml:space="preserve"> Streeten DH, Anderson GH Jr, Howland T, Chiang R, Smulyan H. Effects of thyroid function on blood pressure. Recognition of hypothyroid hypertension. Hypertension. 1988;11(1):78-83. doi:10.1161/01.hyp.11.1.78</w:t>
      </w:r>
    </w:p>
  </w:endnote>
  <w:endnote w:id="73">
    <w:p w14:paraId="679AE3F0" w14:textId="77777777" w:rsidR="00B15F34" w:rsidRPr="006D3C41" w:rsidRDefault="00B15F34" w:rsidP="00D04F56">
      <w:pPr>
        <w:pStyle w:val="EndnoteText"/>
        <w:jc w:val="left"/>
        <w:rPr>
          <w:rFonts w:cstheme="minorHAnsi"/>
          <w:szCs w:val="22"/>
        </w:rPr>
      </w:pPr>
      <w:r w:rsidRPr="006D3C41">
        <w:rPr>
          <w:rStyle w:val="EndnoteReference"/>
          <w:rFonts w:cstheme="minorHAnsi"/>
          <w:szCs w:val="22"/>
        </w:rPr>
        <w:endnoteRef/>
      </w:r>
      <w:r w:rsidRPr="006D3C41">
        <w:rPr>
          <w:rFonts w:cstheme="minorHAnsi"/>
          <w:szCs w:val="22"/>
        </w:rPr>
        <w:t xml:space="preserve"> Zhang J, Huang C, Meng Z, Fan Y, Yang Q, Zhang W, Gao Y, Yang Z, Cai H, Bian B, Li Y, Yu X, Du X, Xu S, Nie J, Liu M, Sun J, Zhang Q, Gao Y, Song K, Wang X, Zhao L. Gender-Specific Differences on the Association of Hypertension with Subclinical Thyroid Dysfunction. Int J Endocrinol. 2019 Dec 30;2019:6053068. doi: 10.1155/2019/6053068. PMID: 32082373; PMCID: PMC7012202.</w:t>
      </w:r>
    </w:p>
  </w:endnote>
  <w:endnote w:id="74">
    <w:p w14:paraId="3C276579" w14:textId="77777777" w:rsidR="00B15F34" w:rsidRPr="006D3C41" w:rsidRDefault="00B15F34" w:rsidP="00D04F56">
      <w:pPr>
        <w:pStyle w:val="EndnoteText"/>
        <w:jc w:val="left"/>
        <w:rPr>
          <w:rFonts w:cstheme="minorHAnsi"/>
          <w:szCs w:val="22"/>
        </w:rPr>
      </w:pPr>
      <w:r w:rsidRPr="006D3C41">
        <w:rPr>
          <w:rStyle w:val="EndnoteReference"/>
          <w:rFonts w:cstheme="minorHAnsi"/>
          <w:szCs w:val="22"/>
        </w:rPr>
        <w:endnoteRef/>
      </w:r>
      <w:r w:rsidRPr="006D3C41">
        <w:rPr>
          <w:rFonts w:cstheme="minorHAnsi"/>
          <w:szCs w:val="22"/>
        </w:rPr>
        <w:t xml:space="preserve"> Kim J, Prasitlumkum N, Randhawa S, Banerjee D. Association between Subclinical Hypothyroidism and Incident Hypertension in Women: A Systematic Review and Meta-Analysis. J Clin Med. 2021 Jul 28;10(15):3318. doi: 10.3390/jcm10153318. PMID: 34362102; PMCID: PMC8347798.</w:t>
      </w:r>
    </w:p>
  </w:endnote>
  <w:endnote w:id="75">
    <w:p w14:paraId="31206866" w14:textId="6C583A66" w:rsidR="004E00BC" w:rsidRPr="006D3C41" w:rsidRDefault="004E00BC" w:rsidP="00D04F56">
      <w:pPr>
        <w:pStyle w:val="EndnoteText"/>
        <w:jc w:val="left"/>
        <w:rPr>
          <w:rFonts w:cstheme="minorHAnsi"/>
          <w:szCs w:val="22"/>
        </w:rPr>
      </w:pPr>
      <w:r w:rsidRPr="006D3C41">
        <w:rPr>
          <w:rStyle w:val="EndnoteReference"/>
          <w:rFonts w:cstheme="minorHAnsi"/>
          <w:szCs w:val="22"/>
        </w:rPr>
        <w:endnoteRef/>
      </w:r>
      <w:r w:rsidRPr="006D3C41">
        <w:rPr>
          <w:rFonts w:cstheme="minorHAnsi"/>
          <w:szCs w:val="22"/>
        </w:rPr>
        <w:t xml:space="preserve"> Anderson JL, Jacobs V, May HT, et al. Free thyroxine within the normal reference range predicts risk of atrial fibrillation. J Cardiovasc Electrophysiol. 2020;31(1):18-29. doi:10.1111/jce.14183</w:t>
      </w:r>
    </w:p>
  </w:endnote>
  <w:endnote w:id="76">
    <w:p w14:paraId="36C35239" w14:textId="43DC4471" w:rsidR="004E00BC" w:rsidRPr="006D3C41" w:rsidRDefault="004E00BC" w:rsidP="00D04F56">
      <w:pPr>
        <w:pStyle w:val="EndnoteText"/>
        <w:jc w:val="left"/>
        <w:rPr>
          <w:rFonts w:cstheme="minorHAnsi"/>
          <w:szCs w:val="22"/>
        </w:rPr>
      </w:pPr>
      <w:r w:rsidRPr="006D3C41">
        <w:rPr>
          <w:rStyle w:val="EndnoteReference"/>
          <w:rFonts w:cstheme="minorHAnsi"/>
          <w:szCs w:val="22"/>
        </w:rPr>
        <w:endnoteRef/>
      </w:r>
      <w:r w:rsidRPr="006D3C41">
        <w:rPr>
          <w:rFonts w:cstheme="minorHAnsi"/>
          <w:szCs w:val="22"/>
        </w:rPr>
        <w:t xml:space="preserve"> Danzi S, Klein I. Thyroid hormone and blood pressure regulation. Curr Hypertens Rep. 2003;5(6):513-520. doi:10.1007/s11906-003-0060-7</w:t>
      </w:r>
    </w:p>
  </w:endnote>
  <w:endnote w:id="77">
    <w:p w14:paraId="24837A04" w14:textId="34626523" w:rsidR="006179F6" w:rsidRPr="006D3C41" w:rsidRDefault="006179F6" w:rsidP="00D04F56">
      <w:pPr>
        <w:pStyle w:val="EndnoteText"/>
        <w:jc w:val="left"/>
        <w:rPr>
          <w:rFonts w:cstheme="minorHAnsi"/>
          <w:szCs w:val="22"/>
        </w:rPr>
      </w:pPr>
      <w:r w:rsidRPr="006D3C41">
        <w:rPr>
          <w:rStyle w:val="EndnoteReference"/>
          <w:rFonts w:cstheme="minorHAnsi"/>
          <w:szCs w:val="22"/>
        </w:rPr>
        <w:endnoteRef/>
      </w:r>
      <w:r w:rsidRPr="006D3C41">
        <w:rPr>
          <w:rFonts w:cstheme="minorHAnsi"/>
          <w:szCs w:val="22"/>
        </w:rPr>
        <w:t xml:space="preserve"> Fommei E, Iervasi G. The role of thyroid hormone in blood pressure homeostasis: evidence from short-term hypothyroidism in humans. J Clin Endocrinol Metab. 2002;87(5):1996-2000. doi:10.1210/jcem.87.5.8464</w:t>
      </w:r>
    </w:p>
  </w:endnote>
  <w:endnote w:id="78">
    <w:p w14:paraId="3286CC84" w14:textId="16507E52" w:rsidR="006179F6" w:rsidRPr="006D3C41" w:rsidRDefault="006179F6" w:rsidP="00D04F56">
      <w:pPr>
        <w:pStyle w:val="EndnoteText"/>
        <w:jc w:val="left"/>
        <w:rPr>
          <w:rFonts w:cstheme="minorHAnsi"/>
          <w:szCs w:val="22"/>
        </w:rPr>
      </w:pPr>
      <w:r w:rsidRPr="006D3C41">
        <w:rPr>
          <w:rStyle w:val="EndnoteReference"/>
          <w:rFonts w:cstheme="minorHAnsi"/>
          <w:szCs w:val="22"/>
        </w:rPr>
        <w:endnoteRef/>
      </w:r>
      <w:r w:rsidRPr="006D3C41">
        <w:rPr>
          <w:rFonts w:cstheme="minorHAnsi"/>
          <w:szCs w:val="22"/>
        </w:rPr>
        <w:t xml:space="preserve"> Ferrannini E, Iervasi G, Cobb J, Ndreu R, Nannipieri M. Insulin resistance and normal thyroid hormone levels: prospective study and metabolomic analysis. Am J Physiol Endocrinol Metab. 2017;312:E429–EE36.</w:t>
      </w:r>
    </w:p>
  </w:endnote>
  <w:endnote w:id="79">
    <w:p w14:paraId="059A4AD7" w14:textId="521E11A3" w:rsidR="00146EFE" w:rsidRPr="006D3C41" w:rsidRDefault="00146EFE" w:rsidP="00D04F56">
      <w:pPr>
        <w:pStyle w:val="EndnoteText"/>
        <w:jc w:val="left"/>
        <w:rPr>
          <w:rFonts w:cstheme="minorHAnsi"/>
          <w:szCs w:val="22"/>
        </w:rPr>
      </w:pPr>
      <w:r w:rsidRPr="006D3C41">
        <w:rPr>
          <w:rStyle w:val="EndnoteReference"/>
          <w:rFonts w:cstheme="minorHAnsi"/>
          <w:szCs w:val="22"/>
        </w:rPr>
        <w:endnoteRef/>
      </w:r>
      <w:r w:rsidRPr="006D3C41">
        <w:rPr>
          <w:rFonts w:cstheme="minorHAnsi"/>
          <w:szCs w:val="22"/>
        </w:rPr>
        <w:t xml:space="preserve"> Taddei S, Caraccio N, Virdis A, et al. Impaired endothelium-dependent vasodilatation in subclinical hypothyroidism: beneficial effect of levothyroxine therapy. J Clin Endocrinol Metab. 2003;88(8):3731-3737. doi:10.1210/jc.2003-030039</w:t>
      </w:r>
    </w:p>
  </w:endnote>
  <w:endnote w:id="80">
    <w:p w14:paraId="6D6AF04B" w14:textId="418A1B33" w:rsidR="00E75748" w:rsidRPr="006D3C41" w:rsidRDefault="00E75748" w:rsidP="00D04F56">
      <w:pPr>
        <w:pStyle w:val="EndnoteText"/>
        <w:jc w:val="left"/>
        <w:rPr>
          <w:rFonts w:cstheme="minorHAnsi"/>
          <w:szCs w:val="22"/>
        </w:rPr>
      </w:pPr>
      <w:r w:rsidRPr="006D3C41">
        <w:rPr>
          <w:rStyle w:val="EndnoteReference"/>
          <w:rFonts w:cstheme="minorHAnsi"/>
          <w:szCs w:val="22"/>
        </w:rPr>
        <w:endnoteRef/>
      </w:r>
      <w:r w:rsidRPr="006D3C41">
        <w:rPr>
          <w:rFonts w:cstheme="minorHAnsi"/>
          <w:szCs w:val="22"/>
        </w:rPr>
        <w:t xml:space="preserve"> </w:t>
      </w:r>
      <w:r w:rsidRPr="006D3C41">
        <w:rPr>
          <w:rFonts w:cstheme="minorHAnsi"/>
          <w:color w:val="212121"/>
          <w:szCs w:val="22"/>
          <w:shd w:val="clear" w:color="auto" w:fill="FFFFFF"/>
        </w:rPr>
        <w:t>Gumieniak O, Perlstein TS, Williams JS, Hopkins PN, Brown NJ, Raby BA, Williams GH. Ala92 type 2 deiodinase allele increases risk for the development of hypertension. Hypertension. 2007 Mar;49(3):461-6. doi: 10.1161/01.HYP.0000256295.72185.fd. Epub 2007 Jan 15. PMID: 17224473.</w:t>
      </w:r>
    </w:p>
  </w:endnote>
  <w:endnote w:id="81">
    <w:p w14:paraId="78E0D23F" w14:textId="72F075F4" w:rsidR="00482760" w:rsidRPr="006D3C41" w:rsidRDefault="00482760" w:rsidP="00D04F56">
      <w:pPr>
        <w:pStyle w:val="EndnoteText"/>
        <w:jc w:val="left"/>
        <w:rPr>
          <w:rFonts w:cstheme="minorHAnsi"/>
          <w:szCs w:val="22"/>
        </w:rPr>
      </w:pPr>
      <w:r w:rsidRPr="006D3C41">
        <w:rPr>
          <w:rStyle w:val="EndnoteReference"/>
          <w:rFonts w:cstheme="minorHAnsi"/>
          <w:szCs w:val="22"/>
        </w:rPr>
        <w:endnoteRef/>
      </w:r>
      <w:r w:rsidRPr="006D3C41">
        <w:rPr>
          <w:rFonts w:cstheme="minorHAnsi"/>
          <w:szCs w:val="22"/>
        </w:rPr>
        <w:t xml:space="preserve"> Parra-Montes de Oca MA, Sotelo-Rivera I, Gutiérrez-Mata A, Charli JL, Joseph-Bravo P. Sex Dimorphic Responses of the Hypothalamus-Pituitary-Thyroid Axis to Energy Demands and Stress. Front Endocrinol (Lausanne). 2021 Oct 20;12:746924. doi: 10.3389/fendo.2021.746924. PMID: 34745011; PMCID: PMC8565401.</w:t>
      </w:r>
    </w:p>
  </w:endnote>
  <w:endnote w:id="82">
    <w:p w14:paraId="4832F7BB" w14:textId="77777777" w:rsidR="00486EDD" w:rsidRPr="006D3C41" w:rsidRDefault="00486EDD" w:rsidP="00ED3148">
      <w:pPr>
        <w:pStyle w:val="EndnoteText"/>
        <w:jc w:val="left"/>
        <w:rPr>
          <w:rFonts w:cstheme="minorHAnsi"/>
          <w:szCs w:val="22"/>
        </w:rPr>
      </w:pPr>
      <w:r w:rsidRPr="006D3C41">
        <w:rPr>
          <w:rStyle w:val="EndnoteReference"/>
          <w:rFonts w:cstheme="minorHAnsi"/>
          <w:szCs w:val="22"/>
        </w:rPr>
        <w:endnoteRef/>
      </w:r>
      <w:r w:rsidRPr="006D3C41">
        <w:rPr>
          <w:rFonts w:cstheme="minorHAnsi"/>
          <w:szCs w:val="22"/>
        </w:rPr>
        <w:t xml:space="preserve"> Goldberg M, Silbergeld E. On multiple comparisons and on the design and interpretation of epidemiological studies of many associations. Environ Res. 2011;111(8):1007-1009. doi:10.1016/j.envres.2011.08.010</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599440344"/>
      <w:docPartObj>
        <w:docPartGallery w:val="Page Numbers (Bottom of Page)"/>
        <w:docPartUnique/>
      </w:docPartObj>
    </w:sdtPr>
    <w:sdtEndPr>
      <w:rPr>
        <w:noProof/>
      </w:rPr>
    </w:sdtEndPr>
    <w:sdtContent>
      <w:p w14:paraId="3E15A5E0" w14:textId="7B986007" w:rsidR="00D83798" w:rsidRPr="0012771F" w:rsidRDefault="00D83798">
        <w:pPr>
          <w:pStyle w:val="Footer"/>
          <w:rPr>
            <w:sz w:val="20"/>
            <w:szCs w:val="20"/>
          </w:rPr>
        </w:pPr>
        <w:r w:rsidRPr="0012771F">
          <w:rPr>
            <w:sz w:val="20"/>
            <w:szCs w:val="20"/>
          </w:rPr>
          <w:fldChar w:fldCharType="begin"/>
        </w:r>
        <w:r w:rsidRPr="0012771F">
          <w:rPr>
            <w:sz w:val="20"/>
            <w:szCs w:val="20"/>
          </w:rPr>
          <w:instrText xml:space="preserve"> PAGE   \* MERGEFORMAT </w:instrText>
        </w:r>
        <w:r w:rsidRPr="0012771F">
          <w:rPr>
            <w:sz w:val="20"/>
            <w:szCs w:val="20"/>
          </w:rPr>
          <w:fldChar w:fldCharType="separate"/>
        </w:r>
        <w:r w:rsidRPr="0012771F">
          <w:rPr>
            <w:noProof/>
            <w:sz w:val="20"/>
            <w:szCs w:val="20"/>
          </w:rPr>
          <w:t>2</w:t>
        </w:r>
        <w:r w:rsidRPr="0012771F">
          <w:rPr>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3EDAA" w14:textId="77777777" w:rsidR="00BD5705" w:rsidRDefault="00BD5705" w:rsidP="000207A5">
      <w:pPr>
        <w:spacing w:after="0" w:line="240" w:lineRule="auto"/>
      </w:pPr>
      <w:r>
        <w:separator/>
      </w:r>
    </w:p>
  </w:footnote>
  <w:footnote w:type="continuationSeparator" w:id="0">
    <w:p w14:paraId="5BC0DF35" w14:textId="77777777" w:rsidR="00BD5705" w:rsidRDefault="00BD5705" w:rsidP="000207A5">
      <w:pPr>
        <w:spacing w:after="0" w:line="240" w:lineRule="auto"/>
      </w:pPr>
      <w:r>
        <w:continuationSeparator/>
      </w:r>
    </w:p>
  </w:footnote>
  <w:footnote w:type="continuationNotice" w:id="1">
    <w:p w14:paraId="56F7CA38" w14:textId="77777777" w:rsidR="00BD5705" w:rsidRDefault="00BD570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CB09B" w14:textId="77777777" w:rsidR="00ED3148" w:rsidRDefault="00ED31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573B23"/>
    <w:multiLevelType w:val="hybridMultilevel"/>
    <w:tmpl w:val="085E66F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9949152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7A5"/>
    <w:rsid w:val="0000059C"/>
    <w:rsid w:val="00000AA8"/>
    <w:rsid w:val="00004A3F"/>
    <w:rsid w:val="00004EEF"/>
    <w:rsid w:val="00005508"/>
    <w:rsid w:val="00005F50"/>
    <w:rsid w:val="00006CB6"/>
    <w:rsid w:val="00007031"/>
    <w:rsid w:val="00007575"/>
    <w:rsid w:val="00010041"/>
    <w:rsid w:val="000113AE"/>
    <w:rsid w:val="00012455"/>
    <w:rsid w:val="0001246B"/>
    <w:rsid w:val="00012A6B"/>
    <w:rsid w:val="00012D8E"/>
    <w:rsid w:val="00013436"/>
    <w:rsid w:val="00013896"/>
    <w:rsid w:val="00014056"/>
    <w:rsid w:val="0001491F"/>
    <w:rsid w:val="00014C82"/>
    <w:rsid w:val="000153A6"/>
    <w:rsid w:val="00015C5D"/>
    <w:rsid w:val="00015D71"/>
    <w:rsid w:val="000166C8"/>
    <w:rsid w:val="00016E11"/>
    <w:rsid w:val="00017706"/>
    <w:rsid w:val="00020151"/>
    <w:rsid w:val="000207A5"/>
    <w:rsid w:val="0002082C"/>
    <w:rsid w:val="0002190F"/>
    <w:rsid w:val="00022746"/>
    <w:rsid w:val="000227D9"/>
    <w:rsid w:val="00024E9B"/>
    <w:rsid w:val="00025857"/>
    <w:rsid w:val="00026016"/>
    <w:rsid w:val="00026060"/>
    <w:rsid w:val="00026104"/>
    <w:rsid w:val="00026E2B"/>
    <w:rsid w:val="00026EB0"/>
    <w:rsid w:val="0002704B"/>
    <w:rsid w:val="000305B6"/>
    <w:rsid w:val="00030A19"/>
    <w:rsid w:val="00030A96"/>
    <w:rsid w:val="00030B21"/>
    <w:rsid w:val="00030E26"/>
    <w:rsid w:val="00031680"/>
    <w:rsid w:val="00032007"/>
    <w:rsid w:val="0003212F"/>
    <w:rsid w:val="000323FE"/>
    <w:rsid w:val="00032AD7"/>
    <w:rsid w:val="00032E33"/>
    <w:rsid w:val="0003460F"/>
    <w:rsid w:val="00034B7A"/>
    <w:rsid w:val="00035772"/>
    <w:rsid w:val="0003617A"/>
    <w:rsid w:val="0003692C"/>
    <w:rsid w:val="00036D34"/>
    <w:rsid w:val="000405B7"/>
    <w:rsid w:val="00040E2B"/>
    <w:rsid w:val="00040F43"/>
    <w:rsid w:val="000417F4"/>
    <w:rsid w:val="000419BA"/>
    <w:rsid w:val="00042067"/>
    <w:rsid w:val="000425BC"/>
    <w:rsid w:val="0004275E"/>
    <w:rsid w:val="00042C1D"/>
    <w:rsid w:val="00044196"/>
    <w:rsid w:val="000442B2"/>
    <w:rsid w:val="000442FA"/>
    <w:rsid w:val="00044A43"/>
    <w:rsid w:val="00044A6A"/>
    <w:rsid w:val="00044B29"/>
    <w:rsid w:val="000457E1"/>
    <w:rsid w:val="00045BF4"/>
    <w:rsid w:val="000462BC"/>
    <w:rsid w:val="00046886"/>
    <w:rsid w:val="00046C5F"/>
    <w:rsid w:val="00046C7B"/>
    <w:rsid w:val="00047F3F"/>
    <w:rsid w:val="0005114E"/>
    <w:rsid w:val="00051379"/>
    <w:rsid w:val="000519E1"/>
    <w:rsid w:val="000520BE"/>
    <w:rsid w:val="000534D8"/>
    <w:rsid w:val="00053674"/>
    <w:rsid w:val="00054262"/>
    <w:rsid w:val="0005470A"/>
    <w:rsid w:val="00054B52"/>
    <w:rsid w:val="00055D5D"/>
    <w:rsid w:val="000568D7"/>
    <w:rsid w:val="00056B6B"/>
    <w:rsid w:val="00056E90"/>
    <w:rsid w:val="00057D46"/>
    <w:rsid w:val="00057F82"/>
    <w:rsid w:val="00057FC7"/>
    <w:rsid w:val="000602FE"/>
    <w:rsid w:val="00060386"/>
    <w:rsid w:val="00060EFC"/>
    <w:rsid w:val="000615E7"/>
    <w:rsid w:val="00061B3F"/>
    <w:rsid w:val="00061DE8"/>
    <w:rsid w:val="000621A6"/>
    <w:rsid w:val="00062CF0"/>
    <w:rsid w:val="000632D7"/>
    <w:rsid w:val="00063715"/>
    <w:rsid w:val="0006423B"/>
    <w:rsid w:val="00064C6D"/>
    <w:rsid w:val="00064F8E"/>
    <w:rsid w:val="0006542A"/>
    <w:rsid w:val="00065EAD"/>
    <w:rsid w:val="000661FE"/>
    <w:rsid w:val="00066228"/>
    <w:rsid w:val="000705E7"/>
    <w:rsid w:val="0007063A"/>
    <w:rsid w:val="00070F68"/>
    <w:rsid w:val="0007175D"/>
    <w:rsid w:val="0007189E"/>
    <w:rsid w:val="00072281"/>
    <w:rsid w:val="00072521"/>
    <w:rsid w:val="00073EDB"/>
    <w:rsid w:val="000742AA"/>
    <w:rsid w:val="00074B9C"/>
    <w:rsid w:val="00075DA7"/>
    <w:rsid w:val="0007601E"/>
    <w:rsid w:val="000764A2"/>
    <w:rsid w:val="00076CDD"/>
    <w:rsid w:val="00076DD2"/>
    <w:rsid w:val="00076E48"/>
    <w:rsid w:val="0007742B"/>
    <w:rsid w:val="00077B88"/>
    <w:rsid w:val="00077FB6"/>
    <w:rsid w:val="00080FB9"/>
    <w:rsid w:val="000812CF"/>
    <w:rsid w:val="00081FC1"/>
    <w:rsid w:val="00082FC9"/>
    <w:rsid w:val="0008399B"/>
    <w:rsid w:val="00083BF4"/>
    <w:rsid w:val="00083D1F"/>
    <w:rsid w:val="0008445D"/>
    <w:rsid w:val="000847F7"/>
    <w:rsid w:val="000869BD"/>
    <w:rsid w:val="000909A5"/>
    <w:rsid w:val="00090ED7"/>
    <w:rsid w:val="00091805"/>
    <w:rsid w:val="000943B4"/>
    <w:rsid w:val="000946D8"/>
    <w:rsid w:val="00094AFD"/>
    <w:rsid w:val="00094D35"/>
    <w:rsid w:val="00094EA2"/>
    <w:rsid w:val="000956BB"/>
    <w:rsid w:val="00095FE0"/>
    <w:rsid w:val="0009624A"/>
    <w:rsid w:val="000967B3"/>
    <w:rsid w:val="00096954"/>
    <w:rsid w:val="00097631"/>
    <w:rsid w:val="00097640"/>
    <w:rsid w:val="000A0358"/>
    <w:rsid w:val="000A0C03"/>
    <w:rsid w:val="000A1044"/>
    <w:rsid w:val="000A25A9"/>
    <w:rsid w:val="000A2A0A"/>
    <w:rsid w:val="000A3337"/>
    <w:rsid w:val="000A46BF"/>
    <w:rsid w:val="000A4AF2"/>
    <w:rsid w:val="000A55F3"/>
    <w:rsid w:val="000A5DEC"/>
    <w:rsid w:val="000A6852"/>
    <w:rsid w:val="000A6A3F"/>
    <w:rsid w:val="000A6E47"/>
    <w:rsid w:val="000A7064"/>
    <w:rsid w:val="000A74B5"/>
    <w:rsid w:val="000A7933"/>
    <w:rsid w:val="000A7E00"/>
    <w:rsid w:val="000B07D1"/>
    <w:rsid w:val="000B1435"/>
    <w:rsid w:val="000B1C6A"/>
    <w:rsid w:val="000B2444"/>
    <w:rsid w:val="000B26E0"/>
    <w:rsid w:val="000B3662"/>
    <w:rsid w:val="000B3B22"/>
    <w:rsid w:val="000B409E"/>
    <w:rsid w:val="000B41BA"/>
    <w:rsid w:val="000B5383"/>
    <w:rsid w:val="000B6032"/>
    <w:rsid w:val="000B62D6"/>
    <w:rsid w:val="000B790F"/>
    <w:rsid w:val="000B7976"/>
    <w:rsid w:val="000B7B2D"/>
    <w:rsid w:val="000B7E91"/>
    <w:rsid w:val="000C03E1"/>
    <w:rsid w:val="000C06A6"/>
    <w:rsid w:val="000C06DF"/>
    <w:rsid w:val="000C10AD"/>
    <w:rsid w:val="000C16F6"/>
    <w:rsid w:val="000C1A60"/>
    <w:rsid w:val="000C1C84"/>
    <w:rsid w:val="000C2802"/>
    <w:rsid w:val="000C28F8"/>
    <w:rsid w:val="000C2AB9"/>
    <w:rsid w:val="000C3142"/>
    <w:rsid w:val="000C468E"/>
    <w:rsid w:val="000C4FEB"/>
    <w:rsid w:val="000C566C"/>
    <w:rsid w:val="000C58E5"/>
    <w:rsid w:val="000C5B16"/>
    <w:rsid w:val="000C5F47"/>
    <w:rsid w:val="000C5F84"/>
    <w:rsid w:val="000C61F2"/>
    <w:rsid w:val="000C6939"/>
    <w:rsid w:val="000C7534"/>
    <w:rsid w:val="000C780B"/>
    <w:rsid w:val="000D06BB"/>
    <w:rsid w:val="000D0BFD"/>
    <w:rsid w:val="000D18B2"/>
    <w:rsid w:val="000D2143"/>
    <w:rsid w:val="000D3267"/>
    <w:rsid w:val="000D3870"/>
    <w:rsid w:val="000D3D38"/>
    <w:rsid w:val="000D47E9"/>
    <w:rsid w:val="000D576B"/>
    <w:rsid w:val="000D5880"/>
    <w:rsid w:val="000D5973"/>
    <w:rsid w:val="000D5983"/>
    <w:rsid w:val="000D63C1"/>
    <w:rsid w:val="000D66CD"/>
    <w:rsid w:val="000D6E60"/>
    <w:rsid w:val="000D720D"/>
    <w:rsid w:val="000E0FA7"/>
    <w:rsid w:val="000E126C"/>
    <w:rsid w:val="000E1DDE"/>
    <w:rsid w:val="000E285F"/>
    <w:rsid w:val="000E2C70"/>
    <w:rsid w:val="000E399C"/>
    <w:rsid w:val="000E4153"/>
    <w:rsid w:val="000E45EB"/>
    <w:rsid w:val="000E4703"/>
    <w:rsid w:val="000E4C2D"/>
    <w:rsid w:val="000E4D4F"/>
    <w:rsid w:val="000E54E2"/>
    <w:rsid w:val="000E59C1"/>
    <w:rsid w:val="000E5A13"/>
    <w:rsid w:val="000E6ADB"/>
    <w:rsid w:val="000E6E55"/>
    <w:rsid w:val="000E73BE"/>
    <w:rsid w:val="000E790A"/>
    <w:rsid w:val="000F0086"/>
    <w:rsid w:val="000F00A4"/>
    <w:rsid w:val="000F012D"/>
    <w:rsid w:val="000F14E3"/>
    <w:rsid w:val="000F1508"/>
    <w:rsid w:val="000F1F26"/>
    <w:rsid w:val="000F2422"/>
    <w:rsid w:val="000F28DC"/>
    <w:rsid w:val="000F2BAC"/>
    <w:rsid w:val="000F2ED0"/>
    <w:rsid w:val="000F2F4D"/>
    <w:rsid w:val="000F32C6"/>
    <w:rsid w:val="000F3AFD"/>
    <w:rsid w:val="000F4069"/>
    <w:rsid w:val="000F435F"/>
    <w:rsid w:val="000F4398"/>
    <w:rsid w:val="000F520D"/>
    <w:rsid w:val="000F530E"/>
    <w:rsid w:val="000F5E6D"/>
    <w:rsid w:val="000F6029"/>
    <w:rsid w:val="000F628F"/>
    <w:rsid w:val="000F6C53"/>
    <w:rsid w:val="0010072A"/>
    <w:rsid w:val="00100E3A"/>
    <w:rsid w:val="001019E6"/>
    <w:rsid w:val="00101D9B"/>
    <w:rsid w:val="001035D0"/>
    <w:rsid w:val="001038BD"/>
    <w:rsid w:val="001043E2"/>
    <w:rsid w:val="001046A6"/>
    <w:rsid w:val="00104EC5"/>
    <w:rsid w:val="0010544D"/>
    <w:rsid w:val="00105B48"/>
    <w:rsid w:val="00106818"/>
    <w:rsid w:val="00106A5D"/>
    <w:rsid w:val="00107176"/>
    <w:rsid w:val="00107682"/>
    <w:rsid w:val="001078BC"/>
    <w:rsid w:val="00107DAA"/>
    <w:rsid w:val="001115FF"/>
    <w:rsid w:val="00111C33"/>
    <w:rsid w:val="00112251"/>
    <w:rsid w:val="0011246A"/>
    <w:rsid w:val="001126DA"/>
    <w:rsid w:val="001145BF"/>
    <w:rsid w:val="0011476C"/>
    <w:rsid w:val="00114D54"/>
    <w:rsid w:val="0011555B"/>
    <w:rsid w:val="00116149"/>
    <w:rsid w:val="00116D02"/>
    <w:rsid w:val="00116D6C"/>
    <w:rsid w:val="0011762C"/>
    <w:rsid w:val="00121707"/>
    <w:rsid w:val="001218F6"/>
    <w:rsid w:val="001221A2"/>
    <w:rsid w:val="00122695"/>
    <w:rsid w:val="00122B46"/>
    <w:rsid w:val="0012485B"/>
    <w:rsid w:val="001257CC"/>
    <w:rsid w:val="001259B8"/>
    <w:rsid w:val="0012638D"/>
    <w:rsid w:val="00126612"/>
    <w:rsid w:val="0012707B"/>
    <w:rsid w:val="00127176"/>
    <w:rsid w:val="001274FA"/>
    <w:rsid w:val="0012771F"/>
    <w:rsid w:val="00130156"/>
    <w:rsid w:val="00130B33"/>
    <w:rsid w:val="00130C0E"/>
    <w:rsid w:val="00131976"/>
    <w:rsid w:val="00131CF0"/>
    <w:rsid w:val="00132B3F"/>
    <w:rsid w:val="00133594"/>
    <w:rsid w:val="00133DD7"/>
    <w:rsid w:val="00133DFF"/>
    <w:rsid w:val="0013531B"/>
    <w:rsid w:val="001366EB"/>
    <w:rsid w:val="0013733D"/>
    <w:rsid w:val="0014052C"/>
    <w:rsid w:val="00141189"/>
    <w:rsid w:val="0014136E"/>
    <w:rsid w:val="001414EB"/>
    <w:rsid w:val="00141523"/>
    <w:rsid w:val="0014188C"/>
    <w:rsid w:val="00141900"/>
    <w:rsid w:val="00141AF8"/>
    <w:rsid w:val="00141DAD"/>
    <w:rsid w:val="001420C2"/>
    <w:rsid w:val="00142B4E"/>
    <w:rsid w:val="00142E4D"/>
    <w:rsid w:val="00143168"/>
    <w:rsid w:val="0014336E"/>
    <w:rsid w:val="00143801"/>
    <w:rsid w:val="001450FC"/>
    <w:rsid w:val="00145E75"/>
    <w:rsid w:val="00146C81"/>
    <w:rsid w:val="00146D44"/>
    <w:rsid w:val="00146EFE"/>
    <w:rsid w:val="00147F04"/>
    <w:rsid w:val="00150AA2"/>
    <w:rsid w:val="0015124A"/>
    <w:rsid w:val="001517E2"/>
    <w:rsid w:val="00152034"/>
    <w:rsid w:val="00152613"/>
    <w:rsid w:val="0015277C"/>
    <w:rsid w:val="00152CEE"/>
    <w:rsid w:val="00153573"/>
    <w:rsid w:val="00153935"/>
    <w:rsid w:val="00154292"/>
    <w:rsid w:val="001552DC"/>
    <w:rsid w:val="00155862"/>
    <w:rsid w:val="00156B96"/>
    <w:rsid w:val="0015718A"/>
    <w:rsid w:val="0015733B"/>
    <w:rsid w:val="001575A0"/>
    <w:rsid w:val="00157B41"/>
    <w:rsid w:val="0016029E"/>
    <w:rsid w:val="00160A77"/>
    <w:rsid w:val="00160B5D"/>
    <w:rsid w:val="00161999"/>
    <w:rsid w:val="00162B17"/>
    <w:rsid w:val="001633B7"/>
    <w:rsid w:val="00163E78"/>
    <w:rsid w:val="00163E9E"/>
    <w:rsid w:val="001641F7"/>
    <w:rsid w:val="00164E0B"/>
    <w:rsid w:val="00165360"/>
    <w:rsid w:val="00166403"/>
    <w:rsid w:val="00166BD8"/>
    <w:rsid w:val="00167551"/>
    <w:rsid w:val="00167AC3"/>
    <w:rsid w:val="00167F19"/>
    <w:rsid w:val="001700FE"/>
    <w:rsid w:val="001702B1"/>
    <w:rsid w:val="0017036C"/>
    <w:rsid w:val="00171826"/>
    <w:rsid w:val="0017269D"/>
    <w:rsid w:val="00173FF0"/>
    <w:rsid w:val="001744D7"/>
    <w:rsid w:val="00175359"/>
    <w:rsid w:val="001755F6"/>
    <w:rsid w:val="001759CA"/>
    <w:rsid w:val="00175F21"/>
    <w:rsid w:val="0017661B"/>
    <w:rsid w:val="00176902"/>
    <w:rsid w:val="001777A5"/>
    <w:rsid w:val="00177F8C"/>
    <w:rsid w:val="00180701"/>
    <w:rsid w:val="00180761"/>
    <w:rsid w:val="001809B5"/>
    <w:rsid w:val="00180DE1"/>
    <w:rsid w:val="00180EAE"/>
    <w:rsid w:val="001817D7"/>
    <w:rsid w:val="00181911"/>
    <w:rsid w:val="00181AB4"/>
    <w:rsid w:val="00181BA1"/>
    <w:rsid w:val="0018201B"/>
    <w:rsid w:val="001821B9"/>
    <w:rsid w:val="00184429"/>
    <w:rsid w:val="00184669"/>
    <w:rsid w:val="00184DC7"/>
    <w:rsid w:val="00185191"/>
    <w:rsid w:val="00185379"/>
    <w:rsid w:val="00186232"/>
    <w:rsid w:val="0018628D"/>
    <w:rsid w:val="0018639D"/>
    <w:rsid w:val="001868A5"/>
    <w:rsid w:val="00186DCD"/>
    <w:rsid w:val="0018728A"/>
    <w:rsid w:val="00187B38"/>
    <w:rsid w:val="00187BC2"/>
    <w:rsid w:val="00190565"/>
    <w:rsid w:val="00190AC8"/>
    <w:rsid w:val="00190D23"/>
    <w:rsid w:val="00190D80"/>
    <w:rsid w:val="001918AF"/>
    <w:rsid w:val="00191979"/>
    <w:rsid w:val="00191A37"/>
    <w:rsid w:val="00191C1A"/>
    <w:rsid w:val="001938CD"/>
    <w:rsid w:val="001939B9"/>
    <w:rsid w:val="00193A36"/>
    <w:rsid w:val="0019450D"/>
    <w:rsid w:val="00194549"/>
    <w:rsid w:val="001947CA"/>
    <w:rsid w:val="001949ED"/>
    <w:rsid w:val="001952DE"/>
    <w:rsid w:val="001955D4"/>
    <w:rsid w:val="00196BF7"/>
    <w:rsid w:val="001A020C"/>
    <w:rsid w:val="001A0978"/>
    <w:rsid w:val="001A10DC"/>
    <w:rsid w:val="001A204D"/>
    <w:rsid w:val="001A2054"/>
    <w:rsid w:val="001A3603"/>
    <w:rsid w:val="001A3894"/>
    <w:rsid w:val="001A3C5E"/>
    <w:rsid w:val="001A3F28"/>
    <w:rsid w:val="001A4601"/>
    <w:rsid w:val="001A4D4C"/>
    <w:rsid w:val="001A6756"/>
    <w:rsid w:val="001A6F9E"/>
    <w:rsid w:val="001A7027"/>
    <w:rsid w:val="001A7B8E"/>
    <w:rsid w:val="001B0D5D"/>
    <w:rsid w:val="001B2E2E"/>
    <w:rsid w:val="001B2E5F"/>
    <w:rsid w:val="001B3144"/>
    <w:rsid w:val="001B3349"/>
    <w:rsid w:val="001B3D44"/>
    <w:rsid w:val="001B48CB"/>
    <w:rsid w:val="001B4DE1"/>
    <w:rsid w:val="001B512C"/>
    <w:rsid w:val="001B56E6"/>
    <w:rsid w:val="001B590F"/>
    <w:rsid w:val="001B5B21"/>
    <w:rsid w:val="001B6482"/>
    <w:rsid w:val="001B74F9"/>
    <w:rsid w:val="001C025C"/>
    <w:rsid w:val="001C03FE"/>
    <w:rsid w:val="001C07E8"/>
    <w:rsid w:val="001C159B"/>
    <w:rsid w:val="001C1616"/>
    <w:rsid w:val="001C1864"/>
    <w:rsid w:val="001C2BFB"/>
    <w:rsid w:val="001C2EA5"/>
    <w:rsid w:val="001C3487"/>
    <w:rsid w:val="001C3DA3"/>
    <w:rsid w:val="001C433E"/>
    <w:rsid w:val="001C4B6F"/>
    <w:rsid w:val="001C526E"/>
    <w:rsid w:val="001C52A6"/>
    <w:rsid w:val="001C54B7"/>
    <w:rsid w:val="001C5868"/>
    <w:rsid w:val="001C5A45"/>
    <w:rsid w:val="001C5F00"/>
    <w:rsid w:val="001C7D85"/>
    <w:rsid w:val="001D0365"/>
    <w:rsid w:val="001D0B66"/>
    <w:rsid w:val="001D0DE1"/>
    <w:rsid w:val="001D1556"/>
    <w:rsid w:val="001D25C9"/>
    <w:rsid w:val="001D29A8"/>
    <w:rsid w:val="001D3576"/>
    <w:rsid w:val="001D3787"/>
    <w:rsid w:val="001D38B2"/>
    <w:rsid w:val="001D3BAC"/>
    <w:rsid w:val="001D3BB5"/>
    <w:rsid w:val="001D40F5"/>
    <w:rsid w:val="001D4727"/>
    <w:rsid w:val="001D500F"/>
    <w:rsid w:val="001D61B5"/>
    <w:rsid w:val="001D6B83"/>
    <w:rsid w:val="001D70D5"/>
    <w:rsid w:val="001D7195"/>
    <w:rsid w:val="001D74BB"/>
    <w:rsid w:val="001E0415"/>
    <w:rsid w:val="001E049D"/>
    <w:rsid w:val="001E162F"/>
    <w:rsid w:val="001E1B5F"/>
    <w:rsid w:val="001E243A"/>
    <w:rsid w:val="001E2608"/>
    <w:rsid w:val="001E28CF"/>
    <w:rsid w:val="001E2956"/>
    <w:rsid w:val="001E390C"/>
    <w:rsid w:val="001E44A7"/>
    <w:rsid w:val="001E4531"/>
    <w:rsid w:val="001E4B87"/>
    <w:rsid w:val="001E4BBA"/>
    <w:rsid w:val="001E5ECC"/>
    <w:rsid w:val="001E5F35"/>
    <w:rsid w:val="001E666C"/>
    <w:rsid w:val="001E7155"/>
    <w:rsid w:val="001E738B"/>
    <w:rsid w:val="001F0560"/>
    <w:rsid w:val="001F0AA3"/>
    <w:rsid w:val="001F0AF8"/>
    <w:rsid w:val="001F1021"/>
    <w:rsid w:val="001F2CF1"/>
    <w:rsid w:val="001F3CE7"/>
    <w:rsid w:val="001F4D09"/>
    <w:rsid w:val="001F5097"/>
    <w:rsid w:val="001F526E"/>
    <w:rsid w:val="001F5C25"/>
    <w:rsid w:val="001F5EB5"/>
    <w:rsid w:val="001F681E"/>
    <w:rsid w:val="001F7419"/>
    <w:rsid w:val="00200CDF"/>
    <w:rsid w:val="00202F07"/>
    <w:rsid w:val="00203CE7"/>
    <w:rsid w:val="0020445F"/>
    <w:rsid w:val="0020465E"/>
    <w:rsid w:val="00204C55"/>
    <w:rsid w:val="0020529D"/>
    <w:rsid w:val="00205CB1"/>
    <w:rsid w:val="00205DF1"/>
    <w:rsid w:val="00206AE5"/>
    <w:rsid w:val="00207CCC"/>
    <w:rsid w:val="00210E2F"/>
    <w:rsid w:val="002110D5"/>
    <w:rsid w:val="00211431"/>
    <w:rsid w:val="00211B64"/>
    <w:rsid w:val="00211E0F"/>
    <w:rsid w:val="00212458"/>
    <w:rsid w:val="002143AD"/>
    <w:rsid w:val="00214749"/>
    <w:rsid w:val="0021500B"/>
    <w:rsid w:val="002157EB"/>
    <w:rsid w:val="0021634F"/>
    <w:rsid w:val="002164CF"/>
    <w:rsid w:val="0021656C"/>
    <w:rsid w:val="002165C0"/>
    <w:rsid w:val="00216B1F"/>
    <w:rsid w:val="00216CC7"/>
    <w:rsid w:val="00216D49"/>
    <w:rsid w:val="00216DFB"/>
    <w:rsid w:val="00220B79"/>
    <w:rsid w:val="00221525"/>
    <w:rsid w:val="00221834"/>
    <w:rsid w:val="00221A2D"/>
    <w:rsid w:val="002223FB"/>
    <w:rsid w:val="00222C39"/>
    <w:rsid w:val="0022365E"/>
    <w:rsid w:val="002239B1"/>
    <w:rsid w:val="00223C38"/>
    <w:rsid w:val="00224CBC"/>
    <w:rsid w:val="002257C2"/>
    <w:rsid w:val="00226A6F"/>
    <w:rsid w:val="00226E60"/>
    <w:rsid w:val="0022729B"/>
    <w:rsid w:val="002273F9"/>
    <w:rsid w:val="00227716"/>
    <w:rsid w:val="002278F5"/>
    <w:rsid w:val="002300E2"/>
    <w:rsid w:val="002307A6"/>
    <w:rsid w:val="00230937"/>
    <w:rsid w:val="00231BF7"/>
    <w:rsid w:val="00232198"/>
    <w:rsid w:val="002334FF"/>
    <w:rsid w:val="0023375E"/>
    <w:rsid w:val="00233FA5"/>
    <w:rsid w:val="00235387"/>
    <w:rsid w:val="002354FE"/>
    <w:rsid w:val="00235BAF"/>
    <w:rsid w:val="00235BED"/>
    <w:rsid w:val="00235D21"/>
    <w:rsid w:val="00236305"/>
    <w:rsid w:val="0023719D"/>
    <w:rsid w:val="00237351"/>
    <w:rsid w:val="002373C2"/>
    <w:rsid w:val="002375B4"/>
    <w:rsid w:val="00240051"/>
    <w:rsid w:val="002412E5"/>
    <w:rsid w:val="00241986"/>
    <w:rsid w:val="00243184"/>
    <w:rsid w:val="00243A00"/>
    <w:rsid w:val="00244148"/>
    <w:rsid w:val="00244968"/>
    <w:rsid w:val="00244D47"/>
    <w:rsid w:val="00244E3C"/>
    <w:rsid w:val="00245D1A"/>
    <w:rsid w:val="00246105"/>
    <w:rsid w:val="0024635C"/>
    <w:rsid w:val="0024669D"/>
    <w:rsid w:val="002467E0"/>
    <w:rsid w:val="00246DEE"/>
    <w:rsid w:val="002473CA"/>
    <w:rsid w:val="002477C0"/>
    <w:rsid w:val="00247F3B"/>
    <w:rsid w:val="00250753"/>
    <w:rsid w:val="00251190"/>
    <w:rsid w:val="0025274B"/>
    <w:rsid w:val="00253BA2"/>
    <w:rsid w:val="00253E13"/>
    <w:rsid w:val="00254B02"/>
    <w:rsid w:val="00254E0C"/>
    <w:rsid w:val="00254F13"/>
    <w:rsid w:val="00255E70"/>
    <w:rsid w:val="002563C2"/>
    <w:rsid w:val="002564D9"/>
    <w:rsid w:val="00256AA6"/>
    <w:rsid w:val="00256C5D"/>
    <w:rsid w:val="00257137"/>
    <w:rsid w:val="002572B4"/>
    <w:rsid w:val="00257AC8"/>
    <w:rsid w:val="002608BA"/>
    <w:rsid w:val="00260AE5"/>
    <w:rsid w:val="00260CCA"/>
    <w:rsid w:val="00260CD3"/>
    <w:rsid w:val="00261702"/>
    <w:rsid w:val="00262470"/>
    <w:rsid w:val="00263847"/>
    <w:rsid w:val="00264A0B"/>
    <w:rsid w:val="00265DF2"/>
    <w:rsid w:val="0026625B"/>
    <w:rsid w:val="00266C8F"/>
    <w:rsid w:val="002676EC"/>
    <w:rsid w:val="002703C1"/>
    <w:rsid w:val="00270AEC"/>
    <w:rsid w:val="0027138A"/>
    <w:rsid w:val="002713A1"/>
    <w:rsid w:val="00271BFC"/>
    <w:rsid w:val="00271D3D"/>
    <w:rsid w:val="0027269F"/>
    <w:rsid w:val="00272948"/>
    <w:rsid w:val="00272A9F"/>
    <w:rsid w:val="00273A78"/>
    <w:rsid w:val="0027463E"/>
    <w:rsid w:val="00274BAE"/>
    <w:rsid w:val="0027533A"/>
    <w:rsid w:val="00276D5F"/>
    <w:rsid w:val="002774B2"/>
    <w:rsid w:val="002779A7"/>
    <w:rsid w:val="002814F4"/>
    <w:rsid w:val="00281CFF"/>
    <w:rsid w:val="0028232F"/>
    <w:rsid w:val="00282C5D"/>
    <w:rsid w:val="002832CB"/>
    <w:rsid w:val="002837BD"/>
    <w:rsid w:val="0028465E"/>
    <w:rsid w:val="00284F64"/>
    <w:rsid w:val="00285853"/>
    <w:rsid w:val="0028637E"/>
    <w:rsid w:val="00286F4A"/>
    <w:rsid w:val="002873A7"/>
    <w:rsid w:val="00287B6B"/>
    <w:rsid w:val="00287F15"/>
    <w:rsid w:val="002903F5"/>
    <w:rsid w:val="00291D8F"/>
    <w:rsid w:val="0029269C"/>
    <w:rsid w:val="002930A3"/>
    <w:rsid w:val="00293D17"/>
    <w:rsid w:val="00294005"/>
    <w:rsid w:val="002949BC"/>
    <w:rsid w:val="00294BFB"/>
    <w:rsid w:val="00294CED"/>
    <w:rsid w:val="00294DC5"/>
    <w:rsid w:val="00295028"/>
    <w:rsid w:val="00295E59"/>
    <w:rsid w:val="00296609"/>
    <w:rsid w:val="002966BE"/>
    <w:rsid w:val="0029776D"/>
    <w:rsid w:val="002977BD"/>
    <w:rsid w:val="00297DE7"/>
    <w:rsid w:val="002A0553"/>
    <w:rsid w:val="002A0802"/>
    <w:rsid w:val="002A1685"/>
    <w:rsid w:val="002A1B4B"/>
    <w:rsid w:val="002A3021"/>
    <w:rsid w:val="002A3EF6"/>
    <w:rsid w:val="002A459E"/>
    <w:rsid w:val="002A50A7"/>
    <w:rsid w:val="002A52FB"/>
    <w:rsid w:val="002A5E46"/>
    <w:rsid w:val="002A60CA"/>
    <w:rsid w:val="002A7BAE"/>
    <w:rsid w:val="002B07E1"/>
    <w:rsid w:val="002B1862"/>
    <w:rsid w:val="002B18B9"/>
    <w:rsid w:val="002B2607"/>
    <w:rsid w:val="002B287A"/>
    <w:rsid w:val="002B3433"/>
    <w:rsid w:val="002B34DB"/>
    <w:rsid w:val="002B34F9"/>
    <w:rsid w:val="002B3544"/>
    <w:rsid w:val="002B3BE0"/>
    <w:rsid w:val="002B3E94"/>
    <w:rsid w:val="002B4182"/>
    <w:rsid w:val="002B4473"/>
    <w:rsid w:val="002B4638"/>
    <w:rsid w:val="002B542C"/>
    <w:rsid w:val="002B54CA"/>
    <w:rsid w:val="002B59FC"/>
    <w:rsid w:val="002B5A4B"/>
    <w:rsid w:val="002B7621"/>
    <w:rsid w:val="002B7E8A"/>
    <w:rsid w:val="002C09EE"/>
    <w:rsid w:val="002C1BD2"/>
    <w:rsid w:val="002C1D00"/>
    <w:rsid w:val="002C2442"/>
    <w:rsid w:val="002C2D01"/>
    <w:rsid w:val="002C2E51"/>
    <w:rsid w:val="002C36FC"/>
    <w:rsid w:val="002C4166"/>
    <w:rsid w:val="002C41F7"/>
    <w:rsid w:val="002C56AF"/>
    <w:rsid w:val="002C6162"/>
    <w:rsid w:val="002C6A6F"/>
    <w:rsid w:val="002C71B0"/>
    <w:rsid w:val="002C7482"/>
    <w:rsid w:val="002D1279"/>
    <w:rsid w:val="002D12B3"/>
    <w:rsid w:val="002D2016"/>
    <w:rsid w:val="002D20EF"/>
    <w:rsid w:val="002D23B1"/>
    <w:rsid w:val="002D2468"/>
    <w:rsid w:val="002D2AE4"/>
    <w:rsid w:val="002D38D5"/>
    <w:rsid w:val="002D4D62"/>
    <w:rsid w:val="002D5543"/>
    <w:rsid w:val="002D5B9B"/>
    <w:rsid w:val="002D5C49"/>
    <w:rsid w:val="002D6805"/>
    <w:rsid w:val="002D6DDB"/>
    <w:rsid w:val="002D73BB"/>
    <w:rsid w:val="002D7A9D"/>
    <w:rsid w:val="002E0AA2"/>
    <w:rsid w:val="002E0DC9"/>
    <w:rsid w:val="002E17F9"/>
    <w:rsid w:val="002E1D2A"/>
    <w:rsid w:val="002E2716"/>
    <w:rsid w:val="002E41AA"/>
    <w:rsid w:val="002E4361"/>
    <w:rsid w:val="002E4818"/>
    <w:rsid w:val="002E4F4F"/>
    <w:rsid w:val="002E5C46"/>
    <w:rsid w:val="002E67A1"/>
    <w:rsid w:val="002E6AC6"/>
    <w:rsid w:val="002E708E"/>
    <w:rsid w:val="002E736C"/>
    <w:rsid w:val="002E76D8"/>
    <w:rsid w:val="002E7D31"/>
    <w:rsid w:val="002E7FD5"/>
    <w:rsid w:val="002F0024"/>
    <w:rsid w:val="002F04D2"/>
    <w:rsid w:val="002F0DCA"/>
    <w:rsid w:val="002F1FE2"/>
    <w:rsid w:val="002F2A22"/>
    <w:rsid w:val="002F2AE8"/>
    <w:rsid w:val="002F3ECD"/>
    <w:rsid w:val="002F4FAC"/>
    <w:rsid w:val="002F657C"/>
    <w:rsid w:val="002F6D5F"/>
    <w:rsid w:val="002F7B09"/>
    <w:rsid w:val="002F7BD9"/>
    <w:rsid w:val="002F7E5A"/>
    <w:rsid w:val="00300337"/>
    <w:rsid w:val="00300523"/>
    <w:rsid w:val="00300556"/>
    <w:rsid w:val="00300ACE"/>
    <w:rsid w:val="00300B0C"/>
    <w:rsid w:val="0030120A"/>
    <w:rsid w:val="003014A1"/>
    <w:rsid w:val="0030280E"/>
    <w:rsid w:val="00302B3E"/>
    <w:rsid w:val="00302BAF"/>
    <w:rsid w:val="0030335C"/>
    <w:rsid w:val="0030575A"/>
    <w:rsid w:val="0030575B"/>
    <w:rsid w:val="00305815"/>
    <w:rsid w:val="0030585D"/>
    <w:rsid w:val="00305A98"/>
    <w:rsid w:val="00305C39"/>
    <w:rsid w:val="00305E74"/>
    <w:rsid w:val="00306641"/>
    <w:rsid w:val="00306F95"/>
    <w:rsid w:val="00307C16"/>
    <w:rsid w:val="00307C45"/>
    <w:rsid w:val="003108DB"/>
    <w:rsid w:val="00310BF9"/>
    <w:rsid w:val="00310F87"/>
    <w:rsid w:val="0031109F"/>
    <w:rsid w:val="0031128F"/>
    <w:rsid w:val="00312CA7"/>
    <w:rsid w:val="00314A27"/>
    <w:rsid w:val="00314D14"/>
    <w:rsid w:val="00314FB4"/>
    <w:rsid w:val="00315678"/>
    <w:rsid w:val="00315784"/>
    <w:rsid w:val="0031593F"/>
    <w:rsid w:val="00315B02"/>
    <w:rsid w:val="00315B1E"/>
    <w:rsid w:val="00316091"/>
    <w:rsid w:val="00316CB4"/>
    <w:rsid w:val="00317511"/>
    <w:rsid w:val="00317B5D"/>
    <w:rsid w:val="003202CA"/>
    <w:rsid w:val="0032306D"/>
    <w:rsid w:val="00323930"/>
    <w:rsid w:val="00323C27"/>
    <w:rsid w:val="0032403A"/>
    <w:rsid w:val="003247D6"/>
    <w:rsid w:val="00324BFE"/>
    <w:rsid w:val="00325F88"/>
    <w:rsid w:val="003261AB"/>
    <w:rsid w:val="0032633E"/>
    <w:rsid w:val="00326C5B"/>
    <w:rsid w:val="00330A9E"/>
    <w:rsid w:val="003317E5"/>
    <w:rsid w:val="00332513"/>
    <w:rsid w:val="003328BA"/>
    <w:rsid w:val="003332D4"/>
    <w:rsid w:val="00334845"/>
    <w:rsid w:val="00334C11"/>
    <w:rsid w:val="0033568C"/>
    <w:rsid w:val="0033643D"/>
    <w:rsid w:val="00336AB7"/>
    <w:rsid w:val="00337253"/>
    <w:rsid w:val="00337F6E"/>
    <w:rsid w:val="00340409"/>
    <w:rsid w:val="00340794"/>
    <w:rsid w:val="00341236"/>
    <w:rsid w:val="003416F9"/>
    <w:rsid w:val="00341770"/>
    <w:rsid w:val="00341C4E"/>
    <w:rsid w:val="00342C8C"/>
    <w:rsid w:val="00343523"/>
    <w:rsid w:val="0034471C"/>
    <w:rsid w:val="003449BC"/>
    <w:rsid w:val="00345D1B"/>
    <w:rsid w:val="00345DC4"/>
    <w:rsid w:val="00345E75"/>
    <w:rsid w:val="00346BB7"/>
    <w:rsid w:val="00347622"/>
    <w:rsid w:val="00347A0B"/>
    <w:rsid w:val="003506B4"/>
    <w:rsid w:val="003506B9"/>
    <w:rsid w:val="003527FF"/>
    <w:rsid w:val="00353D87"/>
    <w:rsid w:val="003556A5"/>
    <w:rsid w:val="0035633B"/>
    <w:rsid w:val="00356601"/>
    <w:rsid w:val="00357631"/>
    <w:rsid w:val="00357B0A"/>
    <w:rsid w:val="00360BEE"/>
    <w:rsid w:val="00361471"/>
    <w:rsid w:val="00362BA2"/>
    <w:rsid w:val="00363C85"/>
    <w:rsid w:val="0036440A"/>
    <w:rsid w:val="003645BE"/>
    <w:rsid w:val="00364614"/>
    <w:rsid w:val="00365371"/>
    <w:rsid w:val="0036545A"/>
    <w:rsid w:val="00365F06"/>
    <w:rsid w:val="00366224"/>
    <w:rsid w:val="003665B7"/>
    <w:rsid w:val="00366E8B"/>
    <w:rsid w:val="00367FA7"/>
    <w:rsid w:val="003703E8"/>
    <w:rsid w:val="003707A1"/>
    <w:rsid w:val="00370D5F"/>
    <w:rsid w:val="00370E5C"/>
    <w:rsid w:val="00370F58"/>
    <w:rsid w:val="0037112A"/>
    <w:rsid w:val="00372589"/>
    <w:rsid w:val="00373EFA"/>
    <w:rsid w:val="0037554B"/>
    <w:rsid w:val="00375617"/>
    <w:rsid w:val="00375C84"/>
    <w:rsid w:val="00376410"/>
    <w:rsid w:val="0037713D"/>
    <w:rsid w:val="00377449"/>
    <w:rsid w:val="0038012D"/>
    <w:rsid w:val="00380F9F"/>
    <w:rsid w:val="003810D8"/>
    <w:rsid w:val="00381310"/>
    <w:rsid w:val="0038196A"/>
    <w:rsid w:val="00385879"/>
    <w:rsid w:val="00385960"/>
    <w:rsid w:val="003861FE"/>
    <w:rsid w:val="0038689F"/>
    <w:rsid w:val="00386D62"/>
    <w:rsid w:val="003917F2"/>
    <w:rsid w:val="0039183F"/>
    <w:rsid w:val="0039220D"/>
    <w:rsid w:val="00392537"/>
    <w:rsid w:val="0039266D"/>
    <w:rsid w:val="00392EEE"/>
    <w:rsid w:val="003947B9"/>
    <w:rsid w:val="0039568F"/>
    <w:rsid w:val="00396509"/>
    <w:rsid w:val="0039686E"/>
    <w:rsid w:val="00396B24"/>
    <w:rsid w:val="00396BFE"/>
    <w:rsid w:val="0039746A"/>
    <w:rsid w:val="003A047A"/>
    <w:rsid w:val="003A0531"/>
    <w:rsid w:val="003A1959"/>
    <w:rsid w:val="003A19EC"/>
    <w:rsid w:val="003A1B51"/>
    <w:rsid w:val="003A1DAC"/>
    <w:rsid w:val="003A2B57"/>
    <w:rsid w:val="003A3C19"/>
    <w:rsid w:val="003A3C35"/>
    <w:rsid w:val="003A45E9"/>
    <w:rsid w:val="003A4F74"/>
    <w:rsid w:val="003A54B2"/>
    <w:rsid w:val="003A54D0"/>
    <w:rsid w:val="003A579D"/>
    <w:rsid w:val="003A5B46"/>
    <w:rsid w:val="003A60C3"/>
    <w:rsid w:val="003A6147"/>
    <w:rsid w:val="003A6159"/>
    <w:rsid w:val="003A635B"/>
    <w:rsid w:val="003A7083"/>
    <w:rsid w:val="003B0198"/>
    <w:rsid w:val="003B0A04"/>
    <w:rsid w:val="003B23CC"/>
    <w:rsid w:val="003B24FC"/>
    <w:rsid w:val="003B2B48"/>
    <w:rsid w:val="003B36CD"/>
    <w:rsid w:val="003B413C"/>
    <w:rsid w:val="003B421A"/>
    <w:rsid w:val="003B5154"/>
    <w:rsid w:val="003B6C21"/>
    <w:rsid w:val="003B7626"/>
    <w:rsid w:val="003B7D9B"/>
    <w:rsid w:val="003C0095"/>
    <w:rsid w:val="003C0437"/>
    <w:rsid w:val="003C126A"/>
    <w:rsid w:val="003C2446"/>
    <w:rsid w:val="003C249B"/>
    <w:rsid w:val="003C33C8"/>
    <w:rsid w:val="003C489D"/>
    <w:rsid w:val="003C4AAB"/>
    <w:rsid w:val="003C5004"/>
    <w:rsid w:val="003C638B"/>
    <w:rsid w:val="003C66E4"/>
    <w:rsid w:val="003C6BDE"/>
    <w:rsid w:val="003C74C9"/>
    <w:rsid w:val="003C7822"/>
    <w:rsid w:val="003D0E9C"/>
    <w:rsid w:val="003D1117"/>
    <w:rsid w:val="003D23D2"/>
    <w:rsid w:val="003D2797"/>
    <w:rsid w:val="003D2B7B"/>
    <w:rsid w:val="003D2DEE"/>
    <w:rsid w:val="003D2EA4"/>
    <w:rsid w:val="003D3A43"/>
    <w:rsid w:val="003D3B99"/>
    <w:rsid w:val="003D4242"/>
    <w:rsid w:val="003D428A"/>
    <w:rsid w:val="003D496F"/>
    <w:rsid w:val="003D4DB8"/>
    <w:rsid w:val="003D4FD5"/>
    <w:rsid w:val="003D53F6"/>
    <w:rsid w:val="003D54C6"/>
    <w:rsid w:val="003D579C"/>
    <w:rsid w:val="003D5985"/>
    <w:rsid w:val="003D65FC"/>
    <w:rsid w:val="003D78A1"/>
    <w:rsid w:val="003E021C"/>
    <w:rsid w:val="003E059E"/>
    <w:rsid w:val="003E0650"/>
    <w:rsid w:val="003E1171"/>
    <w:rsid w:val="003E15E2"/>
    <w:rsid w:val="003E1C7A"/>
    <w:rsid w:val="003E2AFC"/>
    <w:rsid w:val="003E2EE8"/>
    <w:rsid w:val="003E330E"/>
    <w:rsid w:val="003E44E9"/>
    <w:rsid w:val="003E4CAB"/>
    <w:rsid w:val="003E4FCC"/>
    <w:rsid w:val="003E5049"/>
    <w:rsid w:val="003E6317"/>
    <w:rsid w:val="003E6704"/>
    <w:rsid w:val="003E683C"/>
    <w:rsid w:val="003F0B72"/>
    <w:rsid w:val="003F1339"/>
    <w:rsid w:val="003F191D"/>
    <w:rsid w:val="003F30DE"/>
    <w:rsid w:val="003F43FF"/>
    <w:rsid w:val="003F4512"/>
    <w:rsid w:val="003F4976"/>
    <w:rsid w:val="003F4F58"/>
    <w:rsid w:val="003F6D45"/>
    <w:rsid w:val="003F6DFC"/>
    <w:rsid w:val="003F7B21"/>
    <w:rsid w:val="004005AE"/>
    <w:rsid w:val="00402743"/>
    <w:rsid w:val="00402AD0"/>
    <w:rsid w:val="004041A5"/>
    <w:rsid w:val="0040429B"/>
    <w:rsid w:val="00404777"/>
    <w:rsid w:val="00404BDC"/>
    <w:rsid w:val="00404E6D"/>
    <w:rsid w:val="004053EC"/>
    <w:rsid w:val="00405A67"/>
    <w:rsid w:val="004065C5"/>
    <w:rsid w:val="00406688"/>
    <w:rsid w:val="00406A19"/>
    <w:rsid w:val="004070FF"/>
    <w:rsid w:val="0040723A"/>
    <w:rsid w:val="00407252"/>
    <w:rsid w:val="00410608"/>
    <w:rsid w:val="00410A04"/>
    <w:rsid w:val="004114F6"/>
    <w:rsid w:val="00411D38"/>
    <w:rsid w:val="0041323F"/>
    <w:rsid w:val="0041375C"/>
    <w:rsid w:val="00413BD0"/>
    <w:rsid w:val="00414BDD"/>
    <w:rsid w:val="00416615"/>
    <w:rsid w:val="00416D60"/>
    <w:rsid w:val="004173D1"/>
    <w:rsid w:val="00417CE8"/>
    <w:rsid w:val="00417F51"/>
    <w:rsid w:val="004201FD"/>
    <w:rsid w:val="004207C3"/>
    <w:rsid w:val="00420AD0"/>
    <w:rsid w:val="004215E6"/>
    <w:rsid w:val="004225E5"/>
    <w:rsid w:val="00422DF0"/>
    <w:rsid w:val="0042364B"/>
    <w:rsid w:val="00423A8E"/>
    <w:rsid w:val="00423C6C"/>
    <w:rsid w:val="00424080"/>
    <w:rsid w:val="004240B1"/>
    <w:rsid w:val="00424584"/>
    <w:rsid w:val="00424E01"/>
    <w:rsid w:val="00425FE5"/>
    <w:rsid w:val="0042703B"/>
    <w:rsid w:val="00427490"/>
    <w:rsid w:val="00427590"/>
    <w:rsid w:val="00427C5B"/>
    <w:rsid w:val="0043090A"/>
    <w:rsid w:val="00431216"/>
    <w:rsid w:val="004324F9"/>
    <w:rsid w:val="004327D9"/>
    <w:rsid w:val="004339F8"/>
    <w:rsid w:val="00433AD2"/>
    <w:rsid w:val="00435D6B"/>
    <w:rsid w:val="0043604A"/>
    <w:rsid w:val="0043628C"/>
    <w:rsid w:val="004364F6"/>
    <w:rsid w:val="00436753"/>
    <w:rsid w:val="00436EB7"/>
    <w:rsid w:val="00437E54"/>
    <w:rsid w:val="0044026B"/>
    <w:rsid w:val="00440BC8"/>
    <w:rsid w:val="00440D49"/>
    <w:rsid w:val="004413A7"/>
    <w:rsid w:val="00441411"/>
    <w:rsid w:val="00441786"/>
    <w:rsid w:val="00441980"/>
    <w:rsid w:val="00441B8F"/>
    <w:rsid w:val="00441EC8"/>
    <w:rsid w:val="00442237"/>
    <w:rsid w:val="00442CC8"/>
    <w:rsid w:val="00443138"/>
    <w:rsid w:val="004438C8"/>
    <w:rsid w:val="00444490"/>
    <w:rsid w:val="0044489D"/>
    <w:rsid w:val="00444A7F"/>
    <w:rsid w:val="00444B8A"/>
    <w:rsid w:val="00444E16"/>
    <w:rsid w:val="00444F0E"/>
    <w:rsid w:val="004467E7"/>
    <w:rsid w:val="004477DF"/>
    <w:rsid w:val="00447BC8"/>
    <w:rsid w:val="00447E31"/>
    <w:rsid w:val="004504FD"/>
    <w:rsid w:val="00450686"/>
    <w:rsid w:val="00450A29"/>
    <w:rsid w:val="00450B90"/>
    <w:rsid w:val="00450E9D"/>
    <w:rsid w:val="00451669"/>
    <w:rsid w:val="00451981"/>
    <w:rsid w:val="00451A15"/>
    <w:rsid w:val="004520EF"/>
    <w:rsid w:val="004522AC"/>
    <w:rsid w:val="0045254F"/>
    <w:rsid w:val="00452CE3"/>
    <w:rsid w:val="0045312E"/>
    <w:rsid w:val="00454A15"/>
    <w:rsid w:val="00456216"/>
    <w:rsid w:val="004562B9"/>
    <w:rsid w:val="0045696D"/>
    <w:rsid w:val="00457346"/>
    <w:rsid w:val="00457FEA"/>
    <w:rsid w:val="00460805"/>
    <w:rsid w:val="004610C0"/>
    <w:rsid w:val="004618CC"/>
    <w:rsid w:val="00461913"/>
    <w:rsid w:val="00461E10"/>
    <w:rsid w:val="00461F45"/>
    <w:rsid w:val="00462926"/>
    <w:rsid w:val="0046322F"/>
    <w:rsid w:val="00463635"/>
    <w:rsid w:val="004656FE"/>
    <w:rsid w:val="004664AD"/>
    <w:rsid w:val="00466C6F"/>
    <w:rsid w:val="00466EF8"/>
    <w:rsid w:val="00466FC9"/>
    <w:rsid w:val="00467973"/>
    <w:rsid w:val="004708F2"/>
    <w:rsid w:val="00470BE7"/>
    <w:rsid w:val="004718CA"/>
    <w:rsid w:val="00471C18"/>
    <w:rsid w:val="00472FB1"/>
    <w:rsid w:val="00473793"/>
    <w:rsid w:val="00474170"/>
    <w:rsid w:val="0047443C"/>
    <w:rsid w:val="004752A7"/>
    <w:rsid w:val="004756D0"/>
    <w:rsid w:val="00475CE9"/>
    <w:rsid w:val="0047703C"/>
    <w:rsid w:val="00477599"/>
    <w:rsid w:val="004778AA"/>
    <w:rsid w:val="00480DDA"/>
    <w:rsid w:val="004811AB"/>
    <w:rsid w:val="0048148D"/>
    <w:rsid w:val="00481665"/>
    <w:rsid w:val="00481F48"/>
    <w:rsid w:val="00482760"/>
    <w:rsid w:val="00483327"/>
    <w:rsid w:val="00485E0A"/>
    <w:rsid w:val="00486EDD"/>
    <w:rsid w:val="0048730C"/>
    <w:rsid w:val="0049059D"/>
    <w:rsid w:val="00490AEE"/>
    <w:rsid w:val="004915BC"/>
    <w:rsid w:val="00492152"/>
    <w:rsid w:val="004924AF"/>
    <w:rsid w:val="00492633"/>
    <w:rsid w:val="00492D58"/>
    <w:rsid w:val="00494196"/>
    <w:rsid w:val="0049438A"/>
    <w:rsid w:val="00494F42"/>
    <w:rsid w:val="00495966"/>
    <w:rsid w:val="004959BD"/>
    <w:rsid w:val="00495AE2"/>
    <w:rsid w:val="004971DB"/>
    <w:rsid w:val="004A03FE"/>
    <w:rsid w:val="004A0BC6"/>
    <w:rsid w:val="004A0EE5"/>
    <w:rsid w:val="004A1D7B"/>
    <w:rsid w:val="004A2859"/>
    <w:rsid w:val="004A2BE9"/>
    <w:rsid w:val="004A39CC"/>
    <w:rsid w:val="004A3B53"/>
    <w:rsid w:val="004A3F72"/>
    <w:rsid w:val="004A4010"/>
    <w:rsid w:val="004A5087"/>
    <w:rsid w:val="004A5929"/>
    <w:rsid w:val="004A5C64"/>
    <w:rsid w:val="004A5E8F"/>
    <w:rsid w:val="004A688C"/>
    <w:rsid w:val="004A6BCD"/>
    <w:rsid w:val="004A73E3"/>
    <w:rsid w:val="004A7E94"/>
    <w:rsid w:val="004B0378"/>
    <w:rsid w:val="004B1997"/>
    <w:rsid w:val="004B1F43"/>
    <w:rsid w:val="004B23C1"/>
    <w:rsid w:val="004B2536"/>
    <w:rsid w:val="004B25A4"/>
    <w:rsid w:val="004B2EBC"/>
    <w:rsid w:val="004B3508"/>
    <w:rsid w:val="004B374C"/>
    <w:rsid w:val="004B3B16"/>
    <w:rsid w:val="004B47FE"/>
    <w:rsid w:val="004B4A21"/>
    <w:rsid w:val="004B5BCB"/>
    <w:rsid w:val="004B5C92"/>
    <w:rsid w:val="004B5E71"/>
    <w:rsid w:val="004B6612"/>
    <w:rsid w:val="004B6ACE"/>
    <w:rsid w:val="004B7E76"/>
    <w:rsid w:val="004C0B26"/>
    <w:rsid w:val="004C2161"/>
    <w:rsid w:val="004C21EA"/>
    <w:rsid w:val="004C2C2E"/>
    <w:rsid w:val="004C2E49"/>
    <w:rsid w:val="004C3381"/>
    <w:rsid w:val="004C3A69"/>
    <w:rsid w:val="004C43D8"/>
    <w:rsid w:val="004C45E9"/>
    <w:rsid w:val="004C4E2F"/>
    <w:rsid w:val="004C513A"/>
    <w:rsid w:val="004C52DF"/>
    <w:rsid w:val="004C59AD"/>
    <w:rsid w:val="004C67E0"/>
    <w:rsid w:val="004C6916"/>
    <w:rsid w:val="004C7027"/>
    <w:rsid w:val="004C7505"/>
    <w:rsid w:val="004C7B34"/>
    <w:rsid w:val="004D00BC"/>
    <w:rsid w:val="004D1AAA"/>
    <w:rsid w:val="004D1EDB"/>
    <w:rsid w:val="004D3A21"/>
    <w:rsid w:val="004D47CA"/>
    <w:rsid w:val="004D5393"/>
    <w:rsid w:val="004D5F1D"/>
    <w:rsid w:val="004D62FC"/>
    <w:rsid w:val="004D6830"/>
    <w:rsid w:val="004D691A"/>
    <w:rsid w:val="004D74B8"/>
    <w:rsid w:val="004E00BC"/>
    <w:rsid w:val="004E069D"/>
    <w:rsid w:val="004E12ED"/>
    <w:rsid w:val="004E1DF8"/>
    <w:rsid w:val="004E1E99"/>
    <w:rsid w:val="004E2712"/>
    <w:rsid w:val="004E3448"/>
    <w:rsid w:val="004E3971"/>
    <w:rsid w:val="004E6ADE"/>
    <w:rsid w:val="004E6B6F"/>
    <w:rsid w:val="004E6EBF"/>
    <w:rsid w:val="004E7C0B"/>
    <w:rsid w:val="004E7D07"/>
    <w:rsid w:val="004E7E02"/>
    <w:rsid w:val="004F0406"/>
    <w:rsid w:val="004F0494"/>
    <w:rsid w:val="004F067D"/>
    <w:rsid w:val="004F07DE"/>
    <w:rsid w:val="004F0920"/>
    <w:rsid w:val="004F1337"/>
    <w:rsid w:val="004F13E7"/>
    <w:rsid w:val="004F1809"/>
    <w:rsid w:val="004F191A"/>
    <w:rsid w:val="004F1AC3"/>
    <w:rsid w:val="004F20B0"/>
    <w:rsid w:val="004F23C8"/>
    <w:rsid w:val="004F2B23"/>
    <w:rsid w:val="004F2F01"/>
    <w:rsid w:val="004F36D6"/>
    <w:rsid w:val="004F47F4"/>
    <w:rsid w:val="004F49F0"/>
    <w:rsid w:val="004F53E0"/>
    <w:rsid w:val="004F5B2C"/>
    <w:rsid w:val="004F66FB"/>
    <w:rsid w:val="004F7156"/>
    <w:rsid w:val="004F7754"/>
    <w:rsid w:val="0050024E"/>
    <w:rsid w:val="00501071"/>
    <w:rsid w:val="0050279A"/>
    <w:rsid w:val="00502FD6"/>
    <w:rsid w:val="00503065"/>
    <w:rsid w:val="00503CC8"/>
    <w:rsid w:val="0050600B"/>
    <w:rsid w:val="00506B0E"/>
    <w:rsid w:val="00507094"/>
    <w:rsid w:val="005079B3"/>
    <w:rsid w:val="005079D8"/>
    <w:rsid w:val="00510FE2"/>
    <w:rsid w:val="005115A9"/>
    <w:rsid w:val="00511C80"/>
    <w:rsid w:val="00513460"/>
    <w:rsid w:val="00513746"/>
    <w:rsid w:val="00514047"/>
    <w:rsid w:val="0051440F"/>
    <w:rsid w:val="00515188"/>
    <w:rsid w:val="005151D5"/>
    <w:rsid w:val="00515796"/>
    <w:rsid w:val="00517A66"/>
    <w:rsid w:val="00517BD6"/>
    <w:rsid w:val="00520882"/>
    <w:rsid w:val="005208A6"/>
    <w:rsid w:val="00520D0B"/>
    <w:rsid w:val="00521530"/>
    <w:rsid w:val="00522724"/>
    <w:rsid w:val="00522762"/>
    <w:rsid w:val="00523CC6"/>
    <w:rsid w:val="00523CF6"/>
    <w:rsid w:val="0052400F"/>
    <w:rsid w:val="00524A2C"/>
    <w:rsid w:val="0052625F"/>
    <w:rsid w:val="00527315"/>
    <w:rsid w:val="005276E9"/>
    <w:rsid w:val="005307A3"/>
    <w:rsid w:val="00530930"/>
    <w:rsid w:val="00532959"/>
    <w:rsid w:val="00532D92"/>
    <w:rsid w:val="00532F31"/>
    <w:rsid w:val="005334AE"/>
    <w:rsid w:val="0053382D"/>
    <w:rsid w:val="00533E4E"/>
    <w:rsid w:val="005348F3"/>
    <w:rsid w:val="00535000"/>
    <w:rsid w:val="00535ED0"/>
    <w:rsid w:val="00536571"/>
    <w:rsid w:val="00536C27"/>
    <w:rsid w:val="00537667"/>
    <w:rsid w:val="00537B29"/>
    <w:rsid w:val="00537F99"/>
    <w:rsid w:val="005404FA"/>
    <w:rsid w:val="0054081D"/>
    <w:rsid w:val="00540E08"/>
    <w:rsid w:val="00541465"/>
    <w:rsid w:val="005419A3"/>
    <w:rsid w:val="00542783"/>
    <w:rsid w:val="00542D11"/>
    <w:rsid w:val="00542FB8"/>
    <w:rsid w:val="0054340E"/>
    <w:rsid w:val="00543923"/>
    <w:rsid w:val="00543EFD"/>
    <w:rsid w:val="005440D5"/>
    <w:rsid w:val="005446DB"/>
    <w:rsid w:val="00545DE3"/>
    <w:rsid w:val="00546BDE"/>
    <w:rsid w:val="00546FA1"/>
    <w:rsid w:val="005472A8"/>
    <w:rsid w:val="00547CAA"/>
    <w:rsid w:val="0055058E"/>
    <w:rsid w:val="00550DDA"/>
    <w:rsid w:val="0055103A"/>
    <w:rsid w:val="00551B39"/>
    <w:rsid w:val="00551D63"/>
    <w:rsid w:val="005525BE"/>
    <w:rsid w:val="00552747"/>
    <w:rsid w:val="00552C3E"/>
    <w:rsid w:val="00553324"/>
    <w:rsid w:val="0055378A"/>
    <w:rsid w:val="00553EDE"/>
    <w:rsid w:val="00554788"/>
    <w:rsid w:val="00555512"/>
    <w:rsid w:val="00555B8D"/>
    <w:rsid w:val="00556D7F"/>
    <w:rsid w:val="00557539"/>
    <w:rsid w:val="005578AA"/>
    <w:rsid w:val="00557DF6"/>
    <w:rsid w:val="00557FA8"/>
    <w:rsid w:val="0056091B"/>
    <w:rsid w:val="005615BE"/>
    <w:rsid w:val="0056355C"/>
    <w:rsid w:val="005641A7"/>
    <w:rsid w:val="0056423D"/>
    <w:rsid w:val="00564249"/>
    <w:rsid w:val="00564549"/>
    <w:rsid w:val="00564C3A"/>
    <w:rsid w:val="005653CF"/>
    <w:rsid w:val="00565C71"/>
    <w:rsid w:val="00565D11"/>
    <w:rsid w:val="00565F08"/>
    <w:rsid w:val="0056630C"/>
    <w:rsid w:val="0056677C"/>
    <w:rsid w:val="00570EAF"/>
    <w:rsid w:val="00571DE3"/>
    <w:rsid w:val="00572146"/>
    <w:rsid w:val="00572A3B"/>
    <w:rsid w:val="00572D26"/>
    <w:rsid w:val="00572D69"/>
    <w:rsid w:val="00574AD3"/>
    <w:rsid w:val="00574BAC"/>
    <w:rsid w:val="00574BEB"/>
    <w:rsid w:val="005802F9"/>
    <w:rsid w:val="005803FE"/>
    <w:rsid w:val="0058085B"/>
    <w:rsid w:val="00580A49"/>
    <w:rsid w:val="00580DED"/>
    <w:rsid w:val="005817F5"/>
    <w:rsid w:val="00582057"/>
    <w:rsid w:val="005824A7"/>
    <w:rsid w:val="00582BA9"/>
    <w:rsid w:val="00582D28"/>
    <w:rsid w:val="00583410"/>
    <w:rsid w:val="0058388A"/>
    <w:rsid w:val="00583BDC"/>
    <w:rsid w:val="00584A7A"/>
    <w:rsid w:val="00584F33"/>
    <w:rsid w:val="00584F6D"/>
    <w:rsid w:val="0058513E"/>
    <w:rsid w:val="005856BE"/>
    <w:rsid w:val="00585A3D"/>
    <w:rsid w:val="00585A3F"/>
    <w:rsid w:val="005866FE"/>
    <w:rsid w:val="00590283"/>
    <w:rsid w:val="005902B4"/>
    <w:rsid w:val="005907C3"/>
    <w:rsid w:val="00590A3F"/>
    <w:rsid w:val="00591585"/>
    <w:rsid w:val="005917DD"/>
    <w:rsid w:val="005920D4"/>
    <w:rsid w:val="00592D91"/>
    <w:rsid w:val="0059343F"/>
    <w:rsid w:val="00593AE7"/>
    <w:rsid w:val="00593E48"/>
    <w:rsid w:val="00594561"/>
    <w:rsid w:val="005947CF"/>
    <w:rsid w:val="00595184"/>
    <w:rsid w:val="005958A0"/>
    <w:rsid w:val="00595C87"/>
    <w:rsid w:val="00597D13"/>
    <w:rsid w:val="005A0D1B"/>
    <w:rsid w:val="005A1A8B"/>
    <w:rsid w:val="005A1EF2"/>
    <w:rsid w:val="005A253A"/>
    <w:rsid w:val="005A2D00"/>
    <w:rsid w:val="005A3890"/>
    <w:rsid w:val="005A3FAF"/>
    <w:rsid w:val="005A414E"/>
    <w:rsid w:val="005A4795"/>
    <w:rsid w:val="005A4AF8"/>
    <w:rsid w:val="005A7838"/>
    <w:rsid w:val="005B001B"/>
    <w:rsid w:val="005B210D"/>
    <w:rsid w:val="005B2292"/>
    <w:rsid w:val="005B2454"/>
    <w:rsid w:val="005B28D4"/>
    <w:rsid w:val="005B346B"/>
    <w:rsid w:val="005B360C"/>
    <w:rsid w:val="005B38EA"/>
    <w:rsid w:val="005B3DEB"/>
    <w:rsid w:val="005B40FB"/>
    <w:rsid w:val="005B43F6"/>
    <w:rsid w:val="005B450E"/>
    <w:rsid w:val="005B4850"/>
    <w:rsid w:val="005B50BF"/>
    <w:rsid w:val="005B578C"/>
    <w:rsid w:val="005B6303"/>
    <w:rsid w:val="005B6D9E"/>
    <w:rsid w:val="005B6FE3"/>
    <w:rsid w:val="005B73F8"/>
    <w:rsid w:val="005B7573"/>
    <w:rsid w:val="005C0420"/>
    <w:rsid w:val="005C2E6C"/>
    <w:rsid w:val="005C3868"/>
    <w:rsid w:val="005C3F92"/>
    <w:rsid w:val="005C43EB"/>
    <w:rsid w:val="005C45C5"/>
    <w:rsid w:val="005C5037"/>
    <w:rsid w:val="005C50E9"/>
    <w:rsid w:val="005C5349"/>
    <w:rsid w:val="005C6C1D"/>
    <w:rsid w:val="005C7129"/>
    <w:rsid w:val="005C7200"/>
    <w:rsid w:val="005C773C"/>
    <w:rsid w:val="005D0077"/>
    <w:rsid w:val="005D07FA"/>
    <w:rsid w:val="005D0941"/>
    <w:rsid w:val="005D1080"/>
    <w:rsid w:val="005D11D4"/>
    <w:rsid w:val="005D16E6"/>
    <w:rsid w:val="005D1711"/>
    <w:rsid w:val="005D2AD8"/>
    <w:rsid w:val="005D31E3"/>
    <w:rsid w:val="005D3C46"/>
    <w:rsid w:val="005D44BA"/>
    <w:rsid w:val="005D465E"/>
    <w:rsid w:val="005D5A0D"/>
    <w:rsid w:val="005D605A"/>
    <w:rsid w:val="005D65A4"/>
    <w:rsid w:val="005D7F66"/>
    <w:rsid w:val="005E1409"/>
    <w:rsid w:val="005E179A"/>
    <w:rsid w:val="005E20CB"/>
    <w:rsid w:val="005E21E6"/>
    <w:rsid w:val="005E3BA4"/>
    <w:rsid w:val="005E4065"/>
    <w:rsid w:val="005E451B"/>
    <w:rsid w:val="005E4759"/>
    <w:rsid w:val="005E4F02"/>
    <w:rsid w:val="005E5237"/>
    <w:rsid w:val="005E56A3"/>
    <w:rsid w:val="005E58D7"/>
    <w:rsid w:val="005E5ABB"/>
    <w:rsid w:val="005E5CAC"/>
    <w:rsid w:val="005E6EC8"/>
    <w:rsid w:val="005E79C8"/>
    <w:rsid w:val="005F245F"/>
    <w:rsid w:val="005F3913"/>
    <w:rsid w:val="005F468B"/>
    <w:rsid w:val="005F514B"/>
    <w:rsid w:val="005F570F"/>
    <w:rsid w:val="005F5A17"/>
    <w:rsid w:val="005F5F13"/>
    <w:rsid w:val="005F6495"/>
    <w:rsid w:val="005F67C6"/>
    <w:rsid w:val="005F690F"/>
    <w:rsid w:val="005F76AD"/>
    <w:rsid w:val="005F7CE0"/>
    <w:rsid w:val="00600246"/>
    <w:rsid w:val="00600A9F"/>
    <w:rsid w:val="00600BAE"/>
    <w:rsid w:val="0060117D"/>
    <w:rsid w:val="00601D89"/>
    <w:rsid w:val="00602398"/>
    <w:rsid w:val="00602693"/>
    <w:rsid w:val="00602C5E"/>
    <w:rsid w:val="006034FF"/>
    <w:rsid w:val="006047AB"/>
    <w:rsid w:val="00604E0F"/>
    <w:rsid w:val="006051ED"/>
    <w:rsid w:val="00605389"/>
    <w:rsid w:val="00606B76"/>
    <w:rsid w:val="00606E9B"/>
    <w:rsid w:val="006073E5"/>
    <w:rsid w:val="0060794D"/>
    <w:rsid w:val="00607C5A"/>
    <w:rsid w:val="00610142"/>
    <w:rsid w:val="00610D0B"/>
    <w:rsid w:val="006111B7"/>
    <w:rsid w:val="006119CC"/>
    <w:rsid w:val="00611DA9"/>
    <w:rsid w:val="006126D0"/>
    <w:rsid w:val="00613A03"/>
    <w:rsid w:val="006144D0"/>
    <w:rsid w:val="00615B11"/>
    <w:rsid w:val="00615E42"/>
    <w:rsid w:val="00616D91"/>
    <w:rsid w:val="006172CD"/>
    <w:rsid w:val="00617710"/>
    <w:rsid w:val="00617918"/>
    <w:rsid w:val="006179F6"/>
    <w:rsid w:val="0062003A"/>
    <w:rsid w:val="00620322"/>
    <w:rsid w:val="006212A3"/>
    <w:rsid w:val="006217CD"/>
    <w:rsid w:val="00621C72"/>
    <w:rsid w:val="00622C7C"/>
    <w:rsid w:val="00622E98"/>
    <w:rsid w:val="006233B3"/>
    <w:rsid w:val="00623652"/>
    <w:rsid w:val="00623A8F"/>
    <w:rsid w:val="006242CC"/>
    <w:rsid w:val="00625215"/>
    <w:rsid w:val="0062550F"/>
    <w:rsid w:val="006255DD"/>
    <w:rsid w:val="00625687"/>
    <w:rsid w:val="00625BF5"/>
    <w:rsid w:val="00626E86"/>
    <w:rsid w:val="00627A0F"/>
    <w:rsid w:val="006322F6"/>
    <w:rsid w:val="00632460"/>
    <w:rsid w:val="006326B5"/>
    <w:rsid w:val="006329BA"/>
    <w:rsid w:val="00632E46"/>
    <w:rsid w:val="00632F41"/>
    <w:rsid w:val="00633ADE"/>
    <w:rsid w:val="00633E3E"/>
    <w:rsid w:val="00634539"/>
    <w:rsid w:val="00635403"/>
    <w:rsid w:val="00636D2D"/>
    <w:rsid w:val="00637EC6"/>
    <w:rsid w:val="006407C2"/>
    <w:rsid w:val="006407D9"/>
    <w:rsid w:val="00641336"/>
    <w:rsid w:val="00641B70"/>
    <w:rsid w:val="00642E9B"/>
    <w:rsid w:val="00643B78"/>
    <w:rsid w:val="00643D38"/>
    <w:rsid w:val="00643FF0"/>
    <w:rsid w:val="00644740"/>
    <w:rsid w:val="0064474B"/>
    <w:rsid w:val="00645581"/>
    <w:rsid w:val="0064564C"/>
    <w:rsid w:val="00646599"/>
    <w:rsid w:val="00646D14"/>
    <w:rsid w:val="00646F8C"/>
    <w:rsid w:val="006471F1"/>
    <w:rsid w:val="0065007D"/>
    <w:rsid w:val="006505D1"/>
    <w:rsid w:val="00650D6A"/>
    <w:rsid w:val="00651A46"/>
    <w:rsid w:val="00651BC0"/>
    <w:rsid w:val="006529B9"/>
    <w:rsid w:val="006529CE"/>
    <w:rsid w:val="0065402D"/>
    <w:rsid w:val="0065430E"/>
    <w:rsid w:val="006545B1"/>
    <w:rsid w:val="00654909"/>
    <w:rsid w:val="00654BBA"/>
    <w:rsid w:val="00654F58"/>
    <w:rsid w:val="006554C4"/>
    <w:rsid w:val="006556F7"/>
    <w:rsid w:val="00655923"/>
    <w:rsid w:val="00655BC2"/>
    <w:rsid w:val="00657ADA"/>
    <w:rsid w:val="00657F0E"/>
    <w:rsid w:val="00660054"/>
    <w:rsid w:val="00660F52"/>
    <w:rsid w:val="0066186D"/>
    <w:rsid w:val="006618D4"/>
    <w:rsid w:val="006619AC"/>
    <w:rsid w:val="0066282D"/>
    <w:rsid w:val="006629B0"/>
    <w:rsid w:val="00662F90"/>
    <w:rsid w:val="006632BE"/>
    <w:rsid w:val="006634CF"/>
    <w:rsid w:val="00663851"/>
    <w:rsid w:val="006641AF"/>
    <w:rsid w:val="006645EE"/>
    <w:rsid w:val="00664614"/>
    <w:rsid w:val="00664A2D"/>
    <w:rsid w:val="00664F48"/>
    <w:rsid w:val="006658F3"/>
    <w:rsid w:val="0066624D"/>
    <w:rsid w:val="00666938"/>
    <w:rsid w:val="00666BA6"/>
    <w:rsid w:val="00667874"/>
    <w:rsid w:val="00667A5A"/>
    <w:rsid w:val="00670266"/>
    <w:rsid w:val="00670749"/>
    <w:rsid w:val="0067086A"/>
    <w:rsid w:val="00670BB4"/>
    <w:rsid w:val="006713AD"/>
    <w:rsid w:val="006713C9"/>
    <w:rsid w:val="0067145B"/>
    <w:rsid w:val="00671880"/>
    <w:rsid w:val="0067262F"/>
    <w:rsid w:val="00673B93"/>
    <w:rsid w:val="00673C0F"/>
    <w:rsid w:val="006745F4"/>
    <w:rsid w:val="00674835"/>
    <w:rsid w:val="00674A21"/>
    <w:rsid w:val="00674FB8"/>
    <w:rsid w:val="00675B60"/>
    <w:rsid w:val="00675C33"/>
    <w:rsid w:val="00676FA9"/>
    <w:rsid w:val="00677345"/>
    <w:rsid w:val="00677BA6"/>
    <w:rsid w:val="00677F04"/>
    <w:rsid w:val="00680183"/>
    <w:rsid w:val="0068079A"/>
    <w:rsid w:val="00680C03"/>
    <w:rsid w:val="006815E6"/>
    <w:rsid w:val="0068160B"/>
    <w:rsid w:val="00681B74"/>
    <w:rsid w:val="00682CFE"/>
    <w:rsid w:val="00683B30"/>
    <w:rsid w:val="00683E64"/>
    <w:rsid w:val="006855F7"/>
    <w:rsid w:val="00685F38"/>
    <w:rsid w:val="00686069"/>
    <w:rsid w:val="00686E9B"/>
    <w:rsid w:val="00687B73"/>
    <w:rsid w:val="00687B9E"/>
    <w:rsid w:val="00687DB3"/>
    <w:rsid w:val="006900DD"/>
    <w:rsid w:val="006909FC"/>
    <w:rsid w:val="00691192"/>
    <w:rsid w:val="00693253"/>
    <w:rsid w:val="00693ADC"/>
    <w:rsid w:val="00693B81"/>
    <w:rsid w:val="00693F05"/>
    <w:rsid w:val="00694386"/>
    <w:rsid w:val="00694718"/>
    <w:rsid w:val="006952EB"/>
    <w:rsid w:val="00695A09"/>
    <w:rsid w:val="006966E1"/>
    <w:rsid w:val="006969EA"/>
    <w:rsid w:val="00696AD4"/>
    <w:rsid w:val="00696BA5"/>
    <w:rsid w:val="0069727D"/>
    <w:rsid w:val="006A05F9"/>
    <w:rsid w:val="006A0AF2"/>
    <w:rsid w:val="006A13CD"/>
    <w:rsid w:val="006A1759"/>
    <w:rsid w:val="006A17CF"/>
    <w:rsid w:val="006A1F2A"/>
    <w:rsid w:val="006A2624"/>
    <w:rsid w:val="006A2AF2"/>
    <w:rsid w:val="006A3022"/>
    <w:rsid w:val="006A4187"/>
    <w:rsid w:val="006A45B7"/>
    <w:rsid w:val="006A520E"/>
    <w:rsid w:val="006A55C6"/>
    <w:rsid w:val="006A58A8"/>
    <w:rsid w:val="006A6BD9"/>
    <w:rsid w:val="006A6E6B"/>
    <w:rsid w:val="006A783A"/>
    <w:rsid w:val="006A7EF3"/>
    <w:rsid w:val="006B020B"/>
    <w:rsid w:val="006B07B8"/>
    <w:rsid w:val="006B1711"/>
    <w:rsid w:val="006B19E9"/>
    <w:rsid w:val="006B2697"/>
    <w:rsid w:val="006B30AA"/>
    <w:rsid w:val="006B57B0"/>
    <w:rsid w:val="006B57E9"/>
    <w:rsid w:val="006B5F02"/>
    <w:rsid w:val="006B6160"/>
    <w:rsid w:val="006B65C5"/>
    <w:rsid w:val="006B68DB"/>
    <w:rsid w:val="006B7C8A"/>
    <w:rsid w:val="006C062D"/>
    <w:rsid w:val="006C0BD1"/>
    <w:rsid w:val="006C0D20"/>
    <w:rsid w:val="006C1015"/>
    <w:rsid w:val="006C10E9"/>
    <w:rsid w:val="006C1A2A"/>
    <w:rsid w:val="006C1B06"/>
    <w:rsid w:val="006C225F"/>
    <w:rsid w:val="006C23D1"/>
    <w:rsid w:val="006C2425"/>
    <w:rsid w:val="006C28BE"/>
    <w:rsid w:val="006C30F9"/>
    <w:rsid w:val="006C31C6"/>
    <w:rsid w:val="006C4EA9"/>
    <w:rsid w:val="006C5B3D"/>
    <w:rsid w:val="006C6244"/>
    <w:rsid w:val="006C665D"/>
    <w:rsid w:val="006C6B60"/>
    <w:rsid w:val="006C6E55"/>
    <w:rsid w:val="006D1175"/>
    <w:rsid w:val="006D1937"/>
    <w:rsid w:val="006D1F55"/>
    <w:rsid w:val="006D233E"/>
    <w:rsid w:val="006D2485"/>
    <w:rsid w:val="006D250C"/>
    <w:rsid w:val="006D2DEE"/>
    <w:rsid w:val="006D3C41"/>
    <w:rsid w:val="006D4A2E"/>
    <w:rsid w:val="006D5656"/>
    <w:rsid w:val="006D5FA2"/>
    <w:rsid w:val="006E06C6"/>
    <w:rsid w:val="006E0BED"/>
    <w:rsid w:val="006E0CE1"/>
    <w:rsid w:val="006E0F35"/>
    <w:rsid w:val="006E11E1"/>
    <w:rsid w:val="006E17D0"/>
    <w:rsid w:val="006E32DD"/>
    <w:rsid w:val="006E3734"/>
    <w:rsid w:val="006E4488"/>
    <w:rsid w:val="006E5912"/>
    <w:rsid w:val="006E627B"/>
    <w:rsid w:val="006E6747"/>
    <w:rsid w:val="006E6DDF"/>
    <w:rsid w:val="006E6EDC"/>
    <w:rsid w:val="006E7168"/>
    <w:rsid w:val="006E7B49"/>
    <w:rsid w:val="006E7DD7"/>
    <w:rsid w:val="006F04C9"/>
    <w:rsid w:val="006F0709"/>
    <w:rsid w:val="006F0C60"/>
    <w:rsid w:val="006F0F8D"/>
    <w:rsid w:val="006F1768"/>
    <w:rsid w:val="006F1C0A"/>
    <w:rsid w:val="006F1C19"/>
    <w:rsid w:val="006F2330"/>
    <w:rsid w:val="006F2672"/>
    <w:rsid w:val="006F2B34"/>
    <w:rsid w:val="006F2DE3"/>
    <w:rsid w:val="006F3355"/>
    <w:rsid w:val="006F3723"/>
    <w:rsid w:val="006F3C00"/>
    <w:rsid w:val="006F3CF9"/>
    <w:rsid w:val="006F43F3"/>
    <w:rsid w:val="006F4533"/>
    <w:rsid w:val="006F5B8E"/>
    <w:rsid w:val="006F5DAB"/>
    <w:rsid w:val="006F61B1"/>
    <w:rsid w:val="006F69AF"/>
    <w:rsid w:val="006F7353"/>
    <w:rsid w:val="006F7896"/>
    <w:rsid w:val="006F7900"/>
    <w:rsid w:val="006F7984"/>
    <w:rsid w:val="00701756"/>
    <w:rsid w:val="007019D2"/>
    <w:rsid w:val="00701C16"/>
    <w:rsid w:val="00702182"/>
    <w:rsid w:val="00704432"/>
    <w:rsid w:val="00704627"/>
    <w:rsid w:val="00704D91"/>
    <w:rsid w:val="007063C1"/>
    <w:rsid w:val="007064AB"/>
    <w:rsid w:val="0070657E"/>
    <w:rsid w:val="00706C8A"/>
    <w:rsid w:val="00706D38"/>
    <w:rsid w:val="00706DA7"/>
    <w:rsid w:val="00707219"/>
    <w:rsid w:val="00710EE6"/>
    <w:rsid w:val="00711760"/>
    <w:rsid w:val="007119D3"/>
    <w:rsid w:val="0071261D"/>
    <w:rsid w:val="00712821"/>
    <w:rsid w:val="00712E16"/>
    <w:rsid w:val="00713889"/>
    <w:rsid w:val="0071404F"/>
    <w:rsid w:val="007144EC"/>
    <w:rsid w:val="00715171"/>
    <w:rsid w:val="007158B2"/>
    <w:rsid w:val="0071602F"/>
    <w:rsid w:val="00716C15"/>
    <w:rsid w:val="00716F0B"/>
    <w:rsid w:val="007176F2"/>
    <w:rsid w:val="0072012D"/>
    <w:rsid w:val="00720728"/>
    <w:rsid w:val="0072085A"/>
    <w:rsid w:val="00720B93"/>
    <w:rsid w:val="00720C3D"/>
    <w:rsid w:val="00721207"/>
    <w:rsid w:val="007212B7"/>
    <w:rsid w:val="0072206F"/>
    <w:rsid w:val="00722419"/>
    <w:rsid w:val="00723B41"/>
    <w:rsid w:val="00724336"/>
    <w:rsid w:val="00724C4A"/>
    <w:rsid w:val="00724DBE"/>
    <w:rsid w:val="00726E3C"/>
    <w:rsid w:val="00727507"/>
    <w:rsid w:val="00731267"/>
    <w:rsid w:val="007316D3"/>
    <w:rsid w:val="0073202A"/>
    <w:rsid w:val="007321F5"/>
    <w:rsid w:val="00732579"/>
    <w:rsid w:val="007344E6"/>
    <w:rsid w:val="00734864"/>
    <w:rsid w:val="00734B09"/>
    <w:rsid w:val="00735DD8"/>
    <w:rsid w:val="00736744"/>
    <w:rsid w:val="0073676B"/>
    <w:rsid w:val="00736A80"/>
    <w:rsid w:val="00736FF6"/>
    <w:rsid w:val="0073771D"/>
    <w:rsid w:val="00737ED2"/>
    <w:rsid w:val="00740E10"/>
    <w:rsid w:val="00741526"/>
    <w:rsid w:val="0074171D"/>
    <w:rsid w:val="007422A6"/>
    <w:rsid w:val="007450DB"/>
    <w:rsid w:val="0074553E"/>
    <w:rsid w:val="00745682"/>
    <w:rsid w:val="00746523"/>
    <w:rsid w:val="00746892"/>
    <w:rsid w:val="00746894"/>
    <w:rsid w:val="0074700E"/>
    <w:rsid w:val="0074770B"/>
    <w:rsid w:val="0074778E"/>
    <w:rsid w:val="007502B8"/>
    <w:rsid w:val="00750551"/>
    <w:rsid w:val="00750D66"/>
    <w:rsid w:val="0075158F"/>
    <w:rsid w:val="0075161D"/>
    <w:rsid w:val="00751B68"/>
    <w:rsid w:val="00752403"/>
    <w:rsid w:val="0075287E"/>
    <w:rsid w:val="00754AD2"/>
    <w:rsid w:val="007553A1"/>
    <w:rsid w:val="00755592"/>
    <w:rsid w:val="00755E46"/>
    <w:rsid w:val="00757674"/>
    <w:rsid w:val="00761171"/>
    <w:rsid w:val="00761862"/>
    <w:rsid w:val="00761CCA"/>
    <w:rsid w:val="00761D72"/>
    <w:rsid w:val="00762B9A"/>
    <w:rsid w:val="007630DA"/>
    <w:rsid w:val="00763174"/>
    <w:rsid w:val="00763DC6"/>
    <w:rsid w:val="00764A40"/>
    <w:rsid w:val="00765249"/>
    <w:rsid w:val="007659CF"/>
    <w:rsid w:val="00765AD7"/>
    <w:rsid w:val="00765DFE"/>
    <w:rsid w:val="00765E70"/>
    <w:rsid w:val="00766FAC"/>
    <w:rsid w:val="0076736E"/>
    <w:rsid w:val="00767A99"/>
    <w:rsid w:val="00767F92"/>
    <w:rsid w:val="007709FF"/>
    <w:rsid w:val="00770CE6"/>
    <w:rsid w:val="007710BA"/>
    <w:rsid w:val="007714DB"/>
    <w:rsid w:val="00772920"/>
    <w:rsid w:val="00772D2D"/>
    <w:rsid w:val="00774BD3"/>
    <w:rsid w:val="00774EF7"/>
    <w:rsid w:val="007750A2"/>
    <w:rsid w:val="00775422"/>
    <w:rsid w:val="00780297"/>
    <w:rsid w:val="007807EE"/>
    <w:rsid w:val="00781033"/>
    <w:rsid w:val="00781255"/>
    <w:rsid w:val="00781E16"/>
    <w:rsid w:val="007827F0"/>
    <w:rsid w:val="00783A38"/>
    <w:rsid w:val="007843ED"/>
    <w:rsid w:val="00784C03"/>
    <w:rsid w:val="00784CE7"/>
    <w:rsid w:val="00785891"/>
    <w:rsid w:val="0078625C"/>
    <w:rsid w:val="007903D4"/>
    <w:rsid w:val="00790481"/>
    <w:rsid w:val="0079074E"/>
    <w:rsid w:val="007907CD"/>
    <w:rsid w:val="00790A97"/>
    <w:rsid w:val="00790B6F"/>
    <w:rsid w:val="00792829"/>
    <w:rsid w:val="00792975"/>
    <w:rsid w:val="0079361E"/>
    <w:rsid w:val="00793654"/>
    <w:rsid w:val="00793984"/>
    <w:rsid w:val="00793E32"/>
    <w:rsid w:val="00794E5B"/>
    <w:rsid w:val="00795ABD"/>
    <w:rsid w:val="0079712D"/>
    <w:rsid w:val="007A0EBA"/>
    <w:rsid w:val="007A1FF4"/>
    <w:rsid w:val="007A26ED"/>
    <w:rsid w:val="007A292C"/>
    <w:rsid w:val="007A2930"/>
    <w:rsid w:val="007A32EF"/>
    <w:rsid w:val="007A36C0"/>
    <w:rsid w:val="007A453A"/>
    <w:rsid w:val="007A46E8"/>
    <w:rsid w:val="007A4C2D"/>
    <w:rsid w:val="007A526F"/>
    <w:rsid w:val="007A6909"/>
    <w:rsid w:val="007A7363"/>
    <w:rsid w:val="007A7747"/>
    <w:rsid w:val="007B0116"/>
    <w:rsid w:val="007B08FD"/>
    <w:rsid w:val="007B0A38"/>
    <w:rsid w:val="007B0CD2"/>
    <w:rsid w:val="007B15F3"/>
    <w:rsid w:val="007B1859"/>
    <w:rsid w:val="007B205F"/>
    <w:rsid w:val="007B2939"/>
    <w:rsid w:val="007B390C"/>
    <w:rsid w:val="007B4546"/>
    <w:rsid w:val="007B49C5"/>
    <w:rsid w:val="007B5DE7"/>
    <w:rsid w:val="007B603F"/>
    <w:rsid w:val="007B6053"/>
    <w:rsid w:val="007B63E3"/>
    <w:rsid w:val="007B65A2"/>
    <w:rsid w:val="007B75C7"/>
    <w:rsid w:val="007B769B"/>
    <w:rsid w:val="007C0198"/>
    <w:rsid w:val="007C0A82"/>
    <w:rsid w:val="007C0C0B"/>
    <w:rsid w:val="007C1564"/>
    <w:rsid w:val="007C18D6"/>
    <w:rsid w:val="007C3092"/>
    <w:rsid w:val="007C33C4"/>
    <w:rsid w:val="007C44FF"/>
    <w:rsid w:val="007C48CB"/>
    <w:rsid w:val="007C50A8"/>
    <w:rsid w:val="007C5219"/>
    <w:rsid w:val="007C6088"/>
    <w:rsid w:val="007C630B"/>
    <w:rsid w:val="007C6777"/>
    <w:rsid w:val="007C6E06"/>
    <w:rsid w:val="007D04B5"/>
    <w:rsid w:val="007D0867"/>
    <w:rsid w:val="007D10C2"/>
    <w:rsid w:val="007D1825"/>
    <w:rsid w:val="007D2059"/>
    <w:rsid w:val="007D212A"/>
    <w:rsid w:val="007D2A44"/>
    <w:rsid w:val="007D3322"/>
    <w:rsid w:val="007D4081"/>
    <w:rsid w:val="007D4F97"/>
    <w:rsid w:val="007D583A"/>
    <w:rsid w:val="007D58D5"/>
    <w:rsid w:val="007D5BDB"/>
    <w:rsid w:val="007D617B"/>
    <w:rsid w:val="007D6971"/>
    <w:rsid w:val="007D6A90"/>
    <w:rsid w:val="007D6EE0"/>
    <w:rsid w:val="007D763D"/>
    <w:rsid w:val="007D7D17"/>
    <w:rsid w:val="007E0230"/>
    <w:rsid w:val="007E07A6"/>
    <w:rsid w:val="007E0A7E"/>
    <w:rsid w:val="007E23CE"/>
    <w:rsid w:val="007E45D3"/>
    <w:rsid w:val="007E49C7"/>
    <w:rsid w:val="007E52BD"/>
    <w:rsid w:val="007E5523"/>
    <w:rsid w:val="007E592B"/>
    <w:rsid w:val="007E5EF8"/>
    <w:rsid w:val="007E6865"/>
    <w:rsid w:val="007E72F6"/>
    <w:rsid w:val="007F04A5"/>
    <w:rsid w:val="007F1BD7"/>
    <w:rsid w:val="007F21E8"/>
    <w:rsid w:val="007F2226"/>
    <w:rsid w:val="007F29D4"/>
    <w:rsid w:val="007F3143"/>
    <w:rsid w:val="007F48E1"/>
    <w:rsid w:val="007F5043"/>
    <w:rsid w:val="007F53FA"/>
    <w:rsid w:val="007F5CEE"/>
    <w:rsid w:val="007F6804"/>
    <w:rsid w:val="007F7023"/>
    <w:rsid w:val="007F7991"/>
    <w:rsid w:val="00800386"/>
    <w:rsid w:val="0080094D"/>
    <w:rsid w:val="00801AED"/>
    <w:rsid w:val="00801F7E"/>
    <w:rsid w:val="00802077"/>
    <w:rsid w:val="00802368"/>
    <w:rsid w:val="00802605"/>
    <w:rsid w:val="008029CB"/>
    <w:rsid w:val="008029F3"/>
    <w:rsid w:val="0080397D"/>
    <w:rsid w:val="008043D8"/>
    <w:rsid w:val="00804619"/>
    <w:rsid w:val="00804DA4"/>
    <w:rsid w:val="00804EC0"/>
    <w:rsid w:val="00804FFC"/>
    <w:rsid w:val="008051A8"/>
    <w:rsid w:val="008059BC"/>
    <w:rsid w:val="00805A94"/>
    <w:rsid w:val="00806295"/>
    <w:rsid w:val="00807001"/>
    <w:rsid w:val="008072DD"/>
    <w:rsid w:val="0080733A"/>
    <w:rsid w:val="0081059B"/>
    <w:rsid w:val="008109D1"/>
    <w:rsid w:val="00812D3F"/>
    <w:rsid w:val="00813B52"/>
    <w:rsid w:val="00813D58"/>
    <w:rsid w:val="00813FA2"/>
    <w:rsid w:val="00815EF3"/>
    <w:rsid w:val="00816797"/>
    <w:rsid w:val="00816EF7"/>
    <w:rsid w:val="00817704"/>
    <w:rsid w:val="0081777B"/>
    <w:rsid w:val="00817EB0"/>
    <w:rsid w:val="00820CAB"/>
    <w:rsid w:val="00820EDC"/>
    <w:rsid w:val="00821392"/>
    <w:rsid w:val="008218A9"/>
    <w:rsid w:val="00821B54"/>
    <w:rsid w:val="00821EA3"/>
    <w:rsid w:val="0082243A"/>
    <w:rsid w:val="0082246E"/>
    <w:rsid w:val="00822E78"/>
    <w:rsid w:val="00823654"/>
    <w:rsid w:val="00824567"/>
    <w:rsid w:val="0082517F"/>
    <w:rsid w:val="00825BD1"/>
    <w:rsid w:val="00826454"/>
    <w:rsid w:val="0082693C"/>
    <w:rsid w:val="0082706E"/>
    <w:rsid w:val="00827868"/>
    <w:rsid w:val="00827F6F"/>
    <w:rsid w:val="0083013B"/>
    <w:rsid w:val="00830C5E"/>
    <w:rsid w:val="00831599"/>
    <w:rsid w:val="00831CC1"/>
    <w:rsid w:val="00831E74"/>
    <w:rsid w:val="00833450"/>
    <w:rsid w:val="00833936"/>
    <w:rsid w:val="00833BD1"/>
    <w:rsid w:val="008347D0"/>
    <w:rsid w:val="00834F8D"/>
    <w:rsid w:val="008353A5"/>
    <w:rsid w:val="008359D7"/>
    <w:rsid w:val="0083683E"/>
    <w:rsid w:val="00837394"/>
    <w:rsid w:val="00840694"/>
    <w:rsid w:val="008407D4"/>
    <w:rsid w:val="00840842"/>
    <w:rsid w:val="00840AA5"/>
    <w:rsid w:val="0084142F"/>
    <w:rsid w:val="008427DB"/>
    <w:rsid w:val="008434DB"/>
    <w:rsid w:val="00843CE1"/>
    <w:rsid w:val="00843D80"/>
    <w:rsid w:val="00843E01"/>
    <w:rsid w:val="00844917"/>
    <w:rsid w:val="00844ECF"/>
    <w:rsid w:val="008454D2"/>
    <w:rsid w:val="0084558B"/>
    <w:rsid w:val="00845654"/>
    <w:rsid w:val="00845B36"/>
    <w:rsid w:val="008468B5"/>
    <w:rsid w:val="00846FE7"/>
    <w:rsid w:val="008501E1"/>
    <w:rsid w:val="00850397"/>
    <w:rsid w:val="00850808"/>
    <w:rsid w:val="00850977"/>
    <w:rsid w:val="00850C73"/>
    <w:rsid w:val="00850D46"/>
    <w:rsid w:val="00851654"/>
    <w:rsid w:val="008516BD"/>
    <w:rsid w:val="00851A5E"/>
    <w:rsid w:val="00851D54"/>
    <w:rsid w:val="00852FD1"/>
    <w:rsid w:val="008548B0"/>
    <w:rsid w:val="00854C69"/>
    <w:rsid w:val="008551AB"/>
    <w:rsid w:val="0085576E"/>
    <w:rsid w:val="00857527"/>
    <w:rsid w:val="0085762A"/>
    <w:rsid w:val="00857777"/>
    <w:rsid w:val="00860589"/>
    <w:rsid w:val="0086115B"/>
    <w:rsid w:val="0086137C"/>
    <w:rsid w:val="008613EC"/>
    <w:rsid w:val="0086211F"/>
    <w:rsid w:val="00862356"/>
    <w:rsid w:val="00862448"/>
    <w:rsid w:val="008625CF"/>
    <w:rsid w:val="00862AE6"/>
    <w:rsid w:val="008630A4"/>
    <w:rsid w:val="008637E9"/>
    <w:rsid w:val="008638EE"/>
    <w:rsid w:val="00863945"/>
    <w:rsid w:val="008643A1"/>
    <w:rsid w:val="00864AA6"/>
    <w:rsid w:val="00864F99"/>
    <w:rsid w:val="00865445"/>
    <w:rsid w:val="0086623E"/>
    <w:rsid w:val="00866563"/>
    <w:rsid w:val="00866660"/>
    <w:rsid w:val="00866824"/>
    <w:rsid w:val="00866C7C"/>
    <w:rsid w:val="00867194"/>
    <w:rsid w:val="008675AD"/>
    <w:rsid w:val="00870727"/>
    <w:rsid w:val="00870C6E"/>
    <w:rsid w:val="008718EE"/>
    <w:rsid w:val="00872569"/>
    <w:rsid w:val="0087275C"/>
    <w:rsid w:val="008732A4"/>
    <w:rsid w:val="00873A93"/>
    <w:rsid w:val="00873C4E"/>
    <w:rsid w:val="00873FD2"/>
    <w:rsid w:val="00874366"/>
    <w:rsid w:val="008747E6"/>
    <w:rsid w:val="00874969"/>
    <w:rsid w:val="00874A5D"/>
    <w:rsid w:val="008767C9"/>
    <w:rsid w:val="00876D1E"/>
    <w:rsid w:val="00876EED"/>
    <w:rsid w:val="00876FE8"/>
    <w:rsid w:val="00877D0F"/>
    <w:rsid w:val="00877F7F"/>
    <w:rsid w:val="0088011E"/>
    <w:rsid w:val="008809DA"/>
    <w:rsid w:val="0088149F"/>
    <w:rsid w:val="00882A21"/>
    <w:rsid w:val="008834A0"/>
    <w:rsid w:val="0088413C"/>
    <w:rsid w:val="00884D84"/>
    <w:rsid w:val="0088612D"/>
    <w:rsid w:val="00886800"/>
    <w:rsid w:val="00886E46"/>
    <w:rsid w:val="008871CE"/>
    <w:rsid w:val="008873E3"/>
    <w:rsid w:val="00887AA8"/>
    <w:rsid w:val="00891A69"/>
    <w:rsid w:val="0089335B"/>
    <w:rsid w:val="0089389A"/>
    <w:rsid w:val="00893B09"/>
    <w:rsid w:val="00893D8D"/>
    <w:rsid w:val="00894933"/>
    <w:rsid w:val="0089494D"/>
    <w:rsid w:val="00894ACE"/>
    <w:rsid w:val="008950C4"/>
    <w:rsid w:val="0089532A"/>
    <w:rsid w:val="00895C72"/>
    <w:rsid w:val="00896F14"/>
    <w:rsid w:val="008972B2"/>
    <w:rsid w:val="0089740F"/>
    <w:rsid w:val="008A01AD"/>
    <w:rsid w:val="008A07DA"/>
    <w:rsid w:val="008A12AD"/>
    <w:rsid w:val="008A19C8"/>
    <w:rsid w:val="008A1B2F"/>
    <w:rsid w:val="008A22DE"/>
    <w:rsid w:val="008A2EC0"/>
    <w:rsid w:val="008A33CC"/>
    <w:rsid w:val="008A37E1"/>
    <w:rsid w:val="008A407F"/>
    <w:rsid w:val="008A425C"/>
    <w:rsid w:val="008A44B8"/>
    <w:rsid w:val="008A4B22"/>
    <w:rsid w:val="008A52F0"/>
    <w:rsid w:val="008A589E"/>
    <w:rsid w:val="008A6A2A"/>
    <w:rsid w:val="008A6F05"/>
    <w:rsid w:val="008A7502"/>
    <w:rsid w:val="008A7871"/>
    <w:rsid w:val="008B0D7C"/>
    <w:rsid w:val="008B172A"/>
    <w:rsid w:val="008B1FA8"/>
    <w:rsid w:val="008B38EC"/>
    <w:rsid w:val="008B4518"/>
    <w:rsid w:val="008B5054"/>
    <w:rsid w:val="008B52BE"/>
    <w:rsid w:val="008B5D2B"/>
    <w:rsid w:val="008B6F0A"/>
    <w:rsid w:val="008B71CE"/>
    <w:rsid w:val="008B76BE"/>
    <w:rsid w:val="008B7F3B"/>
    <w:rsid w:val="008C13FA"/>
    <w:rsid w:val="008C169D"/>
    <w:rsid w:val="008C36BD"/>
    <w:rsid w:val="008C3D7B"/>
    <w:rsid w:val="008C50C1"/>
    <w:rsid w:val="008C5224"/>
    <w:rsid w:val="008C6582"/>
    <w:rsid w:val="008C7194"/>
    <w:rsid w:val="008D0BEC"/>
    <w:rsid w:val="008D0EAD"/>
    <w:rsid w:val="008D2243"/>
    <w:rsid w:val="008D2426"/>
    <w:rsid w:val="008D2A49"/>
    <w:rsid w:val="008D4197"/>
    <w:rsid w:val="008D527A"/>
    <w:rsid w:val="008D5716"/>
    <w:rsid w:val="008D5F2B"/>
    <w:rsid w:val="008D6446"/>
    <w:rsid w:val="008E026A"/>
    <w:rsid w:val="008E07A6"/>
    <w:rsid w:val="008E08B4"/>
    <w:rsid w:val="008E2420"/>
    <w:rsid w:val="008E2A09"/>
    <w:rsid w:val="008E3A26"/>
    <w:rsid w:val="008E4329"/>
    <w:rsid w:val="008E46B7"/>
    <w:rsid w:val="008E470D"/>
    <w:rsid w:val="008E4862"/>
    <w:rsid w:val="008E5471"/>
    <w:rsid w:val="008E5D67"/>
    <w:rsid w:val="008E6013"/>
    <w:rsid w:val="008E6120"/>
    <w:rsid w:val="008E6516"/>
    <w:rsid w:val="008E73F0"/>
    <w:rsid w:val="008E74F1"/>
    <w:rsid w:val="008E7862"/>
    <w:rsid w:val="008E7E2A"/>
    <w:rsid w:val="008F0427"/>
    <w:rsid w:val="008F080F"/>
    <w:rsid w:val="008F182E"/>
    <w:rsid w:val="008F1955"/>
    <w:rsid w:val="008F3120"/>
    <w:rsid w:val="008F47CD"/>
    <w:rsid w:val="008F4C6F"/>
    <w:rsid w:val="008F4D95"/>
    <w:rsid w:val="008F5A4E"/>
    <w:rsid w:val="008F69ED"/>
    <w:rsid w:val="008F6B5F"/>
    <w:rsid w:val="008F6F9D"/>
    <w:rsid w:val="008F79DA"/>
    <w:rsid w:val="008F7AE9"/>
    <w:rsid w:val="008F7FA3"/>
    <w:rsid w:val="00900F51"/>
    <w:rsid w:val="009010F3"/>
    <w:rsid w:val="0090209B"/>
    <w:rsid w:val="009034F9"/>
    <w:rsid w:val="00903577"/>
    <w:rsid w:val="009049EE"/>
    <w:rsid w:val="00904D58"/>
    <w:rsid w:val="009056B3"/>
    <w:rsid w:val="00905726"/>
    <w:rsid w:val="00905CEF"/>
    <w:rsid w:val="009063DE"/>
    <w:rsid w:val="00906959"/>
    <w:rsid w:val="00906C72"/>
    <w:rsid w:val="00906CC5"/>
    <w:rsid w:val="009079C3"/>
    <w:rsid w:val="009105B8"/>
    <w:rsid w:val="0091081E"/>
    <w:rsid w:val="00910E71"/>
    <w:rsid w:val="00910F3B"/>
    <w:rsid w:val="009111B7"/>
    <w:rsid w:val="00911567"/>
    <w:rsid w:val="00913749"/>
    <w:rsid w:val="00913A1E"/>
    <w:rsid w:val="00913E28"/>
    <w:rsid w:val="009145FC"/>
    <w:rsid w:val="00914EAA"/>
    <w:rsid w:val="00915AA0"/>
    <w:rsid w:val="00915B49"/>
    <w:rsid w:val="00915B74"/>
    <w:rsid w:val="00917015"/>
    <w:rsid w:val="00917099"/>
    <w:rsid w:val="00917379"/>
    <w:rsid w:val="00917816"/>
    <w:rsid w:val="00917D24"/>
    <w:rsid w:val="00920A8D"/>
    <w:rsid w:val="00920DA4"/>
    <w:rsid w:val="0092265C"/>
    <w:rsid w:val="009228F6"/>
    <w:rsid w:val="00922CDE"/>
    <w:rsid w:val="00922DE9"/>
    <w:rsid w:val="00922F55"/>
    <w:rsid w:val="009254BC"/>
    <w:rsid w:val="00925979"/>
    <w:rsid w:val="00926BF7"/>
    <w:rsid w:val="009275D0"/>
    <w:rsid w:val="00927730"/>
    <w:rsid w:val="00927929"/>
    <w:rsid w:val="009310F1"/>
    <w:rsid w:val="00931115"/>
    <w:rsid w:val="009312BF"/>
    <w:rsid w:val="0093178F"/>
    <w:rsid w:val="009320D0"/>
    <w:rsid w:val="009334AA"/>
    <w:rsid w:val="00933AD4"/>
    <w:rsid w:val="00933BB8"/>
    <w:rsid w:val="00934F84"/>
    <w:rsid w:val="009355D9"/>
    <w:rsid w:val="00936726"/>
    <w:rsid w:val="00936786"/>
    <w:rsid w:val="00936C68"/>
    <w:rsid w:val="00937A89"/>
    <w:rsid w:val="0094123A"/>
    <w:rsid w:val="009413B9"/>
    <w:rsid w:val="009413D8"/>
    <w:rsid w:val="009413FB"/>
    <w:rsid w:val="00941C8B"/>
    <w:rsid w:val="009420F5"/>
    <w:rsid w:val="00942356"/>
    <w:rsid w:val="00943ABF"/>
    <w:rsid w:val="009442A0"/>
    <w:rsid w:val="00944E7B"/>
    <w:rsid w:val="00945307"/>
    <w:rsid w:val="00945832"/>
    <w:rsid w:val="009458BE"/>
    <w:rsid w:val="00946616"/>
    <w:rsid w:val="009473CF"/>
    <w:rsid w:val="009476C2"/>
    <w:rsid w:val="00951506"/>
    <w:rsid w:val="00952239"/>
    <w:rsid w:val="00952E93"/>
    <w:rsid w:val="00953E83"/>
    <w:rsid w:val="00955245"/>
    <w:rsid w:val="00955B4A"/>
    <w:rsid w:val="0095637C"/>
    <w:rsid w:val="00956BB6"/>
    <w:rsid w:val="0095748C"/>
    <w:rsid w:val="00957F55"/>
    <w:rsid w:val="00960BE9"/>
    <w:rsid w:val="0096142D"/>
    <w:rsid w:val="00961C69"/>
    <w:rsid w:val="00962F5A"/>
    <w:rsid w:val="00963B7C"/>
    <w:rsid w:val="00963F63"/>
    <w:rsid w:val="009641E6"/>
    <w:rsid w:val="009647A7"/>
    <w:rsid w:val="00966304"/>
    <w:rsid w:val="009668B8"/>
    <w:rsid w:val="00967B62"/>
    <w:rsid w:val="00970C00"/>
    <w:rsid w:val="00971713"/>
    <w:rsid w:val="009717BB"/>
    <w:rsid w:val="00971F92"/>
    <w:rsid w:val="009720FB"/>
    <w:rsid w:val="0097273B"/>
    <w:rsid w:val="00972927"/>
    <w:rsid w:val="00972EE7"/>
    <w:rsid w:val="00973398"/>
    <w:rsid w:val="00973A17"/>
    <w:rsid w:val="009741C6"/>
    <w:rsid w:val="00974372"/>
    <w:rsid w:val="00974BDE"/>
    <w:rsid w:val="009750AD"/>
    <w:rsid w:val="0097517B"/>
    <w:rsid w:val="00975DB8"/>
    <w:rsid w:val="009760BA"/>
    <w:rsid w:val="009762F5"/>
    <w:rsid w:val="009763E2"/>
    <w:rsid w:val="0097652F"/>
    <w:rsid w:val="009765E9"/>
    <w:rsid w:val="00976BE6"/>
    <w:rsid w:val="0097722C"/>
    <w:rsid w:val="00977529"/>
    <w:rsid w:val="009777F3"/>
    <w:rsid w:val="00977895"/>
    <w:rsid w:val="00977916"/>
    <w:rsid w:val="0098091C"/>
    <w:rsid w:val="009809E2"/>
    <w:rsid w:val="00981566"/>
    <w:rsid w:val="00982AC4"/>
    <w:rsid w:val="009834D5"/>
    <w:rsid w:val="00985280"/>
    <w:rsid w:val="00985612"/>
    <w:rsid w:val="00985E01"/>
    <w:rsid w:val="00985E8E"/>
    <w:rsid w:val="009863A1"/>
    <w:rsid w:val="00986672"/>
    <w:rsid w:val="00986B9E"/>
    <w:rsid w:val="00986DAA"/>
    <w:rsid w:val="00986DB0"/>
    <w:rsid w:val="00986E75"/>
    <w:rsid w:val="009872DD"/>
    <w:rsid w:val="009879CE"/>
    <w:rsid w:val="00987EF5"/>
    <w:rsid w:val="009906C6"/>
    <w:rsid w:val="00990843"/>
    <w:rsid w:val="00990990"/>
    <w:rsid w:val="009926F7"/>
    <w:rsid w:val="009929B4"/>
    <w:rsid w:val="00993189"/>
    <w:rsid w:val="00993FBA"/>
    <w:rsid w:val="00995E09"/>
    <w:rsid w:val="0099656D"/>
    <w:rsid w:val="0099715B"/>
    <w:rsid w:val="009974C3"/>
    <w:rsid w:val="00997CEF"/>
    <w:rsid w:val="009A211F"/>
    <w:rsid w:val="009A29A0"/>
    <w:rsid w:val="009A336A"/>
    <w:rsid w:val="009A3825"/>
    <w:rsid w:val="009A3B5F"/>
    <w:rsid w:val="009A3E89"/>
    <w:rsid w:val="009A423C"/>
    <w:rsid w:val="009A44DD"/>
    <w:rsid w:val="009A5A1C"/>
    <w:rsid w:val="009A5FB3"/>
    <w:rsid w:val="009A61C0"/>
    <w:rsid w:val="009A64B8"/>
    <w:rsid w:val="009A74C3"/>
    <w:rsid w:val="009A758C"/>
    <w:rsid w:val="009A78F8"/>
    <w:rsid w:val="009B0AA9"/>
    <w:rsid w:val="009B1BBB"/>
    <w:rsid w:val="009B254F"/>
    <w:rsid w:val="009B28FD"/>
    <w:rsid w:val="009B3508"/>
    <w:rsid w:val="009B3C18"/>
    <w:rsid w:val="009B4137"/>
    <w:rsid w:val="009B513B"/>
    <w:rsid w:val="009B5403"/>
    <w:rsid w:val="009B78FA"/>
    <w:rsid w:val="009C090A"/>
    <w:rsid w:val="009C0D8C"/>
    <w:rsid w:val="009C132F"/>
    <w:rsid w:val="009C162D"/>
    <w:rsid w:val="009C1B8A"/>
    <w:rsid w:val="009C1F9B"/>
    <w:rsid w:val="009C27D5"/>
    <w:rsid w:val="009C2CF2"/>
    <w:rsid w:val="009C2E68"/>
    <w:rsid w:val="009C2FBF"/>
    <w:rsid w:val="009C5197"/>
    <w:rsid w:val="009C5F2D"/>
    <w:rsid w:val="009C61A1"/>
    <w:rsid w:val="009C69FC"/>
    <w:rsid w:val="009C6F91"/>
    <w:rsid w:val="009C799A"/>
    <w:rsid w:val="009C7F41"/>
    <w:rsid w:val="009D0D45"/>
    <w:rsid w:val="009D0E97"/>
    <w:rsid w:val="009D17B3"/>
    <w:rsid w:val="009D1EC4"/>
    <w:rsid w:val="009D2FB4"/>
    <w:rsid w:val="009D445D"/>
    <w:rsid w:val="009D4F8C"/>
    <w:rsid w:val="009D5057"/>
    <w:rsid w:val="009D5AA1"/>
    <w:rsid w:val="009D7511"/>
    <w:rsid w:val="009E05E6"/>
    <w:rsid w:val="009E11A2"/>
    <w:rsid w:val="009E1509"/>
    <w:rsid w:val="009E1EEB"/>
    <w:rsid w:val="009E2964"/>
    <w:rsid w:val="009E3DDE"/>
    <w:rsid w:val="009E53F5"/>
    <w:rsid w:val="009E5BF8"/>
    <w:rsid w:val="009E5E83"/>
    <w:rsid w:val="009E62B0"/>
    <w:rsid w:val="009E66BA"/>
    <w:rsid w:val="009E6884"/>
    <w:rsid w:val="009E6F50"/>
    <w:rsid w:val="009E77AD"/>
    <w:rsid w:val="009F0677"/>
    <w:rsid w:val="009F097D"/>
    <w:rsid w:val="009F15F5"/>
    <w:rsid w:val="009F1DCD"/>
    <w:rsid w:val="009F24AB"/>
    <w:rsid w:val="009F2546"/>
    <w:rsid w:val="009F29B7"/>
    <w:rsid w:val="009F406E"/>
    <w:rsid w:val="009F41AF"/>
    <w:rsid w:val="009F4A61"/>
    <w:rsid w:val="009F4C1F"/>
    <w:rsid w:val="009F5036"/>
    <w:rsid w:val="009F5E44"/>
    <w:rsid w:val="009F6EB5"/>
    <w:rsid w:val="00A00740"/>
    <w:rsid w:val="00A014BB"/>
    <w:rsid w:val="00A016D7"/>
    <w:rsid w:val="00A01738"/>
    <w:rsid w:val="00A0276E"/>
    <w:rsid w:val="00A031F7"/>
    <w:rsid w:val="00A03685"/>
    <w:rsid w:val="00A03846"/>
    <w:rsid w:val="00A03A0C"/>
    <w:rsid w:val="00A03C13"/>
    <w:rsid w:val="00A040D2"/>
    <w:rsid w:val="00A04D6A"/>
    <w:rsid w:val="00A0583B"/>
    <w:rsid w:val="00A0661A"/>
    <w:rsid w:val="00A0663E"/>
    <w:rsid w:val="00A06E4E"/>
    <w:rsid w:val="00A06E9D"/>
    <w:rsid w:val="00A0706A"/>
    <w:rsid w:val="00A075EE"/>
    <w:rsid w:val="00A07F91"/>
    <w:rsid w:val="00A10B69"/>
    <w:rsid w:val="00A11206"/>
    <w:rsid w:val="00A1166D"/>
    <w:rsid w:val="00A11A1F"/>
    <w:rsid w:val="00A120B4"/>
    <w:rsid w:val="00A1291F"/>
    <w:rsid w:val="00A129AD"/>
    <w:rsid w:val="00A12C94"/>
    <w:rsid w:val="00A12D3F"/>
    <w:rsid w:val="00A12D6C"/>
    <w:rsid w:val="00A12DA0"/>
    <w:rsid w:val="00A1318B"/>
    <w:rsid w:val="00A148A5"/>
    <w:rsid w:val="00A14A85"/>
    <w:rsid w:val="00A15B43"/>
    <w:rsid w:val="00A15F34"/>
    <w:rsid w:val="00A15FAD"/>
    <w:rsid w:val="00A17AB9"/>
    <w:rsid w:val="00A202BD"/>
    <w:rsid w:val="00A2038A"/>
    <w:rsid w:val="00A216B4"/>
    <w:rsid w:val="00A217EB"/>
    <w:rsid w:val="00A2185B"/>
    <w:rsid w:val="00A21B57"/>
    <w:rsid w:val="00A21E08"/>
    <w:rsid w:val="00A21ED6"/>
    <w:rsid w:val="00A22C30"/>
    <w:rsid w:val="00A2448C"/>
    <w:rsid w:val="00A2579F"/>
    <w:rsid w:val="00A25D44"/>
    <w:rsid w:val="00A25EB1"/>
    <w:rsid w:val="00A26C2D"/>
    <w:rsid w:val="00A2788F"/>
    <w:rsid w:val="00A27DAD"/>
    <w:rsid w:val="00A3054E"/>
    <w:rsid w:val="00A30B72"/>
    <w:rsid w:val="00A311CB"/>
    <w:rsid w:val="00A31227"/>
    <w:rsid w:val="00A3170B"/>
    <w:rsid w:val="00A3185A"/>
    <w:rsid w:val="00A31C11"/>
    <w:rsid w:val="00A31D9D"/>
    <w:rsid w:val="00A331EA"/>
    <w:rsid w:val="00A337A3"/>
    <w:rsid w:val="00A34275"/>
    <w:rsid w:val="00A34AA7"/>
    <w:rsid w:val="00A35AEF"/>
    <w:rsid w:val="00A37FD4"/>
    <w:rsid w:val="00A40FE3"/>
    <w:rsid w:val="00A4112E"/>
    <w:rsid w:val="00A41739"/>
    <w:rsid w:val="00A41E0E"/>
    <w:rsid w:val="00A421B2"/>
    <w:rsid w:val="00A42A4D"/>
    <w:rsid w:val="00A42C3A"/>
    <w:rsid w:val="00A42D36"/>
    <w:rsid w:val="00A43705"/>
    <w:rsid w:val="00A43960"/>
    <w:rsid w:val="00A43C67"/>
    <w:rsid w:val="00A44074"/>
    <w:rsid w:val="00A45244"/>
    <w:rsid w:val="00A45265"/>
    <w:rsid w:val="00A456EB"/>
    <w:rsid w:val="00A45DC1"/>
    <w:rsid w:val="00A469C0"/>
    <w:rsid w:val="00A46AEA"/>
    <w:rsid w:val="00A473BD"/>
    <w:rsid w:val="00A476C5"/>
    <w:rsid w:val="00A501AC"/>
    <w:rsid w:val="00A50240"/>
    <w:rsid w:val="00A5033F"/>
    <w:rsid w:val="00A50623"/>
    <w:rsid w:val="00A50F98"/>
    <w:rsid w:val="00A52375"/>
    <w:rsid w:val="00A5239B"/>
    <w:rsid w:val="00A5314A"/>
    <w:rsid w:val="00A53E2C"/>
    <w:rsid w:val="00A54A12"/>
    <w:rsid w:val="00A55667"/>
    <w:rsid w:val="00A556E5"/>
    <w:rsid w:val="00A560B1"/>
    <w:rsid w:val="00A565DF"/>
    <w:rsid w:val="00A5674B"/>
    <w:rsid w:val="00A56DD7"/>
    <w:rsid w:val="00A606A5"/>
    <w:rsid w:val="00A6153D"/>
    <w:rsid w:val="00A61664"/>
    <w:rsid w:val="00A61B22"/>
    <w:rsid w:val="00A622A7"/>
    <w:rsid w:val="00A627DA"/>
    <w:rsid w:val="00A63474"/>
    <w:rsid w:val="00A6420D"/>
    <w:rsid w:val="00A654A3"/>
    <w:rsid w:val="00A65A0B"/>
    <w:rsid w:val="00A65A78"/>
    <w:rsid w:val="00A66407"/>
    <w:rsid w:val="00A669DB"/>
    <w:rsid w:val="00A66D6B"/>
    <w:rsid w:val="00A70A06"/>
    <w:rsid w:val="00A70AE4"/>
    <w:rsid w:val="00A70D5C"/>
    <w:rsid w:val="00A71101"/>
    <w:rsid w:val="00A71FA1"/>
    <w:rsid w:val="00A72C07"/>
    <w:rsid w:val="00A736DD"/>
    <w:rsid w:val="00A74748"/>
    <w:rsid w:val="00A74B46"/>
    <w:rsid w:val="00A77900"/>
    <w:rsid w:val="00A80418"/>
    <w:rsid w:val="00A80619"/>
    <w:rsid w:val="00A80E88"/>
    <w:rsid w:val="00A81C92"/>
    <w:rsid w:val="00A82164"/>
    <w:rsid w:val="00A824AA"/>
    <w:rsid w:val="00A82507"/>
    <w:rsid w:val="00A8268F"/>
    <w:rsid w:val="00A82932"/>
    <w:rsid w:val="00A82962"/>
    <w:rsid w:val="00A839FE"/>
    <w:rsid w:val="00A843EB"/>
    <w:rsid w:val="00A844B9"/>
    <w:rsid w:val="00A84591"/>
    <w:rsid w:val="00A855BB"/>
    <w:rsid w:val="00A85A6E"/>
    <w:rsid w:val="00A8617C"/>
    <w:rsid w:val="00A86364"/>
    <w:rsid w:val="00A86C51"/>
    <w:rsid w:val="00A8762B"/>
    <w:rsid w:val="00A91D6A"/>
    <w:rsid w:val="00A922F8"/>
    <w:rsid w:val="00A92AD7"/>
    <w:rsid w:val="00A946B0"/>
    <w:rsid w:val="00A970DA"/>
    <w:rsid w:val="00A9719E"/>
    <w:rsid w:val="00AA0273"/>
    <w:rsid w:val="00AA08BA"/>
    <w:rsid w:val="00AA0E54"/>
    <w:rsid w:val="00AA15BF"/>
    <w:rsid w:val="00AA1F52"/>
    <w:rsid w:val="00AA354F"/>
    <w:rsid w:val="00AA3EEE"/>
    <w:rsid w:val="00AA4590"/>
    <w:rsid w:val="00AA4AF6"/>
    <w:rsid w:val="00AA4E6D"/>
    <w:rsid w:val="00AA5244"/>
    <w:rsid w:val="00AA5C34"/>
    <w:rsid w:val="00AA5D55"/>
    <w:rsid w:val="00AA5E34"/>
    <w:rsid w:val="00AA5E47"/>
    <w:rsid w:val="00AA7AD9"/>
    <w:rsid w:val="00AA7B0B"/>
    <w:rsid w:val="00AB033D"/>
    <w:rsid w:val="00AB0552"/>
    <w:rsid w:val="00AB0E1D"/>
    <w:rsid w:val="00AB1154"/>
    <w:rsid w:val="00AB2379"/>
    <w:rsid w:val="00AB243C"/>
    <w:rsid w:val="00AB26C9"/>
    <w:rsid w:val="00AB3036"/>
    <w:rsid w:val="00AB328F"/>
    <w:rsid w:val="00AB32AB"/>
    <w:rsid w:val="00AB35C9"/>
    <w:rsid w:val="00AB5226"/>
    <w:rsid w:val="00AB5CD9"/>
    <w:rsid w:val="00AB6434"/>
    <w:rsid w:val="00AB7283"/>
    <w:rsid w:val="00AB76E7"/>
    <w:rsid w:val="00AB7B8B"/>
    <w:rsid w:val="00AC0587"/>
    <w:rsid w:val="00AC10A3"/>
    <w:rsid w:val="00AC1210"/>
    <w:rsid w:val="00AC158B"/>
    <w:rsid w:val="00AC2019"/>
    <w:rsid w:val="00AC2309"/>
    <w:rsid w:val="00AC2B64"/>
    <w:rsid w:val="00AC2E83"/>
    <w:rsid w:val="00AC3233"/>
    <w:rsid w:val="00AC33E3"/>
    <w:rsid w:val="00AC348A"/>
    <w:rsid w:val="00AC3BB3"/>
    <w:rsid w:val="00AC3E86"/>
    <w:rsid w:val="00AC3EDB"/>
    <w:rsid w:val="00AC48A6"/>
    <w:rsid w:val="00AC4A30"/>
    <w:rsid w:val="00AC4D05"/>
    <w:rsid w:val="00AC4D15"/>
    <w:rsid w:val="00AC4D16"/>
    <w:rsid w:val="00AC4D43"/>
    <w:rsid w:val="00AC4F05"/>
    <w:rsid w:val="00AC5D37"/>
    <w:rsid w:val="00AC5E4C"/>
    <w:rsid w:val="00AC61B0"/>
    <w:rsid w:val="00AC64EE"/>
    <w:rsid w:val="00AC70C3"/>
    <w:rsid w:val="00AC7136"/>
    <w:rsid w:val="00AC7B56"/>
    <w:rsid w:val="00AC7F4E"/>
    <w:rsid w:val="00AD029B"/>
    <w:rsid w:val="00AD0AC0"/>
    <w:rsid w:val="00AD0D0D"/>
    <w:rsid w:val="00AD11CA"/>
    <w:rsid w:val="00AD1792"/>
    <w:rsid w:val="00AD1A1D"/>
    <w:rsid w:val="00AD222E"/>
    <w:rsid w:val="00AD279A"/>
    <w:rsid w:val="00AD2BEF"/>
    <w:rsid w:val="00AD2C03"/>
    <w:rsid w:val="00AD3C3F"/>
    <w:rsid w:val="00AD40F8"/>
    <w:rsid w:val="00AD4730"/>
    <w:rsid w:val="00AD517E"/>
    <w:rsid w:val="00AD5264"/>
    <w:rsid w:val="00AD52E9"/>
    <w:rsid w:val="00AD5C2F"/>
    <w:rsid w:val="00AD6A8A"/>
    <w:rsid w:val="00AD6D2E"/>
    <w:rsid w:val="00AD6F44"/>
    <w:rsid w:val="00AD7F7E"/>
    <w:rsid w:val="00AE031D"/>
    <w:rsid w:val="00AE07F7"/>
    <w:rsid w:val="00AE0831"/>
    <w:rsid w:val="00AE1504"/>
    <w:rsid w:val="00AE2853"/>
    <w:rsid w:val="00AE28AC"/>
    <w:rsid w:val="00AE331C"/>
    <w:rsid w:val="00AE3764"/>
    <w:rsid w:val="00AE4EB5"/>
    <w:rsid w:val="00AE4EFC"/>
    <w:rsid w:val="00AE5386"/>
    <w:rsid w:val="00AE5A25"/>
    <w:rsid w:val="00AE66B5"/>
    <w:rsid w:val="00AE74EA"/>
    <w:rsid w:val="00AE7C5C"/>
    <w:rsid w:val="00AF0457"/>
    <w:rsid w:val="00AF12B3"/>
    <w:rsid w:val="00AF15A1"/>
    <w:rsid w:val="00AF2541"/>
    <w:rsid w:val="00AF25B8"/>
    <w:rsid w:val="00AF2BD2"/>
    <w:rsid w:val="00AF3130"/>
    <w:rsid w:val="00AF3937"/>
    <w:rsid w:val="00AF410F"/>
    <w:rsid w:val="00AF4602"/>
    <w:rsid w:val="00AF4920"/>
    <w:rsid w:val="00AF4CC8"/>
    <w:rsid w:val="00AF4CCE"/>
    <w:rsid w:val="00AF60EE"/>
    <w:rsid w:val="00B009EA"/>
    <w:rsid w:val="00B0108D"/>
    <w:rsid w:val="00B0244F"/>
    <w:rsid w:val="00B03301"/>
    <w:rsid w:val="00B03A42"/>
    <w:rsid w:val="00B044D0"/>
    <w:rsid w:val="00B047E5"/>
    <w:rsid w:val="00B0489F"/>
    <w:rsid w:val="00B04958"/>
    <w:rsid w:val="00B06700"/>
    <w:rsid w:val="00B067BE"/>
    <w:rsid w:val="00B068ED"/>
    <w:rsid w:val="00B06F59"/>
    <w:rsid w:val="00B07B14"/>
    <w:rsid w:val="00B10089"/>
    <w:rsid w:val="00B109A1"/>
    <w:rsid w:val="00B11C7E"/>
    <w:rsid w:val="00B11FDF"/>
    <w:rsid w:val="00B12022"/>
    <w:rsid w:val="00B134BA"/>
    <w:rsid w:val="00B13D56"/>
    <w:rsid w:val="00B13E43"/>
    <w:rsid w:val="00B14659"/>
    <w:rsid w:val="00B14ED0"/>
    <w:rsid w:val="00B15F34"/>
    <w:rsid w:val="00B16B18"/>
    <w:rsid w:val="00B176DB"/>
    <w:rsid w:val="00B17A56"/>
    <w:rsid w:val="00B17C14"/>
    <w:rsid w:val="00B17C78"/>
    <w:rsid w:val="00B17E8D"/>
    <w:rsid w:val="00B17FBC"/>
    <w:rsid w:val="00B2015A"/>
    <w:rsid w:val="00B20583"/>
    <w:rsid w:val="00B20FC9"/>
    <w:rsid w:val="00B22C30"/>
    <w:rsid w:val="00B22FC8"/>
    <w:rsid w:val="00B231FF"/>
    <w:rsid w:val="00B242D5"/>
    <w:rsid w:val="00B24736"/>
    <w:rsid w:val="00B250F9"/>
    <w:rsid w:val="00B2515D"/>
    <w:rsid w:val="00B25537"/>
    <w:rsid w:val="00B26F37"/>
    <w:rsid w:val="00B2784B"/>
    <w:rsid w:val="00B2784E"/>
    <w:rsid w:val="00B27A6D"/>
    <w:rsid w:val="00B3039C"/>
    <w:rsid w:val="00B30F86"/>
    <w:rsid w:val="00B327E0"/>
    <w:rsid w:val="00B34184"/>
    <w:rsid w:val="00B35BC1"/>
    <w:rsid w:val="00B3602A"/>
    <w:rsid w:val="00B360C4"/>
    <w:rsid w:val="00B37C69"/>
    <w:rsid w:val="00B40280"/>
    <w:rsid w:val="00B40E96"/>
    <w:rsid w:val="00B4105B"/>
    <w:rsid w:val="00B4180F"/>
    <w:rsid w:val="00B41FF3"/>
    <w:rsid w:val="00B4226E"/>
    <w:rsid w:val="00B42660"/>
    <w:rsid w:val="00B427EF"/>
    <w:rsid w:val="00B42AF9"/>
    <w:rsid w:val="00B43710"/>
    <w:rsid w:val="00B43D08"/>
    <w:rsid w:val="00B449C3"/>
    <w:rsid w:val="00B44E00"/>
    <w:rsid w:val="00B451A4"/>
    <w:rsid w:val="00B46475"/>
    <w:rsid w:val="00B468B4"/>
    <w:rsid w:val="00B46FF6"/>
    <w:rsid w:val="00B47C5A"/>
    <w:rsid w:val="00B47CD0"/>
    <w:rsid w:val="00B5021F"/>
    <w:rsid w:val="00B506B7"/>
    <w:rsid w:val="00B5107D"/>
    <w:rsid w:val="00B512E5"/>
    <w:rsid w:val="00B513F2"/>
    <w:rsid w:val="00B53E9E"/>
    <w:rsid w:val="00B54EE2"/>
    <w:rsid w:val="00B54FE3"/>
    <w:rsid w:val="00B56AE9"/>
    <w:rsid w:val="00B574E3"/>
    <w:rsid w:val="00B5773C"/>
    <w:rsid w:val="00B61096"/>
    <w:rsid w:val="00B61530"/>
    <w:rsid w:val="00B61C0C"/>
    <w:rsid w:val="00B621BA"/>
    <w:rsid w:val="00B63273"/>
    <w:rsid w:val="00B64551"/>
    <w:rsid w:val="00B64B4D"/>
    <w:rsid w:val="00B64C02"/>
    <w:rsid w:val="00B65F22"/>
    <w:rsid w:val="00B65F7E"/>
    <w:rsid w:val="00B6680E"/>
    <w:rsid w:val="00B67054"/>
    <w:rsid w:val="00B6770A"/>
    <w:rsid w:val="00B7005F"/>
    <w:rsid w:val="00B71096"/>
    <w:rsid w:val="00B720A6"/>
    <w:rsid w:val="00B721C3"/>
    <w:rsid w:val="00B72CAB"/>
    <w:rsid w:val="00B73756"/>
    <w:rsid w:val="00B738B1"/>
    <w:rsid w:val="00B73F36"/>
    <w:rsid w:val="00B743D4"/>
    <w:rsid w:val="00B748B9"/>
    <w:rsid w:val="00B761D9"/>
    <w:rsid w:val="00B80186"/>
    <w:rsid w:val="00B80432"/>
    <w:rsid w:val="00B8044B"/>
    <w:rsid w:val="00B80737"/>
    <w:rsid w:val="00B80749"/>
    <w:rsid w:val="00B81108"/>
    <w:rsid w:val="00B81291"/>
    <w:rsid w:val="00B824A6"/>
    <w:rsid w:val="00B82D3E"/>
    <w:rsid w:val="00B83A0F"/>
    <w:rsid w:val="00B83EF3"/>
    <w:rsid w:val="00B859C0"/>
    <w:rsid w:val="00B85AB7"/>
    <w:rsid w:val="00B85E01"/>
    <w:rsid w:val="00B86F27"/>
    <w:rsid w:val="00B87701"/>
    <w:rsid w:val="00B87772"/>
    <w:rsid w:val="00B87A75"/>
    <w:rsid w:val="00B87EF1"/>
    <w:rsid w:val="00B90524"/>
    <w:rsid w:val="00B90A6F"/>
    <w:rsid w:val="00B913BE"/>
    <w:rsid w:val="00B916FB"/>
    <w:rsid w:val="00B91DFF"/>
    <w:rsid w:val="00B91F56"/>
    <w:rsid w:val="00B925EB"/>
    <w:rsid w:val="00B92858"/>
    <w:rsid w:val="00B92E00"/>
    <w:rsid w:val="00B9491D"/>
    <w:rsid w:val="00B95245"/>
    <w:rsid w:val="00B95E91"/>
    <w:rsid w:val="00B963C5"/>
    <w:rsid w:val="00B970D3"/>
    <w:rsid w:val="00B974A3"/>
    <w:rsid w:val="00BA0848"/>
    <w:rsid w:val="00BA08F3"/>
    <w:rsid w:val="00BA0EEC"/>
    <w:rsid w:val="00BA2643"/>
    <w:rsid w:val="00BA2830"/>
    <w:rsid w:val="00BA4C3B"/>
    <w:rsid w:val="00BA50CB"/>
    <w:rsid w:val="00BA596E"/>
    <w:rsid w:val="00BA7248"/>
    <w:rsid w:val="00BA7E18"/>
    <w:rsid w:val="00BA7F6D"/>
    <w:rsid w:val="00BB0568"/>
    <w:rsid w:val="00BB0FC3"/>
    <w:rsid w:val="00BB121C"/>
    <w:rsid w:val="00BB1345"/>
    <w:rsid w:val="00BB1A0A"/>
    <w:rsid w:val="00BB1C62"/>
    <w:rsid w:val="00BB338D"/>
    <w:rsid w:val="00BB34FB"/>
    <w:rsid w:val="00BB411F"/>
    <w:rsid w:val="00BB47C0"/>
    <w:rsid w:val="00BB592B"/>
    <w:rsid w:val="00BB5BF9"/>
    <w:rsid w:val="00BB5CB4"/>
    <w:rsid w:val="00BB74F9"/>
    <w:rsid w:val="00BB7A63"/>
    <w:rsid w:val="00BC00E8"/>
    <w:rsid w:val="00BC08FC"/>
    <w:rsid w:val="00BC0E25"/>
    <w:rsid w:val="00BC1760"/>
    <w:rsid w:val="00BC1979"/>
    <w:rsid w:val="00BC20CF"/>
    <w:rsid w:val="00BC3253"/>
    <w:rsid w:val="00BC4316"/>
    <w:rsid w:val="00BC44BF"/>
    <w:rsid w:val="00BC46E5"/>
    <w:rsid w:val="00BC56AA"/>
    <w:rsid w:val="00BC64C7"/>
    <w:rsid w:val="00BC685E"/>
    <w:rsid w:val="00BC6E46"/>
    <w:rsid w:val="00BC7FF4"/>
    <w:rsid w:val="00BD0425"/>
    <w:rsid w:val="00BD0FA3"/>
    <w:rsid w:val="00BD2802"/>
    <w:rsid w:val="00BD2F0E"/>
    <w:rsid w:val="00BD3930"/>
    <w:rsid w:val="00BD43E4"/>
    <w:rsid w:val="00BD468C"/>
    <w:rsid w:val="00BD49C6"/>
    <w:rsid w:val="00BD4E85"/>
    <w:rsid w:val="00BD516D"/>
    <w:rsid w:val="00BD5705"/>
    <w:rsid w:val="00BD5C1E"/>
    <w:rsid w:val="00BD61A2"/>
    <w:rsid w:val="00BD6B4F"/>
    <w:rsid w:val="00BD702B"/>
    <w:rsid w:val="00BD7E1E"/>
    <w:rsid w:val="00BE021E"/>
    <w:rsid w:val="00BE039E"/>
    <w:rsid w:val="00BE0B73"/>
    <w:rsid w:val="00BE0C19"/>
    <w:rsid w:val="00BE0D40"/>
    <w:rsid w:val="00BE1271"/>
    <w:rsid w:val="00BE1A51"/>
    <w:rsid w:val="00BE2221"/>
    <w:rsid w:val="00BE2502"/>
    <w:rsid w:val="00BE3395"/>
    <w:rsid w:val="00BE33BF"/>
    <w:rsid w:val="00BE3ABA"/>
    <w:rsid w:val="00BE4288"/>
    <w:rsid w:val="00BE4A04"/>
    <w:rsid w:val="00BE4E87"/>
    <w:rsid w:val="00BE4F18"/>
    <w:rsid w:val="00BE524C"/>
    <w:rsid w:val="00BE56DB"/>
    <w:rsid w:val="00BE6925"/>
    <w:rsid w:val="00BE6AA3"/>
    <w:rsid w:val="00BE6C45"/>
    <w:rsid w:val="00BF016B"/>
    <w:rsid w:val="00BF0703"/>
    <w:rsid w:val="00BF0BE1"/>
    <w:rsid w:val="00BF14CC"/>
    <w:rsid w:val="00BF14E9"/>
    <w:rsid w:val="00BF2279"/>
    <w:rsid w:val="00BF274B"/>
    <w:rsid w:val="00BF2C07"/>
    <w:rsid w:val="00BF336D"/>
    <w:rsid w:val="00BF372E"/>
    <w:rsid w:val="00BF38D2"/>
    <w:rsid w:val="00BF461E"/>
    <w:rsid w:val="00BF4CA4"/>
    <w:rsid w:val="00BF576B"/>
    <w:rsid w:val="00BF6532"/>
    <w:rsid w:val="00BF6849"/>
    <w:rsid w:val="00BF6B7E"/>
    <w:rsid w:val="00BF747C"/>
    <w:rsid w:val="00BF7631"/>
    <w:rsid w:val="00BF7CD2"/>
    <w:rsid w:val="00C008FF"/>
    <w:rsid w:val="00C0112D"/>
    <w:rsid w:val="00C01301"/>
    <w:rsid w:val="00C017D2"/>
    <w:rsid w:val="00C0180A"/>
    <w:rsid w:val="00C01F4C"/>
    <w:rsid w:val="00C032B4"/>
    <w:rsid w:val="00C03529"/>
    <w:rsid w:val="00C035D1"/>
    <w:rsid w:val="00C03CC3"/>
    <w:rsid w:val="00C064C2"/>
    <w:rsid w:val="00C06ADC"/>
    <w:rsid w:val="00C0720C"/>
    <w:rsid w:val="00C10846"/>
    <w:rsid w:val="00C10E9A"/>
    <w:rsid w:val="00C115FA"/>
    <w:rsid w:val="00C129A1"/>
    <w:rsid w:val="00C1447C"/>
    <w:rsid w:val="00C14483"/>
    <w:rsid w:val="00C14803"/>
    <w:rsid w:val="00C14AFB"/>
    <w:rsid w:val="00C1583D"/>
    <w:rsid w:val="00C170D0"/>
    <w:rsid w:val="00C1735C"/>
    <w:rsid w:val="00C17668"/>
    <w:rsid w:val="00C20183"/>
    <w:rsid w:val="00C2155F"/>
    <w:rsid w:val="00C220EF"/>
    <w:rsid w:val="00C229B7"/>
    <w:rsid w:val="00C22BEB"/>
    <w:rsid w:val="00C22ED5"/>
    <w:rsid w:val="00C230E1"/>
    <w:rsid w:val="00C24634"/>
    <w:rsid w:val="00C2485A"/>
    <w:rsid w:val="00C25EC5"/>
    <w:rsid w:val="00C25F70"/>
    <w:rsid w:val="00C262A0"/>
    <w:rsid w:val="00C274CB"/>
    <w:rsid w:val="00C30554"/>
    <w:rsid w:val="00C307AB"/>
    <w:rsid w:val="00C322F8"/>
    <w:rsid w:val="00C325E1"/>
    <w:rsid w:val="00C32F51"/>
    <w:rsid w:val="00C340A8"/>
    <w:rsid w:val="00C344EB"/>
    <w:rsid w:val="00C3464E"/>
    <w:rsid w:val="00C34E18"/>
    <w:rsid w:val="00C358BB"/>
    <w:rsid w:val="00C35BE1"/>
    <w:rsid w:val="00C36920"/>
    <w:rsid w:val="00C37C01"/>
    <w:rsid w:val="00C409CA"/>
    <w:rsid w:val="00C40BC8"/>
    <w:rsid w:val="00C4113D"/>
    <w:rsid w:val="00C42079"/>
    <w:rsid w:val="00C42398"/>
    <w:rsid w:val="00C42A58"/>
    <w:rsid w:val="00C42F45"/>
    <w:rsid w:val="00C436A4"/>
    <w:rsid w:val="00C43B81"/>
    <w:rsid w:val="00C43D3F"/>
    <w:rsid w:val="00C448BF"/>
    <w:rsid w:val="00C450C0"/>
    <w:rsid w:val="00C451C1"/>
    <w:rsid w:val="00C45302"/>
    <w:rsid w:val="00C45A61"/>
    <w:rsid w:val="00C47BA5"/>
    <w:rsid w:val="00C504B4"/>
    <w:rsid w:val="00C50521"/>
    <w:rsid w:val="00C51353"/>
    <w:rsid w:val="00C514A1"/>
    <w:rsid w:val="00C514AF"/>
    <w:rsid w:val="00C51E60"/>
    <w:rsid w:val="00C52652"/>
    <w:rsid w:val="00C52A1E"/>
    <w:rsid w:val="00C530C8"/>
    <w:rsid w:val="00C538D8"/>
    <w:rsid w:val="00C538DE"/>
    <w:rsid w:val="00C53AB5"/>
    <w:rsid w:val="00C54E7A"/>
    <w:rsid w:val="00C56700"/>
    <w:rsid w:val="00C56CFD"/>
    <w:rsid w:val="00C56D0B"/>
    <w:rsid w:val="00C56EEE"/>
    <w:rsid w:val="00C56F27"/>
    <w:rsid w:val="00C57141"/>
    <w:rsid w:val="00C57B56"/>
    <w:rsid w:val="00C57C27"/>
    <w:rsid w:val="00C603FA"/>
    <w:rsid w:val="00C605DE"/>
    <w:rsid w:val="00C6154D"/>
    <w:rsid w:val="00C61AA2"/>
    <w:rsid w:val="00C61BEB"/>
    <w:rsid w:val="00C62208"/>
    <w:rsid w:val="00C63109"/>
    <w:rsid w:val="00C633F8"/>
    <w:rsid w:val="00C6346E"/>
    <w:rsid w:val="00C64339"/>
    <w:rsid w:val="00C65896"/>
    <w:rsid w:val="00C66391"/>
    <w:rsid w:val="00C663B0"/>
    <w:rsid w:val="00C66B02"/>
    <w:rsid w:val="00C67756"/>
    <w:rsid w:val="00C67C64"/>
    <w:rsid w:val="00C67ECD"/>
    <w:rsid w:val="00C67F20"/>
    <w:rsid w:val="00C704E7"/>
    <w:rsid w:val="00C709ED"/>
    <w:rsid w:val="00C70FB0"/>
    <w:rsid w:val="00C7192B"/>
    <w:rsid w:val="00C72AE5"/>
    <w:rsid w:val="00C72CA6"/>
    <w:rsid w:val="00C74AD9"/>
    <w:rsid w:val="00C74CC3"/>
    <w:rsid w:val="00C75B58"/>
    <w:rsid w:val="00C75BC5"/>
    <w:rsid w:val="00C7607E"/>
    <w:rsid w:val="00C77327"/>
    <w:rsid w:val="00C80E61"/>
    <w:rsid w:val="00C8131C"/>
    <w:rsid w:val="00C81516"/>
    <w:rsid w:val="00C8283C"/>
    <w:rsid w:val="00C8289F"/>
    <w:rsid w:val="00C82B5F"/>
    <w:rsid w:val="00C83C2D"/>
    <w:rsid w:val="00C846F0"/>
    <w:rsid w:val="00C84738"/>
    <w:rsid w:val="00C85046"/>
    <w:rsid w:val="00C8557A"/>
    <w:rsid w:val="00C8571A"/>
    <w:rsid w:val="00C85894"/>
    <w:rsid w:val="00C85C6A"/>
    <w:rsid w:val="00C8667E"/>
    <w:rsid w:val="00C86785"/>
    <w:rsid w:val="00C8679B"/>
    <w:rsid w:val="00C86E11"/>
    <w:rsid w:val="00C872D5"/>
    <w:rsid w:val="00C9066E"/>
    <w:rsid w:val="00C92452"/>
    <w:rsid w:val="00C92E41"/>
    <w:rsid w:val="00C92E8D"/>
    <w:rsid w:val="00C935E6"/>
    <w:rsid w:val="00C9436F"/>
    <w:rsid w:val="00C95027"/>
    <w:rsid w:val="00C96348"/>
    <w:rsid w:val="00C96537"/>
    <w:rsid w:val="00C96D42"/>
    <w:rsid w:val="00CA0410"/>
    <w:rsid w:val="00CA06F8"/>
    <w:rsid w:val="00CA11BA"/>
    <w:rsid w:val="00CA184D"/>
    <w:rsid w:val="00CA18C1"/>
    <w:rsid w:val="00CA1D0C"/>
    <w:rsid w:val="00CA288B"/>
    <w:rsid w:val="00CA2BD4"/>
    <w:rsid w:val="00CA33CD"/>
    <w:rsid w:val="00CA3CA5"/>
    <w:rsid w:val="00CA48D8"/>
    <w:rsid w:val="00CA5862"/>
    <w:rsid w:val="00CA5AE2"/>
    <w:rsid w:val="00CA604F"/>
    <w:rsid w:val="00CA615E"/>
    <w:rsid w:val="00CA617E"/>
    <w:rsid w:val="00CA65B3"/>
    <w:rsid w:val="00CA6967"/>
    <w:rsid w:val="00CA6BA3"/>
    <w:rsid w:val="00CA79DF"/>
    <w:rsid w:val="00CA7EFE"/>
    <w:rsid w:val="00CB0848"/>
    <w:rsid w:val="00CB0BEA"/>
    <w:rsid w:val="00CB0C7A"/>
    <w:rsid w:val="00CB1723"/>
    <w:rsid w:val="00CB1755"/>
    <w:rsid w:val="00CB1968"/>
    <w:rsid w:val="00CB1A65"/>
    <w:rsid w:val="00CB382E"/>
    <w:rsid w:val="00CB48A4"/>
    <w:rsid w:val="00CB4B02"/>
    <w:rsid w:val="00CB4F9F"/>
    <w:rsid w:val="00CB507A"/>
    <w:rsid w:val="00CB535C"/>
    <w:rsid w:val="00CB58CE"/>
    <w:rsid w:val="00CB6160"/>
    <w:rsid w:val="00CB6BBB"/>
    <w:rsid w:val="00CB6E34"/>
    <w:rsid w:val="00CB7898"/>
    <w:rsid w:val="00CB7919"/>
    <w:rsid w:val="00CC0864"/>
    <w:rsid w:val="00CC0B98"/>
    <w:rsid w:val="00CC10CC"/>
    <w:rsid w:val="00CC21FA"/>
    <w:rsid w:val="00CC272B"/>
    <w:rsid w:val="00CC42E2"/>
    <w:rsid w:val="00CC614C"/>
    <w:rsid w:val="00CC624B"/>
    <w:rsid w:val="00CD0D01"/>
    <w:rsid w:val="00CD0F44"/>
    <w:rsid w:val="00CD1119"/>
    <w:rsid w:val="00CD13C4"/>
    <w:rsid w:val="00CD1A92"/>
    <w:rsid w:val="00CD27F3"/>
    <w:rsid w:val="00CD2A17"/>
    <w:rsid w:val="00CD2B09"/>
    <w:rsid w:val="00CD4C0C"/>
    <w:rsid w:val="00CD613A"/>
    <w:rsid w:val="00CD6651"/>
    <w:rsid w:val="00CD6E2B"/>
    <w:rsid w:val="00CD7BC6"/>
    <w:rsid w:val="00CE05AA"/>
    <w:rsid w:val="00CE3CB4"/>
    <w:rsid w:val="00CE4E7C"/>
    <w:rsid w:val="00CE5542"/>
    <w:rsid w:val="00CE5EF7"/>
    <w:rsid w:val="00CE66D0"/>
    <w:rsid w:val="00CE7167"/>
    <w:rsid w:val="00CE77B0"/>
    <w:rsid w:val="00CE7816"/>
    <w:rsid w:val="00CE7C43"/>
    <w:rsid w:val="00CE7EF9"/>
    <w:rsid w:val="00CE7EFF"/>
    <w:rsid w:val="00CF04F0"/>
    <w:rsid w:val="00CF0BAB"/>
    <w:rsid w:val="00CF0D79"/>
    <w:rsid w:val="00CF0D9B"/>
    <w:rsid w:val="00CF113F"/>
    <w:rsid w:val="00CF231C"/>
    <w:rsid w:val="00CF238D"/>
    <w:rsid w:val="00CF2661"/>
    <w:rsid w:val="00CF3029"/>
    <w:rsid w:val="00CF3F8F"/>
    <w:rsid w:val="00CF4554"/>
    <w:rsid w:val="00CF49AC"/>
    <w:rsid w:val="00CF4A80"/>
    <w:rsid w:val="00CF50BF"/>
    <w:rsid w:val="00CF5346"/>
    <w:rsid w:val="00CF63C3"/>
    <w:rsid w:val="00CF6CD1"/>
    <w:rsid w:val="00D0006F"/>
    <w:rsid w:val="00D007BC"/>
    <w:rsid w:val="00D01A9B"/>
    <w:rsid w:val="00D02D2A"/>
    <w:rsid w:val="00D02EAB"/>
    <w:rsid w:val="00D034C4"/>
    <w:rsid w:val="00D035AE"/>
    <w:rsid w:val="00D03F07"/>
    <w:rsid w:val="00D03F22"/>
    <w:rsid w:val="00D04F56"/>
    <w:rsid w:val="00D05142"/>
    <w:rsid w:val="00D053CE"/>
    <w:rsid w:val="00D053FD"/>
    <w:rsid w:val="00D0555F"/>
    <w:rsid w:val="00D07483"/>
    <w:rsid w:val="00D07592"/>
    <w:rsid w:val="00D075CE"/>
    <w:rsid w:val="00D1113F"/>
    <w:rsid w:val="00D12772"/>
    <w:rsid w:val="00D132A0"/>
    <w:rsid w:val="00D13563"/>
    <w:rsid w:val="00D13AD0"/>
    <w:rsid w:val="00D140D7"/>
    <w:rsid w:val="00D14D8C"/>
    <w:rsid w:val="00D14E29"/>
    <w:rsid w:val="00D14FBA"/>
    <w:rsid w:val="00D15656"/>
    <w:rsid w:val="00D174CC"/>
    <w:rsid w:val="00D17ED5"/>
    <w:rsid w:val="00D21085"/>
    <w:rsid w:val="00D21964"/>
    <w:rsid w:val="00D21FEE"/>
    <w:rsid w:val="00D232A2"/>
    <w:rsid w:val="00D233F4"/>
    <w:rsid w:val="00D23E67"/>
    <w:rsid w:val="00D23EA8"/>
    <w:rsid w:val="00D25343"/>
    <w:rsid w:val="00D257CE"/>
    <w:rsid w:val="00D25A7C"/>
    <w:rsid w:val="00D26C6C"/>
    <w:rsid w:val="00D277CC"/>
    <w:rsid w:val="00D27CDC"/>
    <w:rsid w:val="00D27D43"/>
    <w:rsid w:val="00D302F9"/>
    <w:rsid w:val="00D30A4A"/>
    <w:rsid w:val="00D30DDA"/>
    <w:rsid w:val="00D31568"/>
    <w:rsid w:val="00D338D5"/>
    <w:rsid w:val="00D33BC3"/>
    <w:rsid w:val="00D34A96"/>
    <w:rsid w:val="00D3668A"/>
    <w:rsid w:val="00D410A8"/>
    <w:rsid w:val="00D41123"/>
    <w:rsid w:val="00D413A2"/>
    <w:rsid w:val="00D41C45"/>
    <w:rsid w:val="00D42072"/>
    <w:rsid w:val="00D42902"/>
    <w:rsid w:val="00D42B6D"/>
    <w:rsid w:val="00D43107"/>
    <w:rsid w:val="00D43ED5"/>
    <w:rsid w:val="00D4527F"/>
    <w:rsid w:val="00D457FB"/>
    <w:rsid w:val="00D45D00"/>
    <w:rsid w:val="00D460C6"/>
    <w:rsid w:val="00D4692A"/>
    <w:rsid w:val="00D46F64"/>
    <w:rsid w:val="00D50099"/>
    <w:rsid w:val="00D509B2"/>
    <w:rsid w:val="00D50A7D"/>
    <w:rsid w:val="00D51614"/>
    <w:rsid w:val="00D517C1"/>
    <w:rsid w:val="00D51C90"/>
    <w:rsid w:val="00D52DA5"/>
    <w:rsid w:val="00D530D6"/>
    <w:rsid w:val="00D53FDC"/>
    <w:rsid w:val="00D540F0"/>
    <w:rsid w:val="00D54362"/>
    <w:rsid w:val="00D54D9B"/>
    <w:rsid w:val="00D56328"/>
    <w:rsid w:val="00D5660E"/>
    <w:rsid w:val="00D56AB8"/>
    <w:rsid w:val="00D57309"/>
    <w:rsid w:val="00D5797B"/>
    <w:rsid w:val="00D57AB5"/>
    <w:rsid w:val="00D57B28"/>
    <w:rsid w:val="00D60217"/>
    <w:rsid w:val="00D602E7"/>
    <w:rsid w:val="00D60595"/>
    <w:rsid w:val="00D60983"/>
    <w:rsid w:val="00D60B41"/>
    <w:rsid w:val="00D60DE7"/>
    <w:rsid w:val="00D60F6C"/>
    <w:rsid w:val="00D60FB2"/>
    <w:rsid w:val="00D62183"/>
    <w:rsid w:val="00D62582"/>
    <w:rsid w:val="00D63275"/>
    <w:rsid w:val="00D6345F"/>
    <w:rsid w:val="00D636A6"/>
    <w:rsid w:val="00D63942"/>
    <w:rsid w:val="00D64A8E"/>
    <w:rsid w:val="00D64C78"/>
    <w:rsid w:val="00D654EE"/>
    <w:rsid w:val="00D66234"/>
    <w:rsid w:val="00D665EA"/>
    <w:rsid w:val="00D67A19"/>
    <w:rsid w:val="00D67A45"/>
    <w:rsid w:val="00D70409"/>
    <w:rsid w:val="00D70A2F"/>
    <w:rsid w:val="00D71105"/>
    <w:rsid w:val="00D7149D"/>
    <w:rsid w:val="00D72852"/>
    <w:rsid w:val="00D73087"/>
    <w:rsid w:val="00D73290"/>
    <w:rsid w:val="00D73A11"/>
    <w:rsid w:val="00D73D89"/>
    <w:rsid w:val="00D7413A"/>
    <w:rsid w:val="00D747DD"/>
    <w:rsid w:val="00D74857"/>
    <w:rsid w:val="00D748F4"/>
    <w:rsid w:val="00D74D1C"/>
    <w:rsid w:val="00D750E9"/>
    <w:rsid w:val="00D772DF"/>
    <w:rsid w:val="00D77B07"/>
    <w:rsid w:val="00D77BBD"/>
    <w:rsid w:val="00D77E51"/>
    <w:rsid w:val="00D77E9E"/>
    <w:rsid w:val="00D805EC"/>
    <w:rsid w:val="00D80A38"/>
    <w:rsid w:val="00D80E79"/>
    <w:rsid w:val="00D8195B"/>
    <w:rsid w:val="00D81D61"/>
    <w:rsid w:val="00D82630"/>
    <w:rsid w:val="00D833B6"/>
    <w:rsid w:val="00D83798"/>
    <w:rsid w:val="00D84E86"/>
    <w:rsid w:val="00D85EE3"/>
    <w:rsid w:val="00D85F2B"/>
    <w:rsid w:val="00D8624E"/>
    <w:rsid w:val="00D86455"/>
    <w:rsid w:val="00D868B7"/>
    <w:rsid w:val="00D86C6C"/>
    <w:rsid w:val="00D8710E"/>
    <w:rsid w:val="00D873D8"/>
    <w:rsid w:val="00D90B44"/>
    <w:rsid w:val="00D9158E"/>
    <w:rsid w:val="00D91A61"/>
    <w:rsid w:val="00D91C27"/>
    <w:rsid w:val="00D934DC"/>
    <w:rsid w:val="00D93FD0"/>
    <w:rsid w:val="00D946A3"/>
    <w:rsid w:val="00D95573"/>
    <w:rsid w:val="00D95EA4"/>
    <w:rsid w:val="00D970F9"/>
    <w:rsid w:val="00D97A38"/>
    <w:rsid w:val="00D97E1E"/>
    <w:rsid w:val="00DA0707"/>
    <w:rsid w:val="00DA190D"/>
    <w:rsid w:val="00DA1A6D"/>
    <w:rsid w:val="00DA1B9E"/>
    <w:rsid w:val="00DA224E"/>
    <w:rsid w:val="00DA2548"/>
    <w:rsid w:val="00DA2A7C"/>
    <w:rsid w:val="00DA374F"/>
    <w:rsid w:val="00DA3A56"/>
    <w:rsid w:val="00DA495A"/>
    <w:rsid w:val="00DA4F76"/>
    <w:rsid w:val="00DA551E"/>
    <w:rsid w:val="00DA576F"/>
    <w:rsid w:val="00DA5C99"/>
    <w:rsid w:val="00DA6A50"/>
    <w:rsid w:val="00DA6EF0"/>
    <w:rsid w:val="00DA7A02"/>
    <w:rsid w:val="00DB0474"/>
    <w:rsid w:val="00DB054E"/>
    <w:rsid w:val="00DB0672"/>
    <w:rsid w:val="00DB1521"/>
    <w:rsid w:val="00DB1ECC"/>
    <w:rsid w:val="00DB2731"/>
    <w:rsid w:val="00DB306B"/>
    <w:rsid w:val="00DB32A7"/>
    <w:rsid w:val="00DB389E"/>
    <w:rsid w:val="00DB42C1"/>
    <w:rsid w:val="00DB43EC"/>
    <w:rsid w:val="00DB4B7B"/>
    <w:rsid w:val="00DB4BF6"/>
    <w:rsid w:val="00DB4C5E"/>
    <w:rsid w:val="00DB5751"/>
    <w:rsid w:val="00DB618E"/>
    <w:rsid w:val="00DB683B"/>
    <w:rsid w:val="00DB6A74"/>
    <w:rsid w:val="00DB7B82"/>
    <w:rsid w:val="00DC11FC"/>
    <w:rsid w:val="00DC128F"/>
    <w:rsid w:val="00DC1CAF"/>
    <w:rsid w:val="00DC3867"/>
    <w:rsid w:val="00DC38CD"/>
    <w:rsid w:val="00DC3D27"/>
    <w:rsid w:val="00DC42AD"/>
    <w:rsid w:val="00DC4B16"/>
    <w:rsid w:val="00DC7764"/>
    <w:rsid w:val="00DC7D83"/>
    <w:rsid w:val="00DC7F4E"/>
    <w:rsid w:val="00DD02B2"/>
    <w:rsid w:val="00DD0484"/>
    <w:rsid w:val="00DD14D8"/>
    <w:rsid w:val="00DD19D6"/>
    <w:rsid w:val="00DD2984"/>
    <w:rsid w:val="00DD3A31"/>
    <w:rsid w:val="00DD3C52"/>
    <w:rsid w:val="00DD48C6"/>
    <w:rsid w:val="00DD4ECA"/>
    <w:rsid w:val="00DD503A"/>
    <w:rsid w:val="00DD641F"/>
    <w:rsid w:val="00DD6444"/>
    <w:rsid w:val="00DD650F"/>
    <w:rsid w:val="00DD663B"/>
    <w:rsid w:val="00DD69AC"/>
    <w:rsid w:val="00DE0258"/>
    <w:rsid w:val="00DE1BB7"/>
    <w:rsid w:val="00DE20F5"/>
    <w:rsid w:val="00DE2ABB"/>
    <w:rsid w:val="00DE2E8E"/>
    <w:rsid w:val="00DE2F3D"/>
    <w:rsid w:val="00DE346D"/>
    <w:rsid w:val="00DE371B"/>
    <w:rsid w:val="00DE47EC"/>
    <w:rsid w:val="00DE589C"/>
    <w:rsid w:val="00DE6152"/>
    <w:rsid w:val="00DE638F"/>
    <w:rsid w:val="00DE6B1E"/>
    <w:rsid w:val="00DE7189"/>
    <w:rsid w:val="00DF05AA"/>
    <w:rsid w:val="00DF07DA"/>
    <w:rsid w:val="00DF09C9"/>
    <w:rsid w:val="00DF153A"/>
    <w:rsid w:val="00DF1579"/>
    <w:rsid w:val="00DF28CC"/>
    <w:rsid w:val="00DF2AA9"/>
    <w:rsid w:val="00DF2CE5"/>
    <w:rsid w:val="00DF2FB0"/>
    <w:rsid w:val="00DF3ABD"/>
    <w:rsid w:val="00DF3C04"/>
    <w:rsid w:val="00DF3D9D"/>
    <w:rsid w:val="00DF3E7E"/>
    <w:rsid w:val="00DF4390"/>
    <w:rsid w:val="00DF4F1F"/>
    <w:rsid w:val="00DF5385"/>
    <w:rsid w:val="00DF56AD"/>
    <w:rsid w:val="00DF5CD5"/>
    <w:rsid w:val="00DF5DE7"/>
    <w:rsid w:val="00DF611A"/>
    <w:rsid w:val="00DF6928"/>
    <w:rsid w:val="00DF71DB"/>
    <w:rsid w:val="00DF72FF"/>
    <w:rsid w:val="00DF7693"/>
    <w:rsid w:val="00E00BB7"/>
    <w:rsid w:val="00E0101E"/>
    <w:rsid w:val="00E01628"/>
    <w:rsid w:val="00E01845"/>
    <w:rsid w:val="00E019CA"/>
    <w:rsid w:val="00E01A5D"/>
    <w:rsid w:val="00E03020"/>
    <w:rsid w:val="00E0333B"/>
    <w:rsid w:val="00E03D22"/>
    <w:rsid w:val="00E04B3E"/>
    <w:rsid w:val="00E0531D"/>
    <w:rsid w:val="00E053CA"/>
    <w:rsid w:val="00E060C7"/>
    <w:rsid w:val="00E06E09"/>
    <w:rsid w:val="00E12746"/>
    <w:rsid w:val="00E13242"/>
    <w:rsid w:val="00E135F9"/>
    <w:rsid w:val="00E136D0"/>
    <w:rsid w:val="00E13ECF"/>
    <w:rsid w:val="00E14B8C"/>
    <w:rsid w:val="00E14E1A"/>
    <w:rsid w:val="00E14E33"/>
    <w:rsid w:val="00E1534A"/>
    <w:rsid w:val="00E15548"/>
    <w:rsid w:val="00E15BF4"/>
    <w:rsid w:val="00E16737"/>
    <w:rsid w:val="00E16749"/>
    <w:rsid w:val="00E16A13"/>
    <w:rsid w:val="00E16EC4"/>
    <w:rsid w:val="00E17C73"/>
    <w:rsid w:val="00E21684"/>
    <w:rsid w:val="00E21B7F"/>
    <w:rsid w:val="00E22BCE"/>
    <w:rsid w:val="00E233A8"/>
    <w:rsid w:val="00E23C4F"/>
    <w:rsid w:val="00E2418E"/>
    <w:rsid w:val="00E242B5"/>
    <w:rsid w:val="00E242D5"/>
    <w:rsid w:val="00E24468"/>
    <w:rsid w:val="00E25D53"/>
    <w:rsid w:val="00E27215"/>
    <w:rsid w:val="00E27261"/>
    <w:rsid w:val="00E27A4B"/>
    <w:rsid w:val="00E27C5D"/>
    <w:rsid w:val="00E30E20"/>
    <w:rsid w:val="00E3367D"/>
    <w:rsid w:val="00E3376E"/>
    <w:rsid w:val="00E33B5E"/>
    <w:rsid w:val="00E34272"/>
    <w:rsid w:val="00E345A2"/>
    <w:rsid w:val="00E34623"/>
    <w:rsid w:val="00E34CBD"/>
    <w:rsid w:val="00E354D2"/>
    <w:rsid w:val="00E35E36"/>
    <w:rsid w:val="00E36920"/>
    <w:rsid w:val="00E37C10"/>
    <w:rsid w:val="00E40FC9"/>
    <w:rsid w:val="00E42509"/>
    <w:rsid w:val="00E42B9B"/>
    <w:rsid w:val="00E43177"/>
    <w:rsid w:val="00E44AB2"/>
    <w:rsid w:val="00E454EE"/>
    <w:rsid w:val="00E45D41"/>
    <w:rsid w:val="00E46C89"/>
    <w:rsid w:val="00E47508"/>
    <w:rsid w:val="00E47848"/>
    <w:rsid w:val="00E47F1B"/>
    <w:rsid w:val="00E50D5E"/>
    <w:rsid w:val="00E50D9A"/>
    <w:rsid w:val="00E50F23"/>
    <w:rsid w:val="00E5137C"/>
    <w:rsid w:val="00E51573"/>
    <w:rsid w:val="00E516F4"/>
    <w:rsid w:val="00E5188E"/>
    <w:rsid w:val="00E51DE5"/>
    <w:rsid w:val="00E52067"/>
    <w:rsid w:val="00E52155"/>
    <w:rsid w:val="00E53D4D"/>
    <w:rsid w:val="00E54010"/>
    <w:rsid w:val="00E540F8"/>
    <w:rsid w:val="00E5469E"/>
    <w:rsid w:val="00E54B33"/>
    <w:rsid w:val="00E54E41"/>
    <w:rsid w:val="00E54E93"/>
    <w:rsid w:val="00E552CC"/>
    <w:rsid w:val="00E5606D"/>
    <w:rsid w:val="00E562E3"/>
    <w:rsid w:val="00E56678"/>
    <w:rsid w:val="00E5677F"/>
    <w:rsid w:val="00E56800"/>
    <w:rsid w:val="00E56BF7"/>
    <w:rsid w:val="00E573A8"/>
    <w:rsid w:val="00E57781"/>
    <w:rsid w:val="00E57CB8"/>
    <w:rsid w:val="00E61041"/>
    <w:rsid w:val="00E61CED"/>
    <w:rsid w:val="00E62BD9"/>
    <w:rsid w:val="00E636F9"/>
    <w:rsid w:val="00E63717"/>
    <w:rsid w:val="00E65294"/>
    <w:rsid w:val="00E662CD"/>
    <w:rsid w:val="00E66531"/>
    <w:rsid w:val="00E66A74"/>
    <w:rsid w:val="00E67555"/>
    <w:rsid w:val="00E675DC"/>
    <w:rsid w:val="00E678A8"/>
    <w:rsid w:val="00E71151"/>
    <w:rsid w:val="00E71158"/>
    <w:rsid w:val="00E7140C"/>
    <w:rsid w:val="00E72788"/>
    <w:rsid w:val="00E72830"/>
    <w:rsid w:val="00E736A4"/>
    <w:rsid w:val="00E73BA1"/>
    <w:rsid w:val="00E75748"/>
    <w:rsid w:val="00E75826"/>
    <w:rsid w:val="00E75E02"/>
    <w:rsid w:val="00E767BA"/>
    <w:rsid w:val="00E76837"/>
    <w:rsid w:val="00E76B0C"/>
    <w:rsid w:val="00E76E3E"/>
    <w:rsid w:val="00E7782A"/>
    <w:rsid w:val="00E77BB5"/>
    <w:rsid w:val="00E80F29"/>
    <w:rsid w:val="00E81020"/>
    <w:rsid w:val="00E810B8"/>
    <w:rsid w:val="00E8167D"/>
    <w:rsid w:val="00E81B5F"/>
    <w:rsid w:val="00E8286D"/>
    <w:rsid w:val="00E82E32"/>
    <w:rsid w:val="00E841A3"/>
    <w:rsid w:val="00E84D03"/>
    <w:rsid w:val="00E84E2C"/>
    <w:rsid w:val="00E857B4"/>
    <w:rsid w:val="00E858AD"/>
    <w:rsid w:val="00E85D60"/>
    <w:rsid w:val="00E85DAA"/>
    <w:rsid w:val="00E86353"/>
    <w:rsid w:val="00E86662"/>
    <w:rsid w:val="00E86773"/>
    <w:rsid w:val="00E86ADC"/>
    <w:rsid w:val="00E87159"/>
    <w:rsid w:val="00E87166"/>
    <w:rsid w:val="00E87C3E"/>
    <w:rsid w:val="00E916A1"/>
    <w:rsid w:val="00E91A6E"/>
    <w:rsid w:val="00E92284"/>
    <w:rsid w:val="00E92D7A"/>
    <w:rsid w:val="00E933B7"/>
    <w:rsid w:val="00E93588"/>
    <w:rsid w:val="00E93CF5"/>
    <w:rsid w:val="00E93DD6"/>
    <w:rsid w:val="00E940BA"/>
    <w:rsid w:val="00E9466C"/>
    <w:rsid w:val="00E9497F"/>
    <w:rsid w:val="00E949CA"/>
    <w:rsid w:val="00E954C5"/>
    <w:rsid w:val="00E95E03"/>
    <w:rsid w:val="00E960CE"/>
    <w:rsid w:val="00E96B4F"/>
    <w:rsid w:val="00E96EB0"/>
    <w:rsid w:val="00E97CCD"/>
    <w:rsid w:val="00EA02AF"/>
    <w:rsid w:val="00EA0C0D"/>
    <w:rsid w:val="00EA27F3"/>
    <w:rsid w:val="00EA3771"/>
    <w:rsid w:val="00EA3A4C"/>
    <w:rsid w:val="00EA3C52"/>
    <w:rsid w:val="00EA43B5"/>
    <w:rsid w:val="00EA48B9"/>
    <w:rsid w:val="00EA4FD5"/>
    <w:rsid w:val="00EA513B"/>
    <w:rsid w:val="00EA5210"/>
    <w:rsid w:val="00EA65DA"/>
    <w:rsid w:val="00EA6CAE"/>
    <w:rsid w:val="00EA7984"/>
    <w:rsid w:val="00EA7DBE"/>
    <w:rsid w:val="00EA7E7E"/>
    <w:rsid w:val="00EB07BA"/>
    <w:rsid w:val="00EB0AE6"/>
    <w:rsid w:val="00EB0F3A"/>
    <w:rsid w:val="00EB19B1"/>
    <w:rsid w:val="00EB3C70"/>
    <w:rsid w:val="00EB7001"/>
    <w:rsid w:val="00EB7ECF"/>
    <w:rsid w:val="00EC0050"/>
    <w:rsid w:val="00EC0478"/>
    <w:rsid w:val="00EC0B73"/>
    <w:rsid w:val="00EC138E"/>
    <w:rsid w:val="00EC1709"/>
    <w:rsid w:val="00EC18D1"/>
    <w:rsid w:val="00EC1A56"/>
    <w:rsid w:val="00EC22CD"/>
    <w:rsid w:val="00EC27FA"/>
    <w:rsid w:val="00EC2AFC"/>
    <w:rsid w:val="00EC2CFE"/>
    <w:rsid w:val="00EC2ECD"/>
    <w:rsid w:val="00EC5276"/>
    <w:rsid w:val="00EC538B"/>
    <w:rsid w:val="00ED112B"/>
    <w:rsid w:val="00ED12CD"/>
    <w:rsid w:val="00ED14BE"/>
    <w:rsid w:val="00ED20DE"/>
    <w:rsid w:val="00ED21E2"/>
    <w:rsid w:val="00ED240A"/>
    <w:rsid w:val="00ED3148"/>
    <w:rsid w:val="00ED355D"/>
    <w:rsid w:val="00ED4243"/>
    <w:rsid w:val="00ED42EB"/>
    <w:rsid w:val="00ED6324"/>
    <w:rsid w:val="00ED6582"/>
    <w:rsid w:val="00ED6C61"/>
    <w:rsid w:val="00ED7354"/>
    <w:rsid w:val="00ED7A5C"/>
    <w:rsid w:val="00ED7C34"/>
    <w:rsid w:val="00EE03A4"/>
    <w:rsid w:val="00EE0AB9"/>
    <w:rsid w:val="00EE0AC8"/>
    <w:rsid w:val="00EE0F34"/>
    <w:rsid w:val="00EE1060"/>
    <w:rsid w:val="00EE16A8"/>
    <w:rsid w:val="00EE1B69"/>
    <w:rsid w:val="00EE1D01"/>
    <w:rsid w:val="00EE1E70"/>
    <w:rsid w:val="00EE20B1"/>
    <w:rsid w:val="00EE2D0B"/>
    <w:rsid w:val="00EE3302"/>
    <w:rsid w:val="00EE400B"/>
    <w:rsid w:val="00EE4460"/>
    <w:rsid w:val="00EE4F1A"/>
    <w:rsid w:val="00EE51E0"/>
    <w:rsid w:val="00EE7F93"/>
    <w:rsid w:val="00EF0AA6"/>
    <w:rsid w:val="00EF0FC8"/>
    <w:rsid w:val="00EF1A0B"/>
    <w:rsid w:val="00EF22F7"/>
    <w:rsid w:val="00EF2649"/>
    <w:rsid w:val="00EF2FF3"/>
    <w:rsid w:val="00EF3118"/>
    <w:rsid w:val="00EF34B3"/>
    <w:rsid w:val="00EF4893"/>
    <w:rsid w:val="00EF4AE4"/>
    <w:rsid w:val="00EF4B2C"/>
    <w:rsid w:val="00EF4D93"/>
    <w:rsid w:val="00EF6BFA"/>
    <w:rsid w:val="00EF6EC3"/>
    <w:rsid w:val="00EF70AA"/>
    <w:rsid w:val="00EF7378"/>
    <w:rsid w:val="00EF74E2"/>
    <w:rsid w:val="00EF7A60"/>
    <w:rsid w:val="00F00E5C"/>
    <w:rsid w:val="00F01124"/>
    <w:rsid w:val="00F01420"/>
    <w:rsid w:val="00F03483"/>
    <w:rsid w:val="00F038D7"/>
    <w:rsid w:val="00F05C57"/>
    <w:rsid w:val="00F061D8"/>
    <w:rsid w:val="00F06978"/>
    <w:rsid w:val="00F073AF"/>
    <w:rsid w:val="00F100CA"/>
    <w:rsid w:val="00F11746"/>
    <w:rsid w:val="00F118F9"/>
    <w:rsid w:val="00F11C9F"/>
    <w:rsid w:val="00F11D6C"/>
    <w:rsid w:val="00F11D80"/>
    <w:rsid w:val="00F12162"/>
    <w:rsid w:val="00F1257F"/>
    <w:rsid w:val="00F12632"/>
    <w:rsid w:val="00F12D29"/>
    <w:rsid w:val="00F12EF5"/>
    <w:rsid w:val="00F13A80"/>
    <w:rsid w:val="00F13C36"/>
    <w:rsid w:val="00F13D39"/>
    <w:rsid w:val="00F1687A"/>
    <w:rsid w:val="00F16C89"/>
    <w:rsid w:val="00F205C4"/>
    <w:rsid w:val="00F20C81"/>
    <w:rsid w:val="00F21182"/>
    <w:rsid w:val="00F21305"/>
    <w:rsid w:val="00F2151B"/>
    <w:rsid w:val="00F2191D"/>
    <w:rsid w:val="00F22B69"/>
    <w:rsid w:val="00F2301D"/>
    <w:rsid w:val="00F23C95"/>
    <w:rsid w:val="00F23FFB"/>
    <w:rsid w:val="00F246AD"/>
    <w:rsid w:val="00F24F69"/>
    <w:rsid w:val="00F25179"/>
    <w:rsid w:val="00F251F9"/>
    <w:rsid w:val="00F25FE2"/>
    <w:rsid w:val="00F2685C"/>
    <w:rsid w:val="00F27417"/>
    <w:rsid w:val="00F303C1"/>
    <w:rsid w:val="00F30E4F"/>
    <w:rsid w:val="00F31BF3"/>
    <w:rsid w:val="00F32325"/>
    <w:rsid w:val="00F3292F"/>
    <w:rsid w:val="00F33572"/>
    <w:rsid w:val="00F33700"/>
    <w:rsid w:val="00F33F1C"/>
    <w:rsid w:val="00F37A36"/>
    <w:rsid w:val="00F40BC2"/>
    <w:rsid w:val="00F417BA"/>
    <w:rsid w:val="00F41891"/>
    <w:rsid w:val="00F41ADA"/>
    <w:rsid w:val="00F41BBB"/>
    <w:rsid w:val="00F421DB"/>
    <w:rsid w:val="00F4232A"/>
    <w:rsid w:val="00F43624"/>
    <w:rsid w:val="00F43C41"/>
    <w:rsid w:val="00F43EDE"/>
    <w:rsid w:val="00F44BE7"/>
    <w:rsid w:val="00F44C0B"/>
    <w:rsid w:val="00F45260"/>
    <w:rsid w:val="00F455AE"/>
    <w:rsid w:val="00F46B11"/>
    <w:rsid w:val="00F46E16"/>
    <w:rsid w:val="00F47B19"/>
    <w:rsid w:val="00F50547"/>
    <w:rsid w:val="00F5099F"/>
    <w:rsid w:val="00F52051"/>
    <w:rsid w:val="00F52653"/>
    <w:rsid w:val="00F530A3"/>
    <w:rsid w:val="00F53E17"/>
    <w:rsid w:val="00F53EED"/>
    <w:rsid w:val="00F5471E"/>
    <w:rsid w:val="00F54AEE"/>
    <w:rsid w:val="00F55506"/>
    <w:rsid w:val="00F563BF"/>
    <w:rsid w:val="00F57846"/>
    <w:rsid w:val="00F57B8F"/>
    <w:rsid w:val="00F61117"/>
    <w:rsid w:val="00F62E24"/>
    <w:rsid w:val="00F62E65"/>
    <w:rsid w:val="00F62E97"/>
    <w:rsid w:val="00F63A67"/>
    <w:rsid w:val="00F63B4D"/>
    <w:rsid w:val="00F63B60"/>
    <w:rsid w:val="00F64117"/>
    <w:rsid w:val="00F6427A"/>
    <w:rsid w:val="00F649E7"/>
    <w:rsid w:val="00F64E1A"/>
    <w:rsid w:val="00F64F19"/>
    <w:rsid w:val="00F657AE"/>
    <w:rsid w:val="00F66482"/>
    <w:rsid w:val="00F6711A"/>
    <w:rsid w:val="00F67488"/>
    <w:rsid w:val="00F71322"/>
    <w:rsid w:val="00F71383"/>
    <w:rsid w:val="00F71784"/>
    <w:rsid w:val="00F72705"/>
    <w:rsid w:val="00F731BF"/>
    <w:rsid w:val="00F7362A"/>
    <w:rsid w:val="00F73C21"/>
    <w:rsid w:val="00F7467B"/>
    <w:rsid w:val="00F75EF5"/>
    <w:rsid w:val="00F766B5"/>
    <w:rsid w:val="00F76B25"/>
    <w:rsid w:val="00F77F41"/>
    <w:rsid w:val="00F80023"/>
    <w:rsid w:val="00F80D5E"/>
    <w:rsid w:val="00F81C72"/>
    <w:rsid w:val="00F82285"/>
    <w:rsid w:val="00F82479"/>
    <w:rsid w:val="00F838AC"/>
    <w:rsid w:val="00F83C1C"/>
    <w:rsid w:val="00F841E8"/>
    <w:rsid w:val="00F84845"/>
    <w:rsid w:val="00F84D82"/>
    <w:rsid w:val="00F8500F"/>
    <w:rsid w:val="00F85622"/>
    <w:rsid w:val="00F85BD8"/>
    <w:rsid w:val="00F86419"/>
    <w:rsid w:val="00F86815"/>
    <w:rsid w:val="00F86A87"/>
    <w:rsid w:val="00F87198"/>
    <w:rsid w:val="00F87396"/>
    <w:rsid w:val="00F916FC"/>
    <w:rsid w:val="00F919BF"/>
    <w:rsid w:val="00F92838"/>
    <w:rsid w:val="00F92903"/>
    <w:rsid w:val="00F9398C"/>
    <w:rsid w:val="00F94B8D"/>
    <w:rsid w:val="00F95E5B"/>
    <w:rsid w:val="00F95F9E"/>
    <w:rsid w:val="00F962A9"/>
    <w:rsid w:val="00F972CF"/>
    <w:rsid w:val="00F97342"/>
    <w:rsid w:val="00F97389"/>
    <w:rsid w:val="00FA0CB9"/>
    <w:rsid w:val="00FA20EC"/>
    <w:rsid w:val="00FA23F7"/>
    <w:rsid w:val="00FA28A1"/>
    <w:rsid w:val="00FA2994"/>
    <w:rsid w:val="00FA33EB"/>
    <w:rsid w:val="00FA398B"/>
    <w:rsid w:val="00FA3FAA"/>
    <w:rsid w:val="00FA42AB"/>
    <w:rsid w:val="00FA5C43"/>
    <w:rsid w:val="00FA5CDE"/>
    <w:rsid w:val="00FA728E"/>
    <w:rsid w:val="00FA75AA"/>
    <w:rsid w:val="00FA7F01"/>
    <w:rsid w:val="00FB07FE"/>
    <w:rsid w:val="00FB0F44"/>
    <w:rsid w:val="00FB1B0C"/>
    <w:rsid w:val="00FB2733"/>
    <w:rsid w:val="00FB3487"/>
    <w:rsid w:val="00FB3496"/>
    <w:rsid w:val="00FB3BF4"/>
    <w:rsid w:val="00FB41E2"/>
    <w:rsid w:val="00FB42A7"/>
    <w:rsid w:val="00FB4B6D"/>
    <w:rsid w:val="00FB5DBE"/>
    <w:rsid w:val="00FB6207"/>
    <w:rsid w:val="00FB62A9"/>
    <w:rsid w:val="00FB66B6"/>
    <w:rsid w:val="00FB73ED"/>
    <w:rsid w:val="00FB769E"/>
    <w:rsid w:val="00FB76D5"/>
    <w:rsid w:val="00FC05E6"/>
    <w:rsid w:val="00FC13D5"/>
    <w:rsid w:val="00FC28B6"/>
    <w:rsid w:val="00FC407A"/>
    <w:rsid w:val="00FC598C"/>
    <w:rsid w:val="00FC613E"/>
    <w:rsid w:val="00FC6E14"/>
    <w:rsid w:val="00FC6EDE"/>
    <w:rsid w:val="00FC79E3"/>
    <w:rsid w:val="00FD0560"/>
    <w:rsid w:val="00FD12D7"/>
    <w:rsid w:val="00FD1327"/>
    <w:rsid w:val="00FD17E9"/>
    <w:rsid w:val="00FD2320"/>
    <w:rsid w:val="00FD28F3"/>
    <w:rsid w:val="00FD2BF0"/>
    <w:rsid w:val="00FD4045"/>
    <w:rsid w:val="00FD4C96"/>
    <w:rsid w:val="00FD5C1E"/>
    <w:rsid w:val="00FD6CB1"/>
    <w:rsid w:val="00FD711A"/>
    <w:rsid w:val="00FD71C1"/>
    <w:rsid w:val="00FD777E"/>
    <w:rsid w:val="00FD7821"/>
    <w:rsid w:val="00FE0FAE"/>
    <w:rsid w:val="00FE1224"/>
    <w:rsid w:val="00FE1553"/>
    <w:rsid w:val="00FE18D6"/>
    <w:rsid w:val="00FE1F43"/>
    <w:rsid w:val="00FE1FDF"/>
    <w:rsid w:val="00FE2370"/>
    <w:rsid w:val="00FE2757"/>
    <w:rsid w:val="00FE2F07"/>
    <w:rsid w:val="00FE31E2"/>
    <w:rsid w:val="00FE33A8"/>
    <w:rsid w:val="00FE33C0"/>
    <w:rsid w:val="00FE37B5"/>
    <w:rsid w:val="00FE39B8"/>
    <w:rsid w:val="00FE3CD2"/>
    <w:rsid w:val="00FE4B20"/>
    <w:rsid w:val="00FE538D"/>
    <w:rsid w:val="00FE5F05"/>
    <w:rsid w:val="00FE6466"/>
    <w:rsid w:val="00FE6F39"/>
    <w:rsid w:val="00FE716E"/>
    <w:rsid w:val="00FE7CAB"/>
    <w:rsid w:val="00FE7DB7"/>
    <w:rsid w:val="00FF1E82"/>
    <w:rsid w:val="00FF1F7D"/>
    <w:rsid w:val="00FF23EE"/>
    <w:rsid w:val="00FF2B56"/>
    <w:rsid w:val="00FF3072"/>
    <w:rsid w:val="00FF35EF"/>
    <w:rsid w:val="00FF380C"/>
    <w:rsid w:val="00FF422A"/>
    <w:rsid w:val="00FF50FF"/>
    <w:rsid w:val="00FF52F1"/>
    <w:rsid w:val="00FF547E"/>
    <w:rsid w:val="00FF61FA"/>
    <w:rsid w:val="00FF7050"/>
    <w:rsid w:val="00FF7C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DB4247"/>
  <w15:docId w15:val="{ED179410-2237-412E-89AE-461524FFD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07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ndnoteTextChar">
    <w:name w:val="Endnote Text Char"/>
    <w:basedOn w:val="DefaultParagraphFont"/>
    <w:link w:val="EndnoteText"/>
    <w:uiPriority w:val="99"/>
    <w:semiHidden/>
    <w:qFormat/>
    <w:rsid w:val="000207A5"/>
    <w:rPr>
      <w:szCs w:val="20"/>
    </w:rPr>
  </w:style>
  <w:style w:type="character" w:customStyle="1" w:styleId="EndnoteCharacters">
    <w:name w:val="Endnote Characters"/>
    <w:basedOn w:val="DefaultParagraphFont"/>
    <w:uiPriority w:val="99"/>
    <w:unhideWhenUsed/>
    <w:qFormat/>
    <w:rsid w:val="000207A5"/>
    <w:rPr>
      <w:vertAlign w:val="superscript"/>
    </w:rPr>
  </w:style>
  <w:style w:type="character" w:customStyle="1" w:styleId="EndnoteAnchor">
    <w:name w:val="Endnote Anchor"/>
    <w:rsid w:val="000207A5"/>
    <w:rPr>
      <w:vertAlign w:val="superscript"/>
    </w:rPr>
  </w:style>
  <w:style w:type="paragraph" w:styleId="EndnoteText">
    <w:name w:val="endnote text"/>
    <w:basedOn w:val="Normal"/>
    <w:link w:val="EndnoteTextChar"/>
    <w:uiPriority w:val="99"/>
    <w:semiHidden/>
    <w:unhideWhenUsed/>
    <w:rsid w:val="000207A5"/>
    <w:pPr>
      <w:widowControl w:val="0"/>
      <w:suppressAutoHyphens/>
      <w:spacing w:after="0" w:line="240" w:lineRule="auto"/>
      <w:jc w:val="both"/>
    </w:pPr>
    <w:rPr>
      <w:szCs w:val="20"/>
    </w:rPr>
  </w:style>
  <w:style w:type="character" w:customStyle="1" w:styleId="EndnoteTextChar1">
    <w:name w:val="Endnote Text Char1"/>
    <w:basedOn w:val="DefaultParagraphFont"/>
    <w:uiPriority w:val="99"/>
    <w:semiHidden/>
    <w:rsid w:val="000207A5"/>
    <w:rPr>
      <w:sz w:val="20"/>
      <w:szCs w:val="20"/>
    </w:rPr>
  </w:style>
  <w:style w:type="character" w:styleId="EndnoteReference">
    <w:name w:val="endnote reference"/>
    <w:basedOn w:val="DefaultParagraphFont"/>
    <w:uiPriority w:val="99"/>
    <w:unhideWhenUsed/>
    <w:rsid w:val="000207A5"/>
    <w:rPr>
      <w:vertAlign w:val="superscript"/>
    </w:rPr>
  </w:style>
  <w:style w:type="character" w:styleId="IntenseEmphasis">
    <w:name w:val="Intense Emphasis"/>
    <w:uiPriority w:val="21"/>
    <w:qFormat/>
    <w:rsid w:val="000207A5"/>
    <w:rPr>
      <w:b/>
      <w:bCs/>
      <w:i/>
      <w:iCs/>
      <w:color w:val="4F81BD"/>
    </w:rPr>
  </w:style>
  <w:style w:type="character" w:styleId="CommentReference">
    <w:name w:val="annotation reference"/>
    <w:basedOn w:val="DefaultParagraphFont"/>
    <w:uiPriority w:val="99"/>
    <w:semiHidden/>
    <w:unhideWhenUsed/>
    <w:rsid w:val="000207A5"/>
    <w:rPr>
      <w:sz w:val="16"/>
      <w:szCs w:val="16"/>
    </w:rPr>
  </w:style>
  <w:style w:type="paragraph" w:styleId="CommentText">
    <w:name w:val="annotation text"/>
    <w:basedOn w:val="Normal"/>
    <w:link w:val="CommentTextChar"/>
    <w:uiPriority w:val="99"/>
    <w:unhideWhenUsed/>
    <w:rsid w:val="000207A5"/>
    <w:pPr>
      <w:spacing w:after="200" w:line="240" w:lineRule="auto"/>
    </w:pPr>
    <w:rPr>
      <w:sz w:val="20"/>
      <w:szCs w:val="20"/>
    </w:rPr>
  </w:style>
  <w:style w:type="character" w:customStyle="1" w:styleId="CommentTextChar">
    <w:name w:val="Comment Text Char"/>
    <w:basedOn w:val="DefaultParagraphFont"/>
    <w:link w:val="CommentText"/>
    <w:uiPriority w:val="99"/>
    <w:rsid w:val="000207A5"/>
    <w:rPr>
      <w:sz w:val="20"/>
      <w:szCs w:val="20"/>
    </w:rPr>
  </w:style>
  <w:style w:type="paragraph" w:styleId="CommentSubject">
    <w:name w:val="annotation subject"/>
    <w:basedOn w:val="CommentText"/>
    <w:next w:val="CommentText"/>
    <w:link w:val="CommentSubjectChar"/>
    <w:uiPriority w:val="99"/>
    <w:semiHidden/>
    <w:unhideWhenUsed/>
    <w:rsid w:val="009355D9"/>
    <w:pPr>
      <w:spacing w:after="160"/>
    </w:pPr>
    <w:rPr>
      <w:b/>
      <w:bCs/>
    </w:rPr>
  </w:style>
  <w:style w:type="character" w:customStyle="1" w:styleId="CommentSubjectChar">
    <w:name w:val="Comment Subject Char"/>
    <w:basedOn w:val="CommentTextChar"/>
    <w:link w:val="CommentSubject"/>
    <w:uiPriority w:val="99"/>
    <w:semiHidden/>
    <w:rsid w:val="009355D9"/>
    <w:rPr>
      <w:b/>
      <w:bCs/>
      <w:sz w:val="20"/>
      <w:szCs w:val="20"/>
    </w:rPr>
  </w:style>
  <w:style w:type="character" w:styleId="Hyperlink">
    <w:name w:val="Hyperlink"/>
    <w:basedOn w:val="DefaultParagraphFont"/>
    <w:uiPriority w:val="99"/>
    <w:unhideWhenUsed/>
    <w:rsid w:val="000F1508"/>
    <w:rPr>
      <w:color w:val="0000FF"/>
      <w:u w:val="single"/>
    </w:rPr>
  </w:style>
  <w:style w:type="character" w:customStyle="1" w:styleId="cf01">
    <w:name w:val="cf01"/>
    <w:basedOn w:val="DefaultParagraphFont"/>
    <w:rsid w:val="004E3448"/>
    <w:rPr>
      <w:rFonts w:ascii="Segoe UI" w:hAnsi="Segoe UI" w:cs="Segoe UI" w:hint="default"/>
      <w:sz w:val="18"/>
      <w:szCs w:val="18"/>
    </w:rPr>
  </w:style>
  <w:style w:type="character" w:styleId="UnresolvedMention">
    <w:name w:val="Unresolved Mention"/>
    <w:basedOn w:val="DefaultParagraphFont"/>
    <w:uiPriority w:val="99"/>
    <w:semiHidden/>
    <w:unhideWhenUsed/>
    <w:rsid w:val="001B512C"/>
    <w:rPr>
      <w:color w:val="605E5C"/>
      <w:shd w:val="clear" w:color="auto" w:fill="E1DFDD"/>
    </w:rPr>
  </w:style>
  <w:style w:type="paragraph" w:styleId="Header">
    <w:name w:val="header"/>
    <w:basedOn w:val="Normal"/>
    <w:link w:val="HeaderChar"/>
    <w:uiPriority w:val="99"/>
    <w:unhideWhenUsed/>
    <w:rsid w:val="00D837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3798"/>
  </w:style>
  <w:style w:type="paragraph" w:styleId="Footer">
    <w:name w:val="footer"/>
    <w:basedOn w:val="Normal"/>
    <w:link w:val="FooterChar"/>
    <w:uiPriority w:val="99"/>
    <w:unhideWhenUsed/>
    <w:rsid w:val="00D837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3798"/>
  </w:style>
  <w:style w:type="paragraph" w:styleId="Revision">
    <w:name w:val="Revision"/>
    <w:hidden/>
    <w:uiPriority w:val="99"/>
    <w:semiHidden/>
    <w:rsid w:val="00557539"/>
    <w:pPr>
      <w:spacing w:after="0" w:line="240" w:lineRule="auto"/>
    </w:pPr>
  </w:style>
  <w:style w:type="paragraph" w:styleId="ListParagraph">
    <w:name w:val="List Paragraph"/>
    <w:basedOn w:val="Normal"/>
    <w:uiPriority w:val="34"/>
    <w:qFormat/>
    <w:rsid w:val="0031109F"/>
    <w:pPr>
      <w:ind w:left="720"/>
      <w:contextualSpacing/>
    </w:pPr>
  </w:style>
  <w:style w:type="character" w:styleId="LineNumber">
    <w:name w:val="line number"/>
    <w:basedOn w:val="DefaultParagraphFont"/>
    <w:uiPriority w:val="99"/>
    <w:semiHidden/>
    <w:unhideWhenUsed/>
    <w:rsid w:val="001226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88143">
      <w:bodyDiv w:val="1"/>
      <w:marLeft w:val="0"/>
      <w:marRight w:val="0"/>
      <w:marTop w:val="0"/>
      <w:marBottom w:val="0"/>
      <w:divBdr>
        <w:top w:val="none" w:sz="0" w:space="0" w:color="auto"/>
        <w:left w:val="none" w:sz="0" w:space="0" w:color="auto"/>
        <w:bottom w:val="none" w:sz="0" w:space="0" w:color="auto"/>
        <w:right w:val="none" w:sz="0" w:space="0" w:color="auto"/>
      </w:divBdr>
    </w:div>
    <w:div w:id="603152529">
      <w:bodyDiv w:val="1"/>
      <w:marLeft w:val="0"/>
      <w:marRight w:val="0"/>
      <w:marTop w:val="0"/>
      <w:marBottom w:val="0"/>
      <w:divBdr>
        <w:top w:val="none" w:sz="0" w:space="0" w:color="auto"/>
        <w:left w:val="none" w:sz="0" w:space="0" w:color="auto"/>
        <w:bottom w:val="none" w:sz="0" w:space="0" w:color="auto"/>
        <w:right w:val="none" w:sz="0" w:space="0" w:color="auto"/>
      </w:divBdr>
    </w:div>
    <w:div w:id="709762965">
      <w:bodyDiv w:val="1"/>
      <w:marLeft w:val="0"/>
      <w:marRight w:val="0"/>
      <w:marTop w:val="0"/>
      <w:marBottom w:val="0"/>
      <w:divBdr>
        <w:top w:val="none" w:sz="0" w:space="0" w:color="auto"/>
        <w:left w:val="none" w:sz="0" w:space="0" w:color="auto"/>
        <w:bottom w:val="none" w:sz="0" w:space="0" w:color="auto"/>
        <w:right w:val="none" w:sz="0" w:space="0" w:color="auto"/>
      </w:divBdr>
    </w:div>
    <w:div w:id="1628706821">
      <w:bodyDiv w:val="1"/>
      <w:marLeft w:val="0"/>
      <w:marRight w:val="0"/>
      <w:marTop w:val="0"/>
      <w:marBottom w:val="0"/>
      <w:divBdr>
        <w:top w:val="none" w:sz="0" w:space="0" w:color="auto"/>
        <w:left w:val="none" w:sz="0" w:space="0" w:color="auto"/>
        <w:bottom w:val="none" w:sz="0" w:space="0" w:color="auto"/>
        <w:right w:val="none" w:sz="0" w:space="0" w:color="auto"/>
      </w:divBdr>
    </w:div>
    <w:div w:id="1669140355">
      <w:bodyDiv w:val="1"/>
      <w:marLeft w:val="0"/>
      <w:marRight w:val="0"/>
      <w:marTop w:val="0"/>
      <w:marBottom w:val="0"/>
      <w:divBdr>
        <w:top w:val="none" w:sz="0" w:space="0" w:color="auto"/>
        <w:left w:val="none" w:sz="0" w:space="0" w:color="auto"/>
        <w:bottom w:val="none" w:sz="0" w:space="0" w:color="auto"/>
        <w:right w:val="none" w:sz="0" w:space="0" w:color="auto"/>
      </w:divBdr>
    </w:div>
    <w:div w:id="19904037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abasi2@uic.ed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javascript:popup_orcidDetail('https://orcid.org'%20,'0000-0002-8150-9970');" TargetMode="External"/></Relationships>
</file>

<file path=word/_rels/endnotes.xml.rels><?xml version="1.0" encoding="UTF-8" standalone="yes"?>
<Relationships xmlns="http://schemas.openxmlformats.org/package/2006/relationships"><Relationship Id="rId3" Type="http://schemas.openxmlformats.org/officeDocument/2006/relationships/hyperlink" Target="https://figshare.com/s/a40a462602027e563dd1" TargetMode="External"/><Relationship Id="rId2" Type="http://schemas.openxmlformats.org/officeDocument/2006/relationships/hyperlink" Target="https://doi.org/10.3389/fphys.2021.606931" TargetMode="External"/><Relationship Id="rId1" Type="http://schemas.openxmlformats.org/officeDocument/2006/relationships/hyperlink" Target="http://ebookcentral.proquest.com/lib/uic/detail.action?docID=4775673" TargetMode="External"/><Relationship Id="rId4" Type="http://schemas.openxmlformats.org/officeDocument/2006/relationships/hyperlink" Target="https://www.stata.com/features/multiple-imput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A364D2-C35C-46AB-9E6A-A0B74CEEA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7129</Words>
  <Characters>40637</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Abasilim, Chibuzor</dc:creator>
  <cp:keywords/>
  <dc:description/>
  <cp:lastModifiedBy>Abasilim, Chibuzor</cp:lastModifiedBy>
  <cp:revision>2</cp:revision>
  <dcterms:created xsi:type="dcterms:W3CDTF">2024-02-28T23:57:00Z</dcterms:created>
  <dcterms:modified xsi:type="dcterms:W3CDTF">2024-02-28T23:57:00Z</dcterms:modified>
</cp:coreProperties>
</file>