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56DD8" w14:textId="77777777" w:rsidR="00690E13" w:rsidRDefault="00671E68" w:rsidP="003C23DA">
      <w:pPr>
        <w:contextualSpacing/>
        <w:jc w:val="center"/>
        <w:rPr>
          <w:b/>
          <w:bCs/>
        </w:rPr>
      </w:pPr>
      <w:r>
        <w:rPr>
          <w:b/>
          <w:bCs/>
        </w:rPr>
        <w:t>Using Residential Histories to Investigate the</w:t>
      </w:r>
    </w:p>
    <w:p w14:paraId="13597B93" w14:textId="2AB4FD8E" w:rsidR="00B91550" w:rsidRDefault="00671E68" w:rsidP="003C23DA">
      <w:pPr>
        <w:contextualSpacing/>
        <w:jc w:val="center"/>
        <w:rPr>
          <w:b/>
          <w:bCs/>
        </w:rPr>
      </w:pPr>
      <w:r>
        <w:rPr>
          <w:b/>
          <w:bCs/>
        </w:rPr>
        <w:t>Role of Segregation in Racial Cancer Inequities</w:t>
      </w:r>
    </w:p>
    <w:p w14:paraId="7C6FFF7B" w14:textId="6FA91C26" w:rsidR="00690E13" w:rsidRPr="00DD6AD4" w:rsidRDefault="00690E13" w:rsidP="00DD6AD4">
      <w:pPr>
        <w:spacing w:line="240" w:lineRule="auto"/>
        <w:contextualSpacing/>
        <w:jc w:val="center"/>
      </w:pPr>
    </w:p>
    <w:p w14:paraId="45A9D16B" w14:textId="1ED3DA34" w:rsidR="00690E13" w:rsidRPr="00DD6AD4" w:rsidRDefault="00690E13" w:rsidP="00DD6AD4">
      <w:pPr>
        <w:spacing w:line="240" w:lineRule="auto"/>
        <w:contextualSpacing/>
        <w:jc w:val="center"/>
      </w:pPr>
    </w:p>
    <w:p w14:paraId="4066B8AF" w14:textId="1C6F7BD6" w:rsidR="00690E13" w:rsidRDefault="00690E13" w:rsidP="00DD6AD4">
      <w:pPr>
        <w:spacing w:line="240" w:lineRule="auto"/>
        <w:contextualSpacing/>
        <w:jc w:val="center"/>
      </w:pPr>
    </w:p>
    <w:p w14:paraId="7BEE6FDE" w14:textId="4E499D6A" w:rsidR="00DD6AD4" w:rsidRDefault="00DD6AD4" w:rsidP="00DD6AD4">
      <w:pPr>
        <w:spacing w:line="240" w:lineRule="auto"/>
        <w:contextualSpacing/>
        <w:jc w:val="center"/>
      </w:pPr>
    </w:p>
    <w:p w14:paraId="7928C319" w14:textId="2BD17CE3" w:rsidR="00DD6AD4" w:rsidRDefault="00DD6AD4" w:rsidP="00DD6AD4">
      <w:pPr>
        <w:spacing w:line="240" w:lineRule="auto"/>
        <w:contextualSpacing/>
        <w:jc w:val="center"/>
      </w:pPr>
    </w:p>
    <w:p w14:paraId="1EB0CC09" w14:textId="7F903840" w:rsidR="00DD6AD4" w:rsidRDefault="00DD6AD4" w:rsidP="00DD6AD4">
      <w:pPr>
        <w:spacing w:line="240" w:lineRule="auto"/>
        <w:contextualSpacing/>
        <w:jc w:val="center"/>
      </w:pPr>
    </w:p>
    <w:p w14:paraId="5ACAFE49" w14:textId="388A2D48" w:rsidR="00DD6AD4" w:rsidRDefault="00DD6AD4" w:rsidP="00DD6AD4">
      <w:pPr>
        <w:spacing w:line="240" w:lineRule="auto"/>
        <w:contextualSpacing/>
        <w:jc w:val="center"/>
      </w:pPr>
    </w:p>
    <w:p w14:paraId="27F7F92D" w14:textId="2ED5CD77" w:rsidR="00DD6AD4" w:rsidRDefault="00DD6AD4" w:rsidP="00DD6AD4">
      <w:pPr>
        <w:spacing w:line="240" w:lineRule="auto"/>
        <w:contextualSpacing/>
        <w:jc w:val="center"/>
      </w:pPr>
    </w:p>
    <w:p w14:paraId="5B38078D" w14:textId="0F868457" w:rsidR="00DD6AD4" w:rsidRDefault="00DD6AD4" w:rsidP="00DD6AD4">
      <w:pPr>
        <w:spacing w:line="240" w:lineRule="auto"/>
        <w:contextualSpacing/>
        <w:jc w:val="center"/>
      </w:pPr>
    </w:p>
    <w:p w14:paraId="368FC876" w14:textId="77777777" w:rsidR="00DD6AD4" w:rsidRPr="00DD6AD4" w:rsidRDefault="00DD6AD4" w:rsidP="00DD6AD4">
      <w:pPr>
        <w:spacing w:line="240" w:lineRule="auto"/>
        <w:contextualSpacing/>
        <w:jc w:val="center"/>
      </w:pPr>
    </w:p>
    <w:p w14:paraId="7354568A" w14:textId="450A1BF3" w:rsidR="00690E13" w:rsidRDefault="00690E13" w:rsidP="00DD6AD4">
      <w:pPr>
        <w:spacing w:line="240" w:lineRule="auto"/>
        <w:contextualSpacing/>
        <w:jc w:val="center"/>
      </w:pPr>
      <w:r>
        <w:t>BY</w:t>
      </w:r>
    </w:p>
    <w:p w14:paraId="2FDF2540" w14:textId="77777777" w:rsidR="00DD6AD4" w:rsidRDefault="00DD6AD4" w:rsidP="00DD6AD4">
      <w:pPr>
        <w:spacing w:line="240" w:lineRule="auto"/>
        <w:contextualSpacing/>
        <w:jc w:val="center"/>
      </w:pPr>
    </w:p>
    <w:p w14:paraId="3A425C9C" w14:textId="2100ABEE" w:rsidR="00690E13" w:rsidRDefault="003C23DA" w:rsidP="00DD6AD4">
      <w:pPr>
        <w:spacing w:line="240" w:lineRule="auto"/>
        <w:contextualSpacing/>
        <w:jc w:val="center"/>
      </w:pPr>
      <w:r>
        <w:t>EMMA E. BOYLAN</w:t>
      </w:r>
    </w:p>
    <w:p w14:paraId="114A539B" w14:textId="429F953F" w:rsidR="00690E13" w:rsidRDefault="00690E13" w:rsidP="00DD6AD4">
      <w:pPr>
        <w:spacing w:line="240" w:lineRule="auto"/>
        <w:contextualSpacing/>
        <w:jc w:val="center"/>
      </w:pPr>
      <w:r>
        <w:t>B.A., University of Illinois at Urbana-Champaign, 2009</w:t>
      </w:r>
    </w:p>
    <w:p w14:paraId="7F2D5B3D" w14:textId="74763CD8" w:rsidR="00690E13" w:rsidRDefault="00690E13" w:rsidP="00DD6AD4">
      <w:pPr>
        <w:spacing w:line="240" w:lineRule="auto"/>
        <w:contextualSpacing/>
        <w:jc w:val="center"/>
      </w:pPr>
      <w:r>
        <w:t>M.S., University of Illinois at Chicago, 2016</w:t>
      </w:r>
    </w:p>
    <w:p w14:paraId="16189013" w14:textId="6F1EFAE7" w:rsidR="00690E13" w:rsidRDefault="00690E13" w:rsidP="00DD6AD4">
      <w:pPr>
        <w:spacing w:line="240" w:lineRule="auto"/>
        <w:contextualSpacing/>
        <w:jc w:val="center"/>
      </w:pPr>
    </w:p>
    <w:p w14:paraId="128C5BAB" w14:textId="2DA56A64" w:rsidR="00DD6AD4" w:rsidRDefault="00DD6AD4" w:rsidP="00DD6AD4">
      <w:pPr>
        <w:spacing w:line="240" w:lineRule="auto"/>
        <w:contextualSpacing/>
        <w:jc w:val="center"/>
      </w:pPr>
    </w:p>
    <w:p w14:paraId="3DEF4BCE" w14:textId="203BF0A2" w:rsidR="00DD6AD4" w:rsidRDefault="00DD6AD4" w:rsidP="00DD6AD4">
      <w:pPr>
        <w:spacing w:line="240" w:lineRule="auto"/>
        <w:contextualSpacing/>
        <w:jc w:val="center"/>
      </w:pPr>
    </w:p>
    <w:p w14:paraId="368B45AD" w14:textId="17FCDAFC" w:rsidR="00DD6AD4" w:rsidRDefault="00DD6AD4" w:rsidP="00DD6AD4">
      <w:pPr>
        <w:spacing w:line="240" w:lineRule="auto"/>
        <w:contextualSpacing/>
        <w:jc w:val="center"/>
      </w:pPr>
    </w:p>
    <w:p w14:paraId="5A69C6EB" w14:textId="77777777" w:rsidR="00DD6AD4" w:rsidRDefault="00DD6AD4" w:rsidP="00DD6AD4">
      <w:pPr>
        <w:spacing w:line="240" w:lineRule="auto"/>
        <w:contextualSpacing/>
        <w:jc w:val="center"/>
      </w:pPr>
    </w:p>
    <w:p w14:paraId="2972EECD" w14:textId="393FF6B4" w:rsidR="00690E13" w:rsidRDefault="00690E13" w:rsidP="00DD6AD4">
      <w:pPr>
        <w:spacing w:line="240" w:lineRule="auto"/>
        <w:contextualSpacing/>
        <w:jc w:val="center"/>
      </w:pPr>
    </w:p>
    <w:p w14:paraId="65E83520" w14:textId="0546A185" w:rsidR="00690E13" w:rsidRDefault="00690E13" w:rsidP="00DD6AD4">
      <w:pPr>
        <w:spacing w:line="240" w:lineRule="auto"/>
        <w:contextualSpacing/>
        <w:jc w:val="center"/>
      </w:pPr>
    </w:p>
    <w:p w14:paraId="01AF2730" w14:textId="7B3BBBD4" w:rsidR="00DD6AD4" w:rsidRDefault="00DD6AD4" w:rsidP="00DD6AD4">
      <w:pPr>
        <w:spacing w:line="240" w:lineRule="auto"/>
        <w:contextualSpacing/>
        <w:jc w:val="center"/>
      </w:pPr>
    </w:p>
    <w:p w14:paraId="3DA1C11B" w14:textId="017A03DA" w:rsidR="00DD6AD4" w:rsidRDefault="00DD6AD4" w:rsidP="00DD6AD4">
      <w:pPr>
        <w:spacing w:line="240" w:lineRule="auto"/>
        <w:contextualSpacing/>
        <w:jc w:val="center"/>
      </w:pPr>
    </w:p>
    <w:p w14:paraId="40F269E8" w14:textId="77777777" w:rsidR="00DD6AD4" w:rsidRDefault="00DD6AD4" w:rsidP="00DD6AD4">
      <w:pPr>
        <w:spacing w:line="240" w:lineRule="auto"/>
        <w:contextualSpacing/>
        <w:jc w:val="center"/>
      </w:pPr>
    </w:p>
    <w:p w14:paraId="0DCE4584" w14:textId="2C060D0D" w:rsidR="00690E13" w:rsidRDefault="003C23DA" w:rsidP="00DD6AD4">
      <w:pPr>
        <w:spacing w:line="240" w:lineRule="auto"/>
        <w:contextualSpacing/>
        <w:jc w:val="center"/>
      </w:pPr>
      <w:r>
        <w:t>THESIS</w:t>
      </w:r>
    </w:p>
    <w:p w14:paraId="276128D5" w14:textId="77777777" w:rsidR="003C23DA" w:rsidRDefault="003C23DA" w:rsidP="00DD6AD4">
      <w:pPr>
        <w:spacing w:line="240" w:lineRule="auto"/>
        <w:contextualSpacing/>
        <w:jc w:val="center"/>
      </w:pPr>
    </w:p>
    <w:p w14:paraId="600734E0" w14:textId="3391F806" w:rsidR="00690E13" w:rsidRDefault="00690E13" w:rsidP="00DD6AD4">
      <w:pPr>
        <w:spacing w:line="240" w:lineRule="auto"/>
        <w:contextualSpacing/>
        <w:jc w:val="center"/>
      </w:pPr>
      <w:r>
        <w:t>Submitted as partial fulfillment of the requirements</w:t>
      </w:r>
    </w:p>
    <w:p w14:paraId="01E4BBC6" w14:textId="2152ED05" w:rsidR="00690E13" w:rsidRDefault="00DD6AD4" w:rsidP="00DD6AD4">
      <w:pPr>
        <w:spacing w:line="240" w:lineRule="auto"/>
        <w:contextualSpacing/>
        <w:jc w:val="center"/>
      </w:pPr>
      <w:r>
        <w:t>for</w:t>
      </w:r>
      <w:r w:rsidR="00690E13">
        <w:t xml:space="preserve"> the Doctor of Philosophy in Epidemiology</w:t>
      </w:r>
    </w:p>
    <w:p w14:paraId="5B26DA96" w14:textId="2660D10E" w:rsidR="00690E13" w:rsidRDefault="00DD6AD4" w:rsidP="00DD6AD4">
      <w:pPr>
        <w:spacing w:line="240" w:lineRule="auto"/>
        <w:contextualSpacing/>
        <w:jc w:val="center"/>
      </w:pPr>
      <w:r>
        <w:t>in</w:t>
      </w:r>
      <w:r w:rsidR="00690E13">
        <w:t xml:space="preserve"> the Graduate College of the</w:t>
      </w:r>
    </w:p>
    <w:p w14:paraId="0039D31D" w14:textId="6E5F7C73" w:rsidR="00690E13" w:rsidRDefault="00690E13" w:rsidP="00DD6AD4">
      <w:pPr>
        <w:spacing w:line="240" w:lineRule="auto"/>
        <w:contextualSpacing/>
        <w:jc w:val="center"/>
      </w:pPr>
      <w:r>
        <w:t>University of Illinois at Chicago, 202</w:t>
      </w:r>
      <w:r w:rsidR="00F85975">
        <w:t>3</w:t>
      </w:r>
    </w:p>
    <w:p w14:paraId="356F5D79" w14:textId="27010941" w:rsidR="00690E13" w:rsidRDefault="00690E13" w:rsidP="00DD6AD4">
      <w:pPr>
        <w:spacing w:line="240" w:lineRule="auto"/>
        <w:contextualSpacing/>
        <w:jc w:val="center"/>
      </w:pPr>
    </w:p>
    <w:p w14:paraId="6DCCBAF5" w14:textId="77777777" w:rsidR="00DD6AD4" w:rsidRDefault="00DD6AD4" w:rsidP="00DD6AD4">
      <w:pPr>
        <w:spacing w:line="240" w:lineRule="auto"/>
        <w:contextualSpacing/>
        <w:jc w:val="center"/>
      </w:pPr>
    </w:p>
    <w:p w14:paraId="1A9FDC20" w14:textId="1DD925C2" w:rsidR="00690E13" w:rsidRDefault="00690E13" w:rsidP="00DD6AD4">
      <w:pPr>
        <w:spacing w:line="240" w:lineRule="auto"/>
        <w:contextualSpacing/>
        <w:jc w:val="center"/>
      </w:pPr>
      <w:r>
        <w:t>Chicago, Illinois</w:t>
      </w:r>
    </w:p>
    <w:p w14:paraId="2E8A523A" w14:textId="622D399F" w:rsidR="00690E13" w:rsidRDefault="00690E13" w:rsidP="00DD6AD4">
      <w:pPr>
        <w:spacing w:line="240" w:lineRule="auto"/>
        <w:contextualSpacing/>
        <w:jc w:val="center"/>
      </w:pPr>
    </w:p>
    <w:p w14:paraId="7C0862E6" w14:textId="68C6FF19" w:rsidR="00DD6AD4" w:rsidRDefault="00DD6AD4" w:rsidP="00DD6AD4">
      <w:pPr>
        <w:spacing w:line="240" w:lineRule="auto"/>
        <w:contextualSpacing/>
        <w:jc w:val="center"/>
      </w:pPr>
    </w:p>
    <w:p w14:paraId="35355180" w14:textId="59847929" w:rsidR="00DD6AD4" w:rsidRDefault="00DD6AD4" w:rsidP="00DD6AD4">
      <w:pPr>
        <w:spacing w:line="240" w:lineRule="auto"/>
        <w:contextualSpacing/>
        <w:jc w:val="center"/>
      </w:pPr>
    </w:p>
    <w:p w14:paraId="4A28F5AE" w14:textId="2066019C" w:rsidR="00DD6AD4" w:rsidRDefault="00DD6AD4" w:rsidP="00DD6AD4">
      <w:pPr>
        <w:spacing w:line="240" w:lineRule="auto"/>
        <w:contextualSpacing/>
        <w:jc w:val="center"/>
      </w:pPr>
    </w:p>
    <w:p w14:paraId="045878A5" w14:textId="5119038B" w:rsidR="00DD6AD4" w:rsidRDefault="00DD6AD4" w:rsidP="00DD6AD4">
      <w:pPr>
        <w:spacing w:line="240" w:lineRule="auto"/>
        <w:contextualSpacing/>
        <w:jc w:val="center"/>
      </w:pPr>
    </w:p>
    <w:p w14:paraId="47A9CEC7" w14:textId="586E759E" w:rsidR="00DD6AD4" w:rsidRDefault="00DD6AD4" w:rsidP="00DD6AD4">
      <w:pPr>
        <w:spacing w:line="240" w:lineRule="auto"/>
        <w:contextualSpacing/>
        <w:jc w:val="center"/>
      </w:pPr>
    </w:p>
    <w:p w14:paraId="7B1666A6" w14:textId="2D1E5522" w:rsidR="00690E13" w:rsidRDefault="00690E13" w:rsidP="00DD6AD4">
      <w:pPr>
        <w:spacing w:line="240" w:lineRule="auto"/>
        <w:contextualSpacing/>
      </w:pPr>
      <w:r>
        <w:t>Defense Committee:</w:t>
      </w:r>
    </w:p>
    <w:p w14:paraId="7FB4B8BD" w14:textId="69B3A307" w:rsidR="00690E13" w:rsidRDefault="00690E13" w:rsidP="00DD6AD4">
      <w:pPr>
        <w:spacing w:line="240" w:lineRule="auto"/>
        <w:ind w:left="540"/>
        <w:contextualSpacing/>
      </w:pPr>
      <w:r>
        <w:t>Vincent Freeman, Chair and Advisor</w:t>
      </w:r>
    </w:p>
    <w:p w14:paraId="2B822913" w14:textId="12726FF4" w:rsidR="00690E13" w:rsidRDefault="00690E13" w:rsidP="00DD6AD4">
      <w:pPr>
        <w:spacing w:line="240" w:lineRule="auto"/>
        <w:ind w:left="540"/>
        <w:contextualSpacing/>
      </w:pPr>
      <w:r>
        <w:t>Sanjib Basu</w:t>
      </w:r>
      <w:r w:rsidR="003C23DA">
        <w:t>, Biostatistics</w:t>
      </w:r>
    </w:p>
    <w:p w14:paraId="328B4127" w14:textId="01A91D15" w:rsidR="00690E13" w:rsidRDefault="00690E13" w:rsidP="00DD6AD4">
      <w:pPr>
        <w:spacing w:line="240" w:lineRule="auto"/>
        <w:ind w:left="540"/>
        <w:contextualSpacing/>
      </w:pPr>
      <w:r>
        <w:t xml:space="preserve">Lisa Sharp, </w:t>
      </w:r>
      <w:r w:rsidR="00DD6AD4">
        <w:t>Pharmacy Systems, Outcomes, and Policy</w:t>
      </w:r>
    </w:p>
    <w:p w14:paraId="4FCD71B0" w14:textId="378BFC40" w:rsidR="00DD6AD4" w:rsidRDefault="00DD6AD4" w:rsidP="00DD6AD4">
      <w:pPr>
        <w:spacing w:line="240" w:lineRule="auto"/>
        <w:ind w:left="540"/>
        <w:contextualSpacing/>
      </w:pPr>
      <w:r>
        <w:t>Leslie Stayner</w:t>
      </w:r>
      <w:r w:rsidR="003C23DA">
        <w:t>, Epidemiology</w:t>
      </w:r>
    </w:p>
    <w:p w14:paraId="642CBDF1" w14:textId="37DEB951" w:rsidR="00F310B6" w:rsidRDefault="00DD6AD4" w:rsidP="00DD6AD4">
      <w:pPr>
        <w:spacing w:line="240" w:lineRule="auto"/>
        <w:ind w:left="540"/>
        <w:contextualSpacing/>
      </w:pPr>
      <w:r>
        <w:t>Nebiyou Tilahun, Urban Planning and Policy</w:t>
      </w:r>
    </w:p>
    <w:p w14:paraId="7BA8BCFA" w14:textId="77777777" w:rsidR="003C23DA" w:rsidRDefault="003C23DA" w:rsidP="003C23DA">
      <w:pPr>
        <w:sectPr w:rsidR="003C23DA" w:rsidSect="00A12FA2">
          <w:footerReference w:type="default" r:id="rId8"/>
          <w:headerReference w:type="first" r:id="rId9"/>
          <w:footerReference w:type="first" r:id="rId10"/>
          <w:pgSz w:w="12240" w:h="15840"/>
          <w:pgMar w:top="1440" w:right="1440" w:bottom="1440" w:left="1440" w:header="720" w:footer="720" w:gutter="0"/>
          <w:pgNumType w:fmt="lowerRoman"/>
          <w:cols w:space="720"/>
          <w:docGrid w:linePitch="360"/>
        </w:sectPr>
      </w:pPr>
      <w:bookmarkStart w:id="0" w:name="_Toc105837087"/>
      <w:bookmarkStart w:id="1" w:name="_Toc145757020"/>
    </w:p>
    <w:p w14:paraId="52A06A5C" w14:textId="7E6B765D" w:rsidR="009514A0" w:rsidRDefault="009514A0" w:rsidP="003C23DA">
      <w:pPr>
        <w:pStyle w:val="PreliminaryHeading1"/>
      </w:pPr>
      <w:r>
        <w:lastRenderedPageBreak/>
        <w:t>Acknowledgments</w:t>
      </w:r>
      <w:bookmarkEnd w:id="0"/>
      <w:bookmarkEnd w:id="1"/>
    </w:p>
    <w:p w14:paraId="59160E9E" w14:textId="2829AC64" w:rsidR="009514A0" w:rsidRDefault="00B20B5A" w:rsidP="009514A0">
      <w:r>
        <w:t>This work would not have been possible without the contributions of many others.</w:t>
      </w:r>
    </w:p>
    <w:p w14:paraId="31F3A37B" w14:textId="761FBB4E" w:rsidR="00B20B5A" w:rsidRDefault="00B20B5A" w:rsidP="009514A0">
      <w:r>
        <w:t>My dissertation chair, Vincent Freeman, MD, MPH, has supported me tirelessly since I began studying epidemiology. His insights and advice were invaluable not only to every aspect of this study, but also to our other work together on the relationship between place and health</w:t>
      </w:r>
      <w:r w:rsidR="00A710CF">
        <w:t>, which deeply informed this research. Dr. Freeman secured funding and data for the study conducted using the University of Illinois Hospital tumor registry, conducted the matching process with LexisNexis and the National Death Index, led research on residential history data quality that formed the foundation for this dissertation, first suggested to me that surveys such as the Panel Study of Income Dynamics</w:t>
      </w:r>
      <w:r w:rsidR="005F1125">
        <w:t xml:space="preserve"> (PSID)</w:t>
      </w:r>
      <w:r w:rsidR="00A710CF">
        <w:t xml:space="preserve"> might present an alternative</w:t>
      </w:r>
      <w:r w:rsidR="00F266A8">
        <w:t>, and supported me during a very personally challenging period of this program</w:t>
      </w:r>
      <w:r w:rsidR="00A710CF">
        <w:t xml:space="preserve">. Clearly, this research would not have occurred without him. I am </w:t>
      </w:r>
      <w:r w:rsidR="00F266A8">
        <w:t>lucky to have worked with him and to have benefited from his mentorship.</w:t>
      </w:r>
    </w:p>
    <w:p w14:paraId="24F641E1" w14:textId="5890ED97" w:rsidR="00F266A8" w:rsidRDefault="00327942" w:rsidP="009514A0">
      <w:r>
        <w:t xml:space="preserve">The </w:t>
      </w:r>
      <w:r w:rsidR="00F30067">
        <w:t xml:space="preserve">contributions from each </w:t>
      </w:r>
      <w:r>
        <w:t xml:space="preserve">member of my committee greatly improved this research. Sanjib Basu, PhD, </w:t>
      </w:r>
      <w:r w:rsidR="009F0408">
        <w:t xml:space="preserve">and Leslie Stayner, PhD, provided helpful advice about how to analyze the unusual data sources required for this research and clearly communicate the chosen methods. Lisa Sharp, MA, PhD, was always thoughtful, encouraging, and informative as I planned this study and thought through the possible interpretations of its results. </w:t>
      </w:r>
      <w:r w:rsidR="00360E7B">
        <w:t xml:space="preserve">With Dr. Freeman, she also supported my applications to fund this research during the summer and fall of 2020. Nebiyou Tilahun, PhD, provided valuable advice from his own experience in working with the very complex </w:t>
      </w:r>
      <w:r w:rsidR="005F1125">
        <w:t>PSID</w:t>
      </w:r>
      <w:r w:rsidR="00360E7B">
        <w:t xml:space="preserve"> data. I am especially grateful for his sharing tips and readings that helped me understand relevant points of the sample design.</w:t>
      </w:r>
    </w:p>
    <w:p w14:paraId="1DE86664" w14:textId="2D3B0489" w:rsidR="00360E7B" w:rsidRDefault="00360E7B" w:rsidP="009514A0">
      <w:proofErr w:type="spellStart"/>
      <w:r>
        <w:t>Xiaohan</w:t>
      </w:r>
      <w:proofErr w:type="spellEnd"/>
      <w:r>
        <w:t xml:space="preserve"> Mei, Yan Gao, PhD, and Ifeanyi Beverly </w:t>
      </w:r>
      <w:proofErr w:type="spellStart"/>
      <w:r>
        <w:t>Chukwudozie</w:t>
      </w:r>
      <w:proofErr w:type="spellEnd"/>
      <w:r>
        <w:t xml:space="preserve">, MBA, MPH, all contributed to the preparation and analysis of data used in this study. Beverly and Yan helped assemble the historical Census data used for both studies presented here, and linked it to records from the University of Illinois Hospital tumor registry. </w:t>
      </w:r>
      <w:proofErr w:type="spellStart"/>
      <w:r>
        <w:t>Xiaohan</w:t>
      </w:r>
      <w:proofErr w:type="spellEnd"/>
      <w:r>
        <w:t xml:space="preserve"> and Yan performed important preliminary </w:t>
      </w:r>
      <w:r>
        <w:lastRenderedPageBreak/>
        <w:t>analyses of the patient data and histories that informed my own interpretation and made my job much easier.</w:t>
      </w:r>
      <w:r w:rsidR="00D8753C">
        <w:t xml:space="preserve"> Beverly’s friendship and support during our regular Zoom writing sessions broke the isolation of 2020 and beyond, and made it possible to push this project forward. So important has Beverly been to my completing this project, she is actually on Zoom with me now as I write these words.</w:t>
      </w:r>
    </w:p>
    <w:p w14:paraId="786DFBF3" w14:textId="1BB27B94" w:rsidR="00D8753C" w:rsidRDefault="00D8753C" w:rsidP="009514A0">
      <w:r>
        <w:t xml:space="preserve">Many individuals I worked with </w:t>
      </w:r>
      <w:r w:rsidR="00F30067">
        <w:t xml:space="preserve">during </w:t>
      </w:r>
      <w:r>
        <w:t xml:space="preserve">this program provided personal and professional support for which I am very grateful. Amber Uskali, MPH, and Lisa Powell, PhD, of the Policy, Practice, and Prevention Research Center (P3RC) supervised me from 2015-2022 and were endlessly supportive, flexible, and kind. I learned so much from working with them that has informed my work in public health. My colleagues at the Chicago Department of Public Health, especially in Chronic Disease Prevention &amp; Health Promotion and the Office of Epidemiology, </w:t>
      </w:r>
      <w:r w:rsidR="005F1125">
        <w:t>were a constant source of encouragement and perspective.</w:t>
      </w:r>
    </w:p>
    <w:p w14:paraId="18235B47" w14:textId="3B7DFD0B" w:rsidR="006F21EE" w:rsidRDefault="005F1125" w:rsidP="006F21EE">
      <w:r>
        <w:t xml:space="preserve">Multiple organizations provided funding </w:t>
      </w:r>
      <w:r w:rsidR="006F21EE">
        <w:t xml:space="preserve">and related </w:t>
      </w:r>
      <w:r>
        <w:t xml:space="preserve">support for this project. The P3RC, which is funded by the CDC Prevention Research Centers program, provided </w:t>
      </w:r>
      <w:r w:rsidR="006F21EE">
        <w:t xml:space="preserve">my </w:t>
      </w:r>
      <w:r>
        <w:t xml:space="preserve">tuition support from 2015-2022. The Institute for Research on Race and Public Policy at UIC provided dissertation grant funding that allowed me to access the PSID restricted datasets. The University of Illinois Cancer Center funded the search for commercial residential histories used in Chapter V. The Office of the Dean at UIC School of Public Health provided funding support for the death certificate matching done in the same chapter. </w:t>
      </w:r>
      <w:r w:rsidR="006F21EE">
        <w:t xml:space="preserve">Mary Arey MBA, MSN, RN and Karen Snitchler, RHIT, CTR assisted with data collection from the University of Illinois Hospital Tumor Registry. Many staff and investigators contributed to the design, data collection, distribution, and extensive documentation of the PSID. </w:t>
      </w:r>
      <w:r w:rsidR="006F21EE" w:rsidRPr="006F21EE">
        <w:t xml:space="preserve">The collection of </w:t>
      </w:r>
      <w:r w:rsidR="006F21EE">
        <w:t xml:space="preserve">PSID </w:t>
      </w:r>
      <w:r w:rsidR="006F21EE" w:rsidRPr="006F21EE">
        <w:t xml:space="preserve">data used in this study was partly supported by the National Institutes of Health under grant number R01 HD069609 and R01 AG040213, and the National Science Foundation under award numbers SES 1157698 and 1623684. </w:t>
      </w:r>
      <w:r w:rsidR="006F21EE">
        <w:t>Their support is gratefully acknowledged.</w:t>
      </w:r>
    </w:p>
    <w:p w14:paraId="1EB1DBC7" w14:textId="7FD0F554" w:rsidR="005F1125" w:rsidRDefault="008E6DB6" w:rsidP="009514A0">
      <w:r>
        <w:lastRenderedPageBreak/>
        <w:t>My parents, John and Jennifer Boylan, and my aunt, Nancy L. Webb, made graduate school sound fun and then never pressed me for details when I was in the thick of dissertation research. Their support meant that I always knew I would finish, even when it felt unlikely. Samantha Evy Schoeneman Patel, MD has believed in me since long before I knew how to do anything this involved. I am forever grateful for her friendship and encouragement.</w:t>
      </w:r>
    </w:p>
    <w:p w14:paraId="61231F19" w14:textId="3CF5E5BE" w:rsidR="008E6DB6" w:rsidRDefault="00303E56" w:rsidP="009514A0">
      <w:r>
        <w:t xml:space="preserve">The contributions of my partner, Matthew Strong, continue to defy description. </w:t>
      </w:r>
      <w:r w:rsidR="00F30067">
        <w:t>I am so grateful for his love and support, which transcend this or any project.</w:t>
      </w:r>
    </w:p>
    <w:p w14:paraId="5ED77770" w14:textId="395EC206" w:rsidR="00F30067" w:rsidRDefault="00F30067" w:rsidP="00F30067">
      <w:pPr>
        <w:jc w:val="right"/>
      </w:pPr>
      <w:r>
        <w:t>EEB</w:t>
      </w:r>
    </w:p>
    <w:p w14:paraId="0F5328F6" w14:textId="77777777" w:rsidR="009514A0" w:rsidRDefault="009514A0">
      <w:pPr>
        <w:sectPr w:rsidR="009514A0" w:rsidSect="00F734B0">
          <w:headerReference w:type="default" r:id="rId11"/>
          <w:footerReference w:type="default" r:id="rId12"/>
          <w:headerReference w:type="first" r:id="rId13"/>
          <w:footerReference w:type="first" r:id="rId14"/>
          <w:pgSz w:w="12240" w:h="15840"/>
          <w:pgMar w:top="1440" w:right="1440" w:bottom="1440" w:left="1440" w:header="720" w:footer="720" w:gutter="0"/>
          <w:pgNumType w:fmt="lowerRoman"/>
          <w:cols w:space="720"/>
          <w:titlePg/>
          <w:docGrid w:linePitch="360"/>
        </w:sectPr>
      </w:pPr>
      <w:r>
        <w:br w:type="page"/>
      </w:r>
    </w:p>
    <w:p w14:paraId="6BF06881" w14:textId="7CD20B66" w:rsidR="00B80BAB" w:rsidRPr="00A30422" w:rsidRDefault="008A42EA" w:rsidP="00010886">
      <w:pPr>
        <w:pStyle w:val="TOC1"/>
        <w:rPr>
          <w:rFonts w:asciiTheme="minorHAnsi" w:eastAsiaTheme="minorEastAsia" w:hAnsiTheme="minorHAnsi"/>
          <w:noProof/>
          <w:kern w:val="2"/>
          <w:sz w:val="22"/>
          <w:szCs w:val="22"/>
          <w14:ligatures w14:val="standardContextual"/>
        </w:rPr>
      </w:pPr>
      <w:r w:rsidRPr="00A30422">
        <w:lastRenderedPageBreak/>
        <w:fldChar w:fldCharType="begin"/>
      </w:r>
      <w:r w:rsidRPr="00A30422">
        <w:instrText xml:space="preserve"> TOC \o \h \z \u </w:instrText>
      </w:r>
      <w:r w:rsidRPr="00A30422">
        <w:fldChar w:fldCharType="separate"/>
      </w:r>
      <w:hyperlink w:anchor="_Toc148375743" w:history="1">
        <w:r w:rsidR="00B80BAB" w:rsidRPr="00A30422">
          <w:rPr>
            <w:rStyle w:val="Hyperlink"/>
            <w:b w:val="0"/>
            <w:bCs w:val="0"/>
            <w:noProof/>
          </w:rPr>
          <w:t>I.</w:t>
        </w:r>
        <w:r w:rsidR="00B80BAB" w:rsidRPr="00A30422">
          <w:rPr>
            <w:rFonts w:asciiTheme="minorHAnsi" w:eastAsiaTheme="minorEastAsia" w:hAnsiTheme="minorHAnsi"/>
            <w:noProof/>
            <w:kern w:val="2"/>
            <w:sz w:val="22"/>
            <w:szCs w:val="22"/>
            <w14:ligatures w14:val="standardContextual"/>
          </w:rPr>
          <w:tab/>
        </w:r>
        <w:r w:rsidR="00B80BAB" w:rsidRPr="00A30422">
          <w:rPr>
            <w:rStyle w:val="Hyperlink"/>
            <w:b w:val="0"/>
            <w:bCs w:val="0"/>
            <w:noProof/>
          </w:rPr>
          <w:t>Introduction</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_Toc148375743 \h </w:instrText>
        </w:r>
        <w:r w:rsidR="00B80BAB" w:rsidRPr="00A30422">
          <w:rPr>
            <w:noProof/>
            <w:webHidden/>
          </w:rPr>
        </w:r>
        <w:r w:rsidR="00B80BAB" w:rsidRPr="00A30422">
          <w:rPr>
            <w:noProof/>
            <w:webHidden/>
          </w:rPr>
          <w:fldChar w:fldCharType="separate"/>
        </w:r>
        <w:r w:rsidR="00D83E9C">
          <w:rPr>
            <w:noProof/>
            <w:webHidden/>
          </w:rPr>
          <w:t>1</w:t>
        </w:r>
        <w:r w:rsidR="00B80BAB" w:rsidRPr="00A30422">
          <w:rPr>
            <w:noProof/>
            <w:webHidden/>
          </w:rPr>
          <w:fldChar w:fldCharType="end"/>
        </w:r>
      </w:hyperlink>
    </w:p>
    <w:p w14:paraId="00E61BB9" w14:textId="45C8DC3B" w:rsidR="00B80BAB" w:rsidRPr="00A30422" w:rsidRDefault="00000000" w:rsidP="00E91F70">
      <w:pPr>
        <w:pStyle w:val="TOC2"/>
        <w:rPr>
          <w:rFonts w:eastAsiaTheme="minorEastAsia"/>
          <w:b w:val="0"/>
          <w:bCs w:val="0"/>
          <w:noProof/>
          <w:kern w:val="2"/>
          <w:sz w:val="22"/>
          <w:szCs w:val="22"/>
          <w14:ligatures w14:val="standardContextual"/>
        </w:rPr>
      </w:pPr>
      <w:hyperlink w:anchor="_Toc148375744" w:history="1">
        <w:r w:rsidR="00B80BAB" w:rsidRPr="00A30422">
          <w:rPr>
            <w:rStyle w:val="Hyperlink"/>
            <w:b w:val="0"/>
            <w:bCs w:val="0"/>
            <w:noProof/>
          </w:rPr>
          <w:t>A.</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Background</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_Toc148375744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1</w:t>
        </w:r>
        <w:r w:rsidR="00B80BAB" w:rsidRPr="00A30422">
          <w:rPr>
            <w:b w:val="0"/>
            <w:bCs w:val="0"/>
            <w:noProof/>
            <w:webHidden/>
          </w:rPr>
          <w:fldChar w:fldCharType="end"/>
        </w:r>
      </w:hyperlink>
    </w:p>
    <w:p w14:paraId="16C22941" w14:textId="6322FAD1" w:rsidR="00B80BAB" w:rsidRPr="00A30422" w:rsidRDefault="00000000" w:rsidP="00E91F70">
      <w:pPr>
        <w:pStyle w:val="TOC2"/>
        <w:rPr>
          <w:rFonts w:eastAsiaTheme="minorEastAsia"/>
          <w:b w:val="0"/>
          <w:bCs w:val="0"/>
          <w:noProof/>
          <w:kern w:val="2"/>
          <w:sz w:val="22"/>
          <w:szCs w:val="22"/>
          <w14:ligatures w14:val="standardContextual"/>
        </w:rPr>
      </w:pPr>
      <w:hyperlink w:anchor="_Toc148375745" w:history="1">
        <w:r w:rsidR="00B80BAB" w:rsidRPr="00A30422">
          <w:rPr>
            <w:rStyle w:val="Hyperlink"/>
            <w:b w:val="0"/>
            <w:bCs w:val="0"/>
            <w:noProof/>
          </w:rPr>
          <w:t>B.</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Research Objective</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_Toc148375745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2</w:t>
        </w:r>
        <w:r w:rsidR="00B80BAB" w:rsidRPr="00A30422">
          <w:rPr>
            <w:b w:val="0"/>
            <w:bCs w:val="0"/>
            <w:noProof/>
            <w:webHidden/>
          </w:rPr>
          <w:fldChar w:fldCharType="end"/>
        </w:r>
      </w:hyperlink>
    </w:p>
    <w:p w14:paraId="31B55A10" w14:textId="390769B6" w:rsidR="00B80BAB" w:rsidRPr="00A30422" w:rsidRDefault="00000000" w:rsidP="00E91F70">
      <w:pPr>
        <w:pStyle w:val="TOC2"/>
        <w:rPr>
          <w:rFonts w:eastAsiaTheme="minorEastAsia"/>
          <w:b w:val="0"/>
          <w:bCs w:val="0"/>
          <w:noProof/>
          <w:kern w:val="2"/>
          <w:sz w:val="22"/>
          <w:szCs w:val="22"/>
          <w14:ligatures w14:val="standardContextual"/>
        </w:rPr>
      </w:pPr>
      <w:hyperlink w:anchor="_Toc148375746" w:history="1">
        <w:r w:rsidR="00B80BAB" w:rsidRPr="00A30422">
          <w:rPr>
            <w:rStyle w:val="Hyperlink"/>
            <w:b w:val="0"/>
            <w:bCs w:val="0"/>
            <w:noProof/>
          </w:rPr>
          <w:t>C.</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Hypothesis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_Toc148375746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2</w:t>
        </w:r>
        <w:r w:rsidR="00B80BAB" w:rsidRPr="00A30422">
          <w:rPr>
            <w:b w:val="0"/>
            <w:bCs w:val="0"/>
            <w:noProof/>
            <w:webHidden/>
          </w:rPr>
          <w:fldChar w:fldCharType="end"/>
        </w:r>
      </w:hyperlink>
    </w:p>
    <w:p w14:paraId="154CE6AD" w14:textId="012E79C7" w:rsidR="00B80BAB" w:rsidRPr="00A30422" w:rsidRDefault="00000000" w:rsidP="00E91F70">
      <w:pPr>
        <w:pStyle w:val="TOC2"/>
        <w:rPr>
          <w:rFonts w:eastAsiaTheme="minorEastAsia"/>
          <w:b w:val="0"/>
          <w:bCs w:val="0"/>
          <w:noProof/>
          <w:kern w:val="2"/>
          <w:sz w:val="22"/>
          <w:szCs w:val="22"/>
          <w14:ligatures w14:val="standardContextual"/>
        </w:rPr>
      </w:pPr>
      <w:hyperlink w:anchor="_Toc148375747" w:history="1">
        <w:r w:rsidR="00B80BAB" w:rsidRPr="00A30422">
          <w:rPr>
            <w:rStyle w:val="Hyperlink"/>
            <w:b w:val="0"/>
            <w:bCs w:val="0"/>
            <w:noProof/>
          </w:rPr>
          <w:t>D.</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Study Aims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_Toc148375747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3</w:t>
        </w:r>
        <w:r w:rsidR="00B80BAB" w:rsidRPr="00A30422">
          <w:rPr>
            <w:b w:val="0"/>
            <w:bCs w:val="0"/>
            <w:noProof/>
            <w:webHidden/>
          </w:rPr>
          <w:fldChar w:fldCharType="end"/>
        </w:r>
      </w:hyperlink>
    </w:p>
    <w:p w14:paraId="423A4849" w14:textId="4E185EA2" w:rsidR="00B80BAB" w:rsidRPr="00A30422" w:rsidRDefault="00000000" w:rsidP="00A30422">
      <w:pPr>
        <w:pStyle w:val="TOC3"/>
        <w:rPr>
          <w:rFonts w:eastAsiaTheme="minorEastAsia"/>
          <w:noProof/>
          <w:kern w:val="2"/>
          <w:sz w:val="22"/>
          <w:szCs w:val="22"/>
          <w14:ligatures w14:val="standardContextual"/>
        </w:rPr>
      </w:pPr>
      <w:hyperlink w:anchor="_Toc148375748"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Aim 1</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_Toc148375748 \h </w:instrText>
        </w:r>
        <w:r w:rsidR="00B80BAB" w:rsidRPr="00A30422">
          <w:rPr>
            <w:noProof/>
            <w:webHidden/>
          </w:rPr>
        </w:r>
        <w:r w:rsidR="00B80BAB" w:rsidRPr="00A30422">
          <w:rPr>
            <w:noProof/>
            <w:webHidden/>
          </w:rPr>
          <w:fldChar w:fldCharType="separate"/>
        </w:r>
        <w:r w:rsidR="00D83E9C">
          <w:rPr>
            <w:noProof/>
            <w:webHidden/>
          </w:rPr>
          <w:t>3</w:t>
        </w:r>
        <w:r w:rsidR="00B80BAB" w:rsidRPr="00A30422">
          <w:rPr>
            <w:noProof/>
            <w:webHidden/>
          </w:rPr>
          <w:fldChar w:fldCharType="end"/>
        </w:r>
      </w:hyperlink>
    </w:p>
    <w:p w14:paraId="50F3FB03" w14:textId="6DAEE628" w:rsidR="00B80BAB" w:rsidRPr="00A30422" w:rsidRDefault="00000000" w:rsidP="00A30422">
      <w:pPr>
        <w:pStyle w:val="TOC3"/>
        <w:rPr>
          <w:rFonts w:eastAsiaTheme="minorEastAsia"/>
          <w:noProof/>
          <w:kern w:val="2"/>
          <w:sz w:val="22"/>
          <w:szCs w:val="22"/>
          <w14:ligatures w14:val="standardContextual"/>
        </w:rPr>
      </w:pPr>
      <w:hyperlink w:anchor="_Toc148375749"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Aim 2</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_Toc148375749 \h </w:instrText>
        </w:r>
        <w:r w:rsidR="00B80BAB" w:rsidRPr="00A30422">
          <w:rPr>
            <w:noProof/>
            <w:webHidden/>
          </w:rPr>
        </w:r>
        <w:r w:rsidR="00B80BAB" w:rsidRPr="00A30422">
          <w:rPr>
            <w:noProof/>
            <w:webHidden/>
          </w:rPr>
          <w:fldChar w:fldCharType="separate"/>
        </w:r>
        <w:r w:rsidR="00D83E9C">
          <w:rPr>
            <w:noProof/>
            <w:webHidden/>
          </w:rPr>
          <w:t>3</w:t>
        </w:r>
        <w:r w:rsidR="00B80BAB" w:rsidRPr="00A30422">
          <w:rPr>
            <w:noProof/>
            <w:webHidden/>
          </w:rPr>
          <w:fldChar w:fldCharType="end"/>
        </w:r>
      </w:hyperlink>
    </w:p>
    <w:p w14:paraId="3AF18632" w14:textId="185FF704" w:rsidR="00B80BAB" w:rsidRPr="00A30422" w:rsidRDefault="00000000" w:rsidP="00A30422">
      <w:pPr>
        <w:pStyle w:val="TOC3"/>
        <w:rPr>
          <w:rFonts w:eastAsiaTheme="minorEastAsia"/>
          <w:noProof/>
          <w:kern w:val="2"/>
          <w:sz w:val="22"/>
          <w:szCs w:val="22"/>
          <w14:ligatures w14:val="standardContextual"/>
        </w:rPr>
      </w:pPr>
      <w:hyperlink w:anchor="_Toc148375750" w:history="1">
        <w:r w:rsidR="00B80BAB" w:rsidRPr="00A30422">
          <w:rPr>
            <w:rStyle w:val="Hyperlink"/>
            <w:noProof/>
          </w:rPr>
          <w:t>3.</w:t>
        </w:r>
        <w:r w:rsidR="00B80BAB" w:rsidRPr="00A30422">
          <w:rPr>
            <w:rFonts w:eastAsiaTheme="minorEastAsia"/>
            <w:noProof/>
            <w:kern w:val="2"/>
            <w:sz w:val="22"/>
            <w:szCs w:val="22"/>
            <w14:ligatures w14:val="standardContextual"/>
          </w:rPr>
          <w:tab/>
        </w:r>
        <w:r w:rsidR="00B80BAB" w:rsidRPr="00A30422">
          <w:rPr>
            <w:rStyle w:val="Hyperlink"/>
            <w:noProof/>
          </w:rPr>
          <w:t>Aim 3</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_Toc148375750 \h </w:instrText>
        </w:r>
        <w:r w:rsidR="00B80BAB" w:rsidRPr="00A30422">
          <w:rPr>
            <w:noProof/>
            <w:webHidden/>
          </w:rPr>
        </w:r>
        <w:r w:rsidR="00B80BAB" w:rsidRPr="00A30422">
          <w:rPr>
            <w:noProof/>
            <w:webHidden/>
          </w:rPr>
          <w:fldChar w:fldCharType="separate"/>
        </w:r>
        <w:r w:rsidR="00D83E9C">
          <w:rPr>
            <w:noProof/>
            <w:webHidden/>
          </w:rPr>
          <w:t>3</w:t>
        </w:r>
        <w:r w:rsidR="00B80BAB" w:rsidRPr="00A30422">
          <w:rPr>
            <w:noProof/>
            <w:webHidden/>
          </w:rPr>
          <w:fldChar w:fldCharType="end"/>
        </w:r>
      </w:hyperlink>
    </w:p>
    <w:p w14:paraId="5EB5F96A" w14:textId="2F5717BF" w:rsidR="00B80BAB" w:rsidRPr="00A30422" w:rsidRDefault="00000000" w:rsidP="00E91F70">
      <w:pPr>
        <w:pStyle w:val="TOC2"/>
        <w:rPr>
          <w:rFonts w:eastAsiaTheme="minorEastAsia"/>
          <w:b w:val="0"/>
          <w:bCs w:val="0"/>
          <w:noProof/>
          <w:kern w:val="2"/>
          <w:sz w:val="22"/>
          <w:szCs w:val="22"/>
          <w14:ligatures w14:val="standardContextual"/>
        </w:rPr>
      </w:pPr>
      <w:hyperlink w:anchor="_Toc148375751" w:history="1">
        <w:r w:rsidR="00B80BAB" w:rsidRPr="00A30422">
          <w:rPr>
            <w:rStyle w:val="Hyperlink"/>
            <w:b w:val="0"/>
            <w:bCs w:val="0"/>
            <w:noProof/>
          </w:rPr>
          <w:t>E.</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Evidence Linking Segregation and Racial Cancer Inequities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_Toc148375751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3</w:t>
        </w:r>
        <w:r w:rsidR="00B80BAB" w:rsidRPr="00A30422">
          <w:rPr>
            <w:b w:val="0"/>
            <w:bCs w:val="0"/>
            <w:noProof/>
            <w:webHidden/>
          </w:rPr>
          <w:fldChar w:fldCharType="end"/>
        </w:r>
      </w:hyperlink>
    </w:p>
    <w:p w14:paraId="062E3BC4" w14:textId="3CE69B61" w:rsidR="00B80BAB" w:rsidRPr="00A30422" w:rsidRDefault="00000000" w:rsidP="00E91F70">
      <w:pPr>
        <w:pStyle w:val="TOC2"/>
        <w:rPr>
          <w:rFonts w:eastAsiaTheme="minorEastAsia"/>
          <w:b w:val="0"/>
          <w:bCs w:val="0"/>
          <w:noProof/>
          <w:kern w:val="2"/>
          <w:sz w:val="22"/>
          <w:szCs w:val="22"/>
          <w14:ligatures w14:val="standardContextual"/>
        </w:rPr>
      </w:pPr>
      <w:hyperlink w:anchor="_Toc148375752" w:history="1">
        <w:r w:rsidR="00B80BAB" w:rsidRPr="00A30422">
          <w:rPr>
            <w:rStyle w:val="Hyperlink"/>
            <w:b w:val="0"/>
            <w:bCs w:val="0"/>
            <w:noProof/>
          </w:rPr>
          <w:t>F.</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Barriers to Studying Fundamental Causes of Cancer Inequities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_Toc148375752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7</w:t>
        </w:r>
        <w:r w:rsidR="00B80BAB" w:rsidRPr="00A30422">
          <w:rPr>
            <w:b w:val="0"/>
            <w:bCs w:val="0"/>
            <w:noProof/>
            <w:webHidden/>
          </w:rPr>
          <w:fldChar w:fldCharType="end"/>
        </w:r>
      </w:hyperlink>
    </w:p>
    <w:p w14:paraId="36B78307" w14:textId="39872E35" w:rsidR="00B80BAB" w:rsidRPr="00A30422" w:rsidRDefault="00000000" w:rsidP="00E91F70">
      <w:pPr>
        <w:pStyle w:val="TOC2"/>
        <w:rPr>
          <w:rFonts w:eastAsiaTheme="minorEastAsia"/>
          <w:b w:val="0"/>
          <w:bCs w:val="0"/>
          <w:noProof/>
          <w:kern w:val="2"/>
          <w:sz w:val="22"/>
          <w:szCs w:val="22"/>
          <w14:ligatures w14:val="standardContextual"/>
        </w:rPr>
      </w:pPr>
      <w:hyperlink w:anchor="_Toc148375753" w:history="1">
        <w:r w:rsidR="00B80BAB" w:rsidRPr="00A30422">
          <w:rPr>
            <w:rStyle w:val="Hyperlink"/>
            <w:b w:val="0"/>
            <w:bCs w:val="0"/>
            <w:noProof/>
          </w:rPr>
          <w:t>G.</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Research Contribution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_Toc148375753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8</w:t>
        </w:r>
        <w:r w:rsidR="00B80BAB" w:rsidRPr="00A30422">
          <w:rPr>
            <w:b w:val="0"/>
            <w:bCs w:val="0"/>
            <w:noProof/>
            <w:webHidden/>
          </w:rPr>
          <w:fldChar w:fldCharType="end"/>
        </w:r>
      </w:hyperlink>
    </w:p>
    <w:p w14:paraId="392A7F8E" w14:textId="51D387A6" w:rsidR="00B80BAB" w:rsidRPr="00A30422" w:rsidRDefault="00000000" w:rsidP="00010886">
      <w:pPr>
        <w:pStyle w:val="TOC1"/>
        <w:rPr>
          <w:rFonts w:asciiTheme="minorHAnsi" w:eastAsiaTheme="minorEastAsia" w:hAnsiTheme="minorHAnsi"/>
          <w:noProof/>
          <w:kern w:val="2"/>
          <w:sz w:val="22"/>
          <w:szCs w:val="22"/>
          <w14:ligatures w14:val="standardContextual"/>
        </w:rPr>
      </w:pPr>
      <w:hyperlink w:anchor="_Toc148375754" w:history="1">
        <w:r w:rsidR="00B80BAB" w:rsidRPr="00A30422">
          <w:rPr>
            <w:rStyle w:val="Hyperlink"/>
            <w:b w:val="0"/>
            <w:bCs w:val="0"/>
            <w:noProof/>
          </w:rPr>
          <w:t>II.</w:t>
        </w:r>
        <w:r w:rsidR="00B80BAB" w:rsidRPr="00A30422">
          <w:rPr>
            <w:rFonts w:asciiTheme="minorHAnsi" w:eastAsiaTheme="minorEastAsia" w:hAnsiTheme="minorHAnsi"/>
            <w:noProof/>
            <w:kern w:val="2"/>
            <w:sz w:val="22"/>
            <w:szCs w:val="22"/>
            <w14:ligatures w14:val="standardContextual"/>
          </w:rPr>
          <w:tab/>
        </w:r>
        <w:r w:rsidR="00B80BAB" w:rsidRPr="00A30422">
          <w:rPr>
            <w:rStyle w:val="Hyperlink"/>
            <w:b w:val="0"/>
            <w:bCs w:val="0"/>
            <w:noProof/>
          </w:rPr>
          <w:t>Methods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_Toc148375754 \h </w:instrText>
        </w:r>
        <w:r w:rsidR="00B80BAB" w:rsidRPr="00A30422">
          <w:rPr>
            <w:noProof/>
            <w:webHidden/>
          </w:rPr>
        </w:r>
        <w:r w:rsidR="00B80BAB" w:rsidRPr="00A30422">
          <w:rPr>
            <w:noProof/>
            <w:webHidden/>
          </w:rPr>
          <w:fldChar w:fldCharType="separate"/>
        </w:r>
        <w:r w:rsidR="00D83E9C">
          <w:rPr>
            <w:noProof/>
            <w:webHidden/>
          </w:rPr>
          <w:t>11</w:t>
        </w:r>
        <w:r w:rsidR="00B80BAB" w:rsidRPr="00A30422">
          <w:rPr>
            <w:noProof/>
            <w:webHidden/>
          </w:rPr>
          <w:fldChar w:fldCharType="end"/>
        </w:r>
      </w:hyperlink>
    </w:p>
    <w:p w14:paraId="2E6C4686" w14:textId="354DE0AA" w:rsidR="00B80BAB" w:rsidRPr="00A30422" w:rsidRDefault="00000000" w:rsidP="00E91F70">
      <w:pPr>
        <w:pStyle w:val="TOC2"/>
        <w:rPr>
          <w:rFonts w:eastAsiaTheme="minorEastAsia"/>
          <w:b w:val="0"/>
          <w:bCs w:val="0"/>
          <w:noProof/>
          <w:kern w:val="2"/>
          <w:sz w:val="22"/>
          <w:szCs w:val="22"/>
          <w14:ligatures w14:val="standardContextual"/>
        </w:rPr>
      </w:pPr>
      <w:hyperlink w:anchor="_Toc148375755" w:history="1">
        <w:r w:rsidR="00B80BAB" w:rsidRPr="00A30422">
          <w:rPr>
            <w:rStyle w:val="Hyperlink"/>
            <w:b w:val="0"/>
            <w:bCs w:val="0"/>
            <w:noProof/>
          </w:rPr>
          <w:t>A.</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Analytic Approach</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_Toc148375755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11</w:t>
        </w:r>
        <w:r w:rsidR="00B80BAB" w:rsidRPr="00A30422">
          <w:rPr>
            <w:b w:val="0"/>
            <w:bCs w:val="0"/>
            <w:noProof/>
            <w:webHidden/>
          </w:rPr>
          <w:fldChar w:fldCharType="end"/>
        </w:r>
      </w:hyperlink>
    </w:p>
    <w:p w14:paraId="0ADA57A7" w14:textId="1FD8926A" w:rsidR="00B80BAB" w:rsidRPr="00A30422" w:rsidRDefault="00000000" w:rsidP="00E91F70">
      <w:pPr>
        <w:pStyle w:val="TOC2"/>
        <w:rPr>
          <w:rFonts w:eastAsiaTheme="minorEastAsia"/>
          <w:b w:val="0"/>
          <w:bCs w:val="0"/>
          <w:noProof/>
          <w:kern w:val="2"/>
          <w:sz w:val="22"/>
          <w:szCs w:val="22"/>
          <w14:ligatures w14:val="standardContextual"/>
        </w:rPr>
      </w:pPr>
      <w:hyperlink w:anchor="_Toc148375756" w:history="1">
        <w:r w:rsidR="00B80BAB" w:rsidRPr="00A30422">
          <w:rPr>
            <w:rStyle w:val="Hyperlink"/>
            <w:b w:val="0"/>
            <w:bCs w:val="0"/>
            <w:noProof/>
          </w:rPr>
          <w:t>B.</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Data</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_Toc148375756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12</w:t>
        </w:r>
        <w:r w:rsidR="00B80BAB" w:rsidRPr="00A30422">
          <w:rPr>
            <w:b w:val="0"/>
            <w:bCs w:val="0"/>
            <w:noProof/>
            <w:webHidden/>
          </w:rPr>
          <w:fldChar w:fldCharType="end"/>
        </w:r>
      </w:hyperlink>
    </w:p>
    <w:p w14:paraId="75615464" w14:textId="0605D288" w:rsidR="00B80BAB" w:rsidRPr="00A30422" w:rsidRDefault="00000000" w:rsidP="00A30422">
      <w:pPr>
        <w:pStyle w:val="TOC3"/>
        <w:rPr>
          <w:rFonts w:eastAsiaTheme="minorEastAsia"/>
          <w:noProof/>
          <w:kern w:val="2"/>
          <w:sz w:val="22"/>
          <w:szCs w:val="22"/>
          <w14:ligatures w14:val="standardContextual"/>
        </w:rPr>
      </w:pPr>
      <w:hyperlink w:anchor="_Toc148375757"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Panel Study of Income Dynamics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_Toc148375757 \h </w:instrText>
        </w:r>
        <w:r w:rsidR="00B80BAB" w:rsidRPr="00A30422">
          <w:rPr>
            <w:noProof/>
            <w:webHidden/>
          </w:rPr>
        </w:r>
        <w:r w:rsidR="00B80BAB" w:rsidRPr="00A30422">
          <w:rPr>
            <w:noProof/>
            <w:webHidden/>
          </w:rPr>
          <w:fldChar w:fldCharType="separate"/>
        </w:r>
        <w:r w:rsidR="00D83E9C">
          <w:rPr>
            <w:noProof/>
            <w:webHidden/>
          </w:rPr>
          <w:t>12</w:t>
        </w:r>
        <w:r w:rsidR="00B80BAB" w:rsidRPr="00A30422">
          <w:rPr>
            <w:noProof/>
            <w:webHidden/>
          </w:rPr>
          <w:fldChar w:fldCharType="end"/>
        </w:r>
      </w:hyperlink>
    </w:p>
    <w:p w14:paraId="31EF7F68" w14:textId="15480472" w:rsidR="00B80BAB" w:rsidRPr="00A30422" w:rsidRDefault="00000000" w:rsidP="00A30422">
      <w:pPr>
        <w:pStyle w:val="TOC3"/>
        <w:rPr>
          <w:rFonts w:eastAsiaTheme="minorEastAsia"/>
          <w:noProof/>
          <w:kern w:val="2"/>
          <w:sz w:val="22"/>
          <w:szCs w:val="22"/>
          <w14:ligatures w14:val="standardContextual"/>
        </w:rPr>
      </w:pPr>
      <w:hyperlink w:anchor="_Toc148375758"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University of Illinois Cancer Center Tumor Registry</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_Toc148375758 \h </w:instrText>
        </w:r>
        <w:r w:rsidR="00B80BAB" w:rsidRPr="00A30422">
          <w:rPr>
            <w:noProof/>
            <w:webHidden/>
          </w:rPr>
        </w:r>
        <w:r w:rsidR="00B80BAB" w:rsidRPr="00A30422">
          <w:rPr>
            <w:noProof/>
            <w:webHidden/>
          </w:rPr>
          <w:fldChar w:fldCharType="separate"/>
        </w:r>
        <w:r w:rsidR="00D83E9C">
          <w:rPr>
            <w:noProof/>
            <w:webHidden/>
          </w:rPr>
          <w:t>13</w:t>
        </w:r>
        <w:r w:rsidR="00B80BAB" w:rsidRPr="00A30422">
          <w:rPr>
            <w:noProof/>
            <w:webHidden/>
          </w:rPr>
          <w:fldChar w:fldCharType="end"/>
        </w:r>
      </w:hyperlink>
    </w:p>
    <w:p w14:paraId="4BF79504" w14:textId="4099A12F" w:rsidR="00B80BAB" w:rsidRPr="00A30422" w:rsidRDefault="00000000" w:rsidP="00A30422">
      <w:pPr>
        <w:pStyle w:val="TOC3"/>
        <w:rPr>
          <w:rFonts w:eastAsiaTheme="minorEastAsia"/>
          <w:noProof/>
          <w:kern w:val="2"/>
          <w:sz w:val="22"/>
          <w:szCs w:val="22"/>
          <w14:ligatures w14:val="standardContextual"/>
        </w:rPr>
      </w:pPr>
      <w:hyperlink w:anchor="_Toc148375759" w:history="1">
        <w:r w:rsidR="00B80BAB" w:rsidRPr="00A30422">
          <w:rPr>
            <w:rStyle w:val="Hyperlink"/>
            <w:noProof/>
          </w:rPr>
          <w:t>3.</w:t>
        </w:r>
        <w:r w:rsidR="00B80BAB" w:rsidRPr="00A30422">
          <w:rPr>
            <w:rFonts w:eastAsiaTheme="minorEastAsia"/>
            <w:noProof/>
            <w:kern w:val="2"/>
            <w:sz w:val="22"/>
            <w:szCs w:val="22"/>
            <w14:ligatures w14:val="standardContextual"/>
          </w:rPr>
          <w:tab/>
        </w:r>
        <w:r w:rsidR="00B80BAB" w:rsidRPr="00A30422">
          <w:rPr>
            <w:rStyle w:val="Hyperlink"/>
            <w:noProof/>
          </w:rPr>
          <w:t>LexisNexis Accurint</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_Toc148375759 \h </w:instrText>
        </w:r>
        <w:r w:rsidR="00B80BAB" w:rsidRPr="00A30422">
          <w:rPr>
            <w:noProof/>
            <w:webHidden/>
          </w:rPr>
        </w:r>
        <w:r w:rsidR="00B80BAB" w:rsidRPr="00A30422">
          <w:rPr>
            <w:noProof/>
            <w:webHidden/>
          </w:rPr>
          <w:fldChar w:fldCharType="separate"/>
        </w:r>
        <w:r w:rsidR="00D83E9C">
          <w:rPr>
            <w:noProof/>
            <w:webHidden/>
          </w:rPr>
          <w:t>13</w:t>
        </w:r>
        <w:r w:rsidR="00B80BAB" w:rsidRPr="00A30422">
          <w:rPr>
            <w:noProof/>
            <w:webHidden/>
          </w:rPr>
          <w:fldChar w:fldCharType="end"/>
        </w:r>
      </w:hyperlink>
    </w:p>
    <w:p w14:paraId="741CAB4B" w14:textId="2AA6C9B2" w:rsidR="00B80BAB" w:rsidRPr="00A30422" w:rsidRDefault="00000000" w:rsidP="00A30422">
      <w:pPr>
        <w:pStyle w:val="TOC3"/>
        <w:rPr>
          <w:rFonts w:eastAsiaTheme="minorEastAsia"/>
          <w:noProof/>
          <w:kern w:val="2"/>
          <w:sz w:val="22"/>
          <w:szCs w:val="22"/>
          <w14:ligatures w14:val="standardContextual"/>
        </w:rPr>
      </w:pPr>
      <w:hyperlink w:anchor="_Toc148375760" w:history="1">
        <w:r w:rsidR="00B80BAB" w:rsidRPr="00A30422">
          <w:rPr>
            <w:rStyle w:val="Hyperlink"/>
            <w:noProof/>
          </w:rPr>
          <w:t>4.</w:t>
        </w:r>
        <w:r w:rsidR="00B80BAB" w:rsidRPr="00A30422">
          <w:rPr>
            <w:rFonts w:eastAsiaTheme="minorEastAsia"/>
            <w:noProof/>
            <w:kern w:val="2"/>
            <w:sz w:val="22"/>
            <w:szCs w:val="22"/>
            <w14:ligatures w14:val="standardContextual"/>
          </w:rPr>
          <w:tab/>
        </w:r>
        <w:r w:rsidR="00B80BAB" w:rsidRPr="00A30422">
          <w:rPr>
            <w:rStyle w:val="Hyperlink"/>
            <w:noProof/>
          </w:rPr>
          <w:t>Census Data</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_Toc148375760 \h </w:instrText>
        </w:r>
        <w:r w:rsidR="00B80BAB" w:rsidRPr="00A30422">
          <w:rPr>
            <w:noProof/>
            <w:webHidden/>
          </w:rPr>
        </w:r>
        <w:r w:rsidR="00B80BAB" w:rsidRPr="00A30422">
          <w:rPr>
            <w:noProof/>
            <w:webHidden/>
          </w:rPr>
          <w:fldChar w:fldCharType="separate"/>
        </w:r>
        <w:r w:rsidR="00D83E9C">
          <w:rPr>
            <w:noProof/>
            <w:webHidden/>
          </w:rPr>
          <w:t>16</w:t>
        </w:r>
        <w:r w:rsidR="00B80BAB" w:rsidRPr="00A30422">
          <w:rPr>
            <w:noProof/>
            <w:webHidden/>
          </w:rPr>
          <w:fldChar w:fldCharType="end"/>
        </w:r>
      </w:hyperlink>
    </w:p>
    <w:p w14:paraId="0AE44B38" w14:textId="6B2637A3" w:rsidR="00B80BAB" w:rsidRPr="00A30422" w:rsidRDefault="00000000" w:rsidP="00A30422">
      <w:pPr>
        <w:pStyle w:val="TOC3"/>
        <w:rPr>
          <w:rFonts w:eastAsiaTheme="minorEastAsia"/>
          <w:noProof/>
          <w:kern w:val="2"/>
          <w:sz w:val="22"/>
          <w:szCs w:val="22"/>
          <w14:ligatures w14:val="standardContextual"/>
        </w:rPr>
      </w:pPr>
      <w:hyperlink w:anchor="_Toc148375761" w:history="1">
        <w:r w:rsidR="00B80BAB" w:rsidRPr="00A30422">
          <w:rPr>
            <w:rStyle w:val="Hyperlink"/>
            <w:noProof/>
          </w:rPr>
          <w:t>5.</w:t>
        </w:r>
        <w:r w:rsidR="00B80BAB" w:rsidRPr="00A30422">
          <w:rPr>
            <w:rFonts w:eastAsiaTheme="minorEastAsia"/>
            <w:noProof/>
            <w:kern w:val="2"/>
            <w:sz w:val="22"/>
            <w:szCs w:val="22"/>
            <w14:ligatures w14:val="standardContextual"/>
          </w:rPr>
          <w:tab/>
        </w:r>
        <w:r w:rsidR="00B80BAB" w:rsidRPr="00A30422">
          <w:rPr>
            <w:rStyle w:val="Hyperlink"/>
            <w:noProof/>
          </w:rPr>
          <w:t>National Death Index</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_Toc148375761 \h </w:instrText>
        </w:r>
        <w:r w:rsidR="00B80BAB" w:rsidRPr="00A30422">
          <w:rPr>
            <w:noProof/>
            <w:webHidden/>
          </w:rPr>
        </w:r>
        <w:r w:rsidR="00B80BAB" w:rsidRPr="00A30422">
          <w:rPr>
            <w:noProof/>
            <w:webHidden/>
          </w:rPr>
          <w:fldChar w:fldCharType="separate"/>
        </w:r>
        <w:r w:rsidR="00D83E9C">
          <w:rPr>
            <w:noProof/>
            <w:webHidden/>
          </w:rPr>
          <w:t>16</w:t>
        </w:r>
        <w:r w:rsidR="00B80BAB" w:rsidRPr="00A30422">
          <w:rPr>
            <w:noProof/>
            <w:webHidden/>
          </w:rPr>
          <w:fldChar w:fldCharType="end"/>
        </w:r>
      </w:hyperlink>
    </w:p>
    <w:p w14:paraId="73265744" w14:textId="66A7E0CE" w:rsidR="00B80BAB" w:rsidRPr="00A30422" w:rsidRDefault="00000000" w:rsidP="00A30422">
      <w:pPr>
        <w:pStyle w:val="TOC3"/>
        <w:rPr>
          <w:rFonts w:eastAsiaTheme="minorEastAsia"/>
          <w:noProof/>
          <w:kern w:val="2"/>
          <w:sz w:val="22"/>
          <w:szCs w:val="22"/>
          <w14:ligatures w14:val="standardContextual"/>
        </w:rPr>
      </w:pPr>
      <w:hyperlink w:anchor="_Toc148375762" w:history="1">
        <w:r w:rsidR="00B80BAB" w:rsidRPr="00A30422">
          <w:rPr>
            <w:rStyle w:val="Hyperlink"/>
            <w:noProof/>
          </w:rPr>
          <w:t>6.</w:t>
        </w:r>
        <w:r w:rsidR="00B80BAB" w:rsidRPr="00A30422">
          <w:rPr>
            <w:rFonts w:eastAsiaTheme="minorEastAsia"/>
            <w:noProof/>
            <w:kern w:val="2"/>
            <w:sz w:val="22"/>
            <w:szCs w:val="22"/>
            <w14:ligatures w14:val="standardContextual"/>
          </w:rPr>
          <w:tab/>
        </w:r>
        <w:r w:rsidR="00B80BAB" w:rsidRPr="00A30422">
          <w:rPr>
            <w:rStyle w:val="Hyperlink"/>
            <w:noProof/>
          </w:rPr>
          <w:t>Data Preparation</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_Toc148375762 \h </w:instrText>
        </w:r>
        <w:r w:rsidR="00B80BAB" w:rsidRPr="00A30422">
          <w:rPr>
            <w:noProof/>
            <w:webHidden/>
          </w:rPr>
        </w:r>
        <w:r w:rsidR="00B80BAB" w:rsidRPr="00A30422">
          <w:rPr>
            <w:noProof/>
            <w:webHidden/>
          </w:rPr>
          <w:fldChar w:fldCharType="separate"/>
        </w:r>
        <w:r w:rsidR="00D83E9C">
          <w:rPr>
            <w:noProof/>
            <w:webHidden/>
          </w:rPr>
          <w:t>16</w:t>
        </w:r>
        <w:r w:rsidR="00B80BAB" w:rsidRPr="00A30422">
          <w:rPr>
            <w:noProof/>
            <w:webHidden/>
          </w:rPr>
          <w:fldChar w:fldCharType="end"/>
        </w:r>
      </w:hyperlink>
    </w:p>
    <w:p w14:paraId="20EEC730" w14:textId="255BAA6C" w:rsidR="00B80BAB" w:rsidRPr="00A30422" w:rsidRDefault="00000000" w:rsidP="00E91F70">
      <w:pPr>
        <w:pStyle w:val="TOC4"/>
        <w:tabs>
          <w:tab w:val="left" w:pos="1540"/>
          <w:tab w:val="right" w:leader="dot" w:pos="9350"/>
        </w:tabs>
        <w:spacing w:line="240" w:lineRule="auto"/>
        <w:ind w:left="2610" w:hanging="630"/>
        <w:rPr>
          <w:rFonts w:eastAsiaTheme="minorEastAsia"/>
          <w:noProof/>
          <w:kern w:val="2"/>
          <w:sz w:val="22"/>
          <w:szCs w:val="22"/>
          <w14:ligatures w14:val="standardContextual"/>
        </w:rPr>
      </w:pPr>
      <w:hyperlink w:anchor="_Toc148375763" w:history="1">
        <w:r w:rsidR="00B80BAB" w:rsidRPr="00A30422">
          <w:rPr>
            <w:rStyle w:val="Hyperlink"/>
            <w:noProof/>
          </w:rPr>
          <w:t>i.</w:t>
        </w:r>
        <w:r w:rsidR="00B80BAB" w:rsidRPr="00A30422">
          <w:rPr>
            <w:rFonts w:eastAsiaTheme="minorEastAsia"/>
            <w:noProof/>
            <w:kern w:val="2"/>
            <w:sz w:val="22"/>
            <w:szCs w:val="22"/>
            <w14:ligatures w14:val="standardContextual"/>
          </w:rPr>
          <w:tab/>
        </w:r>
        <w:r w:rsidR="00B80BAB" w:rsidRPr="00A30422">
          <w:rPr>
            <w:rStyle w:val="Hyperlink"/>
            <w:noProof/>
          </w:rPr>
          <w:t>Panel Study of Income Dynamics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_Toc148375763 \h </w:instrText>
        </w:r>
        <w:r w:rsidR="00B80BAB" w:rsidRPr="00A30422">
          <w:rPr>
            <w:noProof/>
            <w:webHidden/>
          </w:rPr>
        </w:r>
        <w:r w:rsidR="00B80BAB" w:rsidRPr="00A30422">
          <w:rPr>
            <w:noProof/>
            <w:webHidden/>
          </w:rPr>
          <w:fldChar w:fldCharType="separate"/>
        </w:r>
        <w:r w:rsidR="00D83E9C">
          <w:rPr>
            <w:noProof/>
            <w:webHidden/>
          </w:rPr>
          <w:t>16</w:t>
        </w:r>
        <w:r w:rsidR="00B80BAB" w:rsidRPr="00A30422">
          <w:rPr>
            <w:noProof/>
            <w:webHidden/>
          </w:rPr>
          <w:fldChar w:fldCharType="end"/>
        </w:r>
      </w:hyperlink>
    </w:p>
    <w:p w14:paraId="035C3D1B" w14:textId="17BAB420" w:rsidR="00B80BAB" w:rsidRPr="00A30422" w:rsidRDefault="00000000" w:rsidP="00E91F70">
      <w:pPr>
        <w:pStyle w:val="TOC4"/>
        <w:tabs>
          <w:tab w:val="left" w:pos="1551"/>
          <w:tab w:val="right" w:leader="dot" w:pos="9350"/>
        </w:tabs>
        <w:spacing w:line="240" w:lineRule="auto"/>
        <w:ind w:left="2610" w:hanging="630"/>
        <w:rPr>
          <w:rFonts w:eastAsiaTheme="minorEastAsia"/>
          <w:noProof/>
          <w:kern w:val="2"/>
          <w:sz w:val="22"/>
          <w:szCs w:val="22"/>
          <w14:ligatures w14:val="standardContextual"/>
        </w:rPr>
      </w:pPr>
      <w:hyperlink w:anchor="_Toc148375764" w:history="1">
        <w:r w:rsidR="00B80BAB" w:rsidRPr="00A30422">
          <w:rPr>
            <w:rStyle w:val="Hyperlink"/>
            <w:noProof/>
          </w:rPr>
          <w:t>ii.</w:t>
        </w:r>
        <w:r w:rsidR="00B80BAB" w:rsidRPr="00A30422">
          <w:rPr>
            <w:rFonts w:eastAsiaTheme="minorEastAsia"/>
            <w:noProof/>
            <w:kern w:val="2"/>
            <w:sz w:val="22"/>
            <w:szCs w:val="22"/>
            <w14:ligatures w14:val="standardContextual"/>
          </w:rPr>
          <w:tab/>
        </w:r>
        <w:r w:rsidR="00B80BAB" w:rsidRPr="00A30422">
          <w:rPr>
            <w:rStyle w:val="Hyperlink"/>
            <w:noProof/>
          </w:rPr>
          <w:t>Census Data</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_Toc148375764 \h </w:instrText>
        </w:r>
        <w:r w:rsidR="00B80BAB" w:rsidRPr="00A30422">
          <w:rPr>
            <w:noProof/>
            <w:webHidden/>
          </w:rPr>
        </w:r>
        <w:r w:rsidR="00B80BAB" w:rsidRPr="00A30422">
          <w:rPr>
            <w:noProof/>
            <w:webHidden/>
          </w:rPr>
          <w:fldChar w:fldCharType="separate"/>
        </w:r>
        <w:r w:rsidR="00D83E9C">
          <w:rPr>
            <w:noProof/>
            <w:webHidden/>
          </w:rPr>
          <w:t>17</w:t>
        </w:r>
        <w:r w:rsidR="00B80BAB" w:rsidRPr="00A30422">
          <w:rPr>
            <w:noProof/>
            <w:webHidden/>
          </w:rPr>
          <w:fldChar w:fldCharType="end"/>
        </w:r>
      </w:hyperlink>
    </w:p>
    <w:p w14:paraId="04A0DEEC" w14:textId="4FA6F843" w:rsidR="00B80BAB" w:rsidRPr="00A30422" w:rsidRDefault="00000000" w:rsidP="00E91F70">
      <w:pPr>
        <w:pStyle w:val="TOC2"/>
        <w:rPr>
          <w:rFonts w:eastAsiaTheme="minorEastAsia"/>
          <w:b w:val="0"/>
          <w:bCs w:val="0"/>
          <w:noProof/>
          <w:kern w:val="2"/>
          <w:sz w:val="22"/>
          <w:szCs w:val="22"/>
          <w14:ligatures w14:val="standardContextual"/>
        </w:rPr>
      </w:pPr>
      <w:hyperlink w:anchor="_Toc148375765" w:history="1">
        <w:r w:rsidR="00B80BAB" w:rsidRPr="00A30422">
          <w:rPr>
            <w:rStyle w:val="Hyperlink"/>
            <w:b w:val="0"/>
            <w:bCs w:val="0"/>
            <w:noProof/>
          </w:rPr>
          <w:t>C.</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Statistical Analysis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_Toc148375765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18</w:t>
        </w:r>
        <w:r w:rsidR="00B80BAB" w:rsidRPr="00A30422">
          <w:rPr>
            <w:b w:val="0"/>
            <w:bCs w:val="0"/>
            <w:noProof/>
            <w:webHidden/>
          </w:rPr>
          <w:fldChar w:fldCharType="end"/>
        </w:r>
      </w:hyperlink>
    </w:p>
    <w:p w14:paraId="2A94BA5C" w14:textId="2E7BCD3F" w:rsidR="00B80BAB" w:rsidRPr="00A30422" w:rsidRDefault="00000000" w:rsidP="00A30422">
      <w:pPr>
        <w:pStyle w:val="TOC3"/>
        <w:rPr>
          <w:rFonts w:eastAsiaTheme="minorEastAsia"/>
          <w:noProof/>
          <w:kern w:val="2"/>
          <w:sz w:val="22"/>
          <w:szCs w:val="22"/>
          <w14:ligatures w14:val="standardContextual"/>
        </w:rPr>
      </w:pPr>
      <w:hyperlink w:anchor="_Toc148375766"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Panel Study of Income Dynamics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_Toc148375766 \h </w:instrText>
        </w:r>
        <w:r w:rsidR="00B80BAB" w:rsidRPr="00A30422">
          <w:rPr>
            <w:noProof/>
            <w:webHidden/>
          </w:rPr>
        </w:r>
        <w:r w:rsidR="00B80BAB" w:rsidRPr="00A30422">
          <w:rPr>
            <w:noProof/>
            <w:webHidden/>
          </w:rPr>
          <w:fldChar w:fldCharType="separate"/>
        </w:r>
        <w:r w:rsidR="00D83E9C">
          <w:rPr>
            <w:noProof/>
            <w:webHidden/>
          </w:rPr>
          <w:t>18</w:t>
        </w:r>
        <w:r w:rsidR="00B80BAB" w:rsidRPr="00A30422">
          <w:rPr>
            <w:noProof/>
            <w:webHidden/>
          </w:rPr>
          <w:fldChar w:fldCharType="end"/>
        </w:r>
      </w:hyperlink>
    </w:p>
    <w:p w14:paraId="26BE1EDC" w14:textId="19DBC778" w:rsidR="00B80BAB" w:rsidRPr="00A30422" w:rsidRDefault="00000000" w:rsidP="00A30422">
      <w:pPr>
        <w:pStyle w:val="TOC3"/>
        <w:rPr>
          <w:rFonts w:eastAsiaTheme="minorEastAsia"/>
          <w:noProof/>
          <w:kern w:val="2"/>
          <w:sz w:val="22"/>
          <w:szCs w:val="22"/>
          <w14:ligatures w14:val="standardContextual"/>
        </w:rPr>
      </w:pPr>
      <w:hyperlink w:anchor="_Toc148375767"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University of Illinois Hospital Tumor Registry</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_Toc148375767 \h </w:instrText>
        </w:r>
        <w:r w:rsidR="00B80BAB" w:rsidRPr="00A30422">
          <w:rPr>
            <w:noProof/>
            <w:webHidden/>
          </w:rPr>
        </w:r>
        <w:r w:rsidR="00B80BAB" w:rsidRPr="00A30422">
          <w:rPr>
            <w:noProof/>
            <w:webHidden/>
          </w:rPr>
          <w:fldChar w:fldCharType="separate"/>
        </w:r>
        <w:r w:rsidR="00D83E9C">
          <w:rPr>
            <w:noProof/>
            <w:webHidden/>
          </w:rPr>
          <w:t>19</w:t>
        </w:r>
        <w:r w:rsidR="00B80BAB" w:rsidRPr="00A30422">
          <w:rPr>
            <w:noProof/>
            <w:webHidden/>
          </w:rPr>
          <w:fldChar w:fldCharType="end"/>
        </w:r>
      </w:hyperlink>
    </w:p>
    <w:p w14:paraId="66B2A3AE" w14:textId="0DA33F74" w:rsidR="00B80BAB" w:rsidRPr="00A30422" w:rsidRDefault="00000000" w:rsidP="00010886">
      <w:pPr>
        <w:pStyle w:val="TOC1"/>
        <w:rPr>
          <w:rFonts w:asciiTheme="minorHAnsi" w:eastAsiaTheme="minorEastAsia" w:hAnsiTheme="minorHAnsi"/>
          <w:noProof/>
          <w:kern w:val="2"/>
          <w:sz w:val="22"/>
          <w:szCs w:val="22"/>
          <w14:ligatures w14:val="standardContextual"/>
        </w:rPr>
      </w:pPr>
      <w:hyperlink w:anchor="_Toc148375768" w:history="1">
        <w:r w:rsidR="00B80BAB" w:rsidRPr="00A30422">
          <w:rPr>
            <w:rStyle w:val="Hyperlink"/>
            <w:b w:val="0"/>
            <w:bCs w:val="0"/>
            <w:noProof/>
          </w:rPr>
          <w:t>III.</w:t>
        </w:r>
        <w:r w:rsidR="00B80BAB" w:rsidRPr="00A30422">
          <w:rPr>
            <w:rFonts w:asciiTheme="minorHAnsi" w:eastAsiaTheme="minorEastAsia" w:hAnsiTheme="minorHAnsi"/>
            <w:noProof/>
            <w:kern w:val="2"/>
            <w:sz w:val="22"/>
            <w:szCs w:val="22"/>
            <w14:ligatures w14:val="standardContextual"/>
          </w:rPr>
          <w:tab/>
        </w:r>
        <w:r w:rsidR="00B80BAB" w:rsidRPr="00A30422">
          <w:rPr>
            <w:rStyle w:val="Hyperlink"/>
            <w:b w:val="0"/>
            <w:bCs w:val="0"/>
            <w:noProof/>
          </w:rPr>
          <w:t xml:space="preserve">Exposure to neighborhood concentrated disadvantage across </w:t>
        </w:r>
        <w:r w:rsidR="00A30422">
          <w:rPr>
            <w:rStyle w:val="Hyperlink"/>
            <w:b w:val="0"/>
            <w:bCs w:val="0"/>
            <w:noProof/>
          </w:rPr>
          <w:br/>
        </w:r>
        <w:r w:rsidR="00B80BAB" w:rsidRPr="00A30422">
          <w:rPr>
            <w:rStyle w:val="Hyperlink"/>
            <w:b w:val="0"/>
            <w:bCs w:val="0"/>
            <w:noProof/>
          </w:rPr>
          <w:t>the life course and survival after cancer diagnosis in the Panel Study of Income Dynamics cohort</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_Toc148375768 \h </w:instrText>
        </w:r>
        <w:r w:rsidR="00B80BAB" w:rsidRPr="00A30422">
          <w:rPr>
            <w:noProof/>
            <w:webHidden/>
          </w:rPr>
        </w:r>
        <w:r w:rsidR="00B80BAB" w:rsidRPr="00A30422">
          <w:rPr>
            <w:noProof/>
            <w:webHidden/>
          </w:rPr>
          <w:fldChar w:fldCharType="separate"/>
        </w:r>
        <w:r w:rsidR="00D83E9C">
          <w:rPr>
            <w:noProof/>
            <w:webHidden/>
          </w:rPr>
          <w:t>20</w:t>
        </w:r>
        <w:r w:rsidR="00B80BAB" w:rsidRPr="00A30422">
          <w:rPr>
            <w:noProof/>
            <w:webHidden/>
          </w:rPr>
          <w:fldChar w:fldCharType="end"/>
        </w:r>
      </w:hyperlink>
    </w:p>
    <w:p w14:paraId="6E3E282B" w14:textId="285851A4" w:rsidR="00B80BAB" w:rsidRPr="00A30422" w:rsidRDefault="00000000" w:rsidP="00E91F70">
      <w:pPr>
        <w:pStyle w:val="TOC2"/>
        <w:rPr>
          <w:rFonts w:eastAsiaTheme="minorEastAsia"/>
          <w:b w:val="0"/>
          <w:bCs w:val="0"/>
          <w:noProof/>
          <w:kern w:val="2"/>
          <w:sz w:val="22"/>
          <w:szCs w:val="22"/>
          <w14:ligatures w14:val="standardContextual"/>
        </w:rPr>
      </w:pPr>
      <w:hyperlink w:anchor="_Toc148375769" w:history="1">
        <w:r w:rsidR="00B80BAB" w:rsidRPr="00A30422">
          <w:rPr>
            <w:rStyle w:val="Hyperlink"/>
            <w:b w:val="0"/>
            <w:bCs w:val="0"/>
            <w:noProof/>
          </w:rPr>
          <w:t>A.</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Introduction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_Toc148375769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20</w:t>
        </w:r>
        <w:r w:rsidR="00B80BAB" w:rsidRPr="00A30422">
          <w:rPr>
            <w:b w:val="0"/>
            <w:bCs w:val="0"/>
            <w:noProof/>
            <w:webHidden/>
          </w:rPr>
          <w:fldChar w:fldCharType="end"/>
        </w:r>
      </w:hyperlink>
    </w:p>
    <w:p w14:paraId="6197F148" w14:textId="5305AF34" w:rsidR="00B80BAB" w:rsidRPr="00A30422" w:rsidRDefault="00000000" w:rsidP="00E91F70">
      <w:pPr>
        <w:pStyle w:val="TOC2"/>
        <w:rPr>
          <w:rFonts w:eastAsiaTheme="minorEastAsia"/>
          <w:b w:val="0"/>
          <w:bCs w:val="0"/>
          <w:noProof/>
          <w:kern w:val="2"/>
          <w:sz w:val="22"/>
          <w:szCs w:val="22"/>
          <w14:ligatures w14:val="standardContextual"/>
        </w:rPr>
      </w:pPr>
      <w:hyperlink w:anchor="_Toc148375770" w:history="1">
        <w:r w:rsidR="00B80BAB" w:rsidRPr="00A30422">
          <w:rPr>
            <w:rStyle w:val="Hyperlink"/>
            <w:b w:val="0"/>
            <w:bCs w:val="0"/>
            <w:noProof/>
          </w:rPr>
          <w:t>B.</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Materials and Methods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_Toc148375770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21</w:t>
        </w:r>
        <w:r w:rsidR="00B80BAB" w:rsidRPr="00A30422">
          <w:rPr>
            <w:b w:val="0"/>
            <w:bCs w:val="0"/>
            <w:noProof/>
            <w:webHidden/>
          </w:rPr>
          <w:fldChar w:fldCharType="end"/>
        </w:r>
      </w:hyperlink>
    </w:p>
    <w:p w14:paraId="1D103425" w14:textId="73622159" w:rsidR="00B80BAB" w:rsidRPr="00A30422" w:rsidRDefault="00000000" w:rsidP="00A30422">
      <w:pPr>
        <w:pStyle w:val="TOC3"/>
        <w:rPr>
          <w:rFonts w:eastAsiaTheme="minorEastAsia"/>
          <w:noProof/>
          <w:kern w:val="2"/>
          <w:sz w:val="22"/>
          <w:szCs w:val="22"/>
          <w14:ligatures w14:val="standardContextual"/>
        </w:rPr>
      </w:pPr>
      <w:hyperlink w:anchor="_Toc148375771"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Primary Data Source</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_Toc148375771 \h </w:instrText>
        </w:r>
        <w:r w:rsidR="00B80BAB" w:rsidRPr="00A30422">
          <w:rPr>
            <w:noProof/>
            <w:webHidden/>
          </w:rPr>
        </w:r>
        <w:r w:rsidR="00B80BAB" w:rsidRPr="00A30422">
          <w:rPr>
            <w:noProof/>
            <w:webHidden/>
          </w:rPr>
          <w:fldChar w:fldCharType="separate"/>
        </w:r>
        <w:r w:rsidR="00D83E9C">
          <w:rPr>
            <w:noProof/>
            <w:webHidden/>
          </w:rPr>
          <w:t>21</w:t>
        </w:r>
        <w:r w:rsidR="00B80BAB" w:rsidRPr="00A30422">
          <w:rPr>
            <w:noProof/>
            <w:webHidden/>
          </w:rPr>
          <w:fldChar w:fldCharType="end"/>
        </w:r>
      </w:hyperlink>
    </w:p>
    <w:p w14:paraId="11AD32E1" w14:textId="0178B337" w:rsidR="00B80BAB" w:rsidRPr="00A30422" w:rsidRDefault="00000000" w:rsidP="00A30422">
      <w:pPr>
        <w:pStyle w:val="TOC3"/>
        <w:rPr>
          <w:rFonts w:eastAsiaTheme="minorEastAsia"/>
          <w:noProof/>
          <w:kern w:val="2"/>
          <w:sz w:val="22"/>
          <w:szCs w:val="22"/>
          <w14:ligatures w14:val="standardContextual"/>
        </w:rPr>
      </w:pPr>
      <w:hyperlink w:anchor="_Toc148375772"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Sampling Frame</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_Toc148375772 \h </w:instrText>
        </w:r>
        <w:r w:rsidR="00B80BAB" w:rsidRPr="00A30422">
          <w:rPr>
            <w:noProof/>
            <w:webHidden/>
          </w:rPr>
        </w:r>
        <w:r w:rsidR="00B80BAB" w:rsidRPr="00A30422">
          <w:rPr>
            <w:noProof/>
            <w:webHidden/>
          </w:rPr>
          <w:fldChar w:fldCharType="separate"/>
        </w:r>
        <w:r w:rsidR="00D83E9C">
          <w:rPr>
            <w:noProof/>
            <w:webHidden/>
          </w:rPr>
          <w:t>22</w:t>
        </w:r>
        <w:r w:rsidR="00B80BAB" w:rsidRPr="00A30422">
          <w:rPr>
            <w:noProof/>
            <w:webHidden/>
          </w:rPr>
          <w:fldChar w:fldCharType="end"/>
        </w:r>
      </w:hyperlink>
    </w:p>
    <w:p w14:paraId="3C85A77F" w14:textId="60067FAF" w:rsidR="00B80BAB" w:rsidRPr="00A30422" w:rsidRDefault="00000000" w:rsidP="00A30422">
      <w:pPr>
        <w:pStyle w:val="TOC3"/>
        <w:rPr>
          <w:rFonts w:eastAsiaTheme="minorEastAsia"/>
          <w:noProof/>
          <w:kern w:val="2"/>
          <w:sz w:val="22"/>
          <w:szCs w:val="22"/>
          <w14:ligatures w14:val="standardContextual"/>
        </w:rPr>
      </w:pPr>
      <w:hyperlink w:anchor="_Toc148375773" w:history="1">
        <w:r w:rsidR="00B80BAB" w:rsidRPr="00A30422">
          <w:rPr>
            <w:rStyle w:val="Hyperlink"/>
            <w:noProof/>
          </w:rPr>
          <w:t>3.</w:t>
        </w:r>
        <w:r w:rsidR="00B80BAB" w:rsidRPr="00A30422">
          <w:rPr>
            <w:rFonts w:eastAsiaTheme="minorEastAsia"/>
            <w:noProof/>
            <w:kern w:val="2"/>
            <w:sz w:val="22"/>
            <w:szCs w:val="22"/>
            <w14:ligatures w14:val="standardContextual"/>
          </w:rPr>
          <w:tab/>
        </w:r>
        <w:r w:rsidR="00B80BAB" w:rsidRPr="00A30422">
          <w:rPr>
            <w:rStyle w:val="Hyperlink"/>
            <w:noProof/>
          </w:rPr>
          <w:t>Vital Status Ascertainment</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_Toc148375773 \h </w:instrText>
        </w:r>
        <w:r w:rsidR="00B80BAB" w:rsidRPr="00A30422">
          <w:rPr>
            <w:noProof/>
            <w:webHidden/>
          </w:rPr>
        </w:r>
        <w:r w:rsidR="00B80BAB" w:rsidRPr="00A30422">
          <w:rPr>
            <w:noProof/>
            <w:webHidden/>
          </w:rPr>
          <w:fldChar w:fldCharType="separate"/>
        </w:r>
        <w:r w:rsidR="00D83E9C">
          <w:rPr>
            <w:noProof/>
            <w:webHidden/>
          </w:rPr>
          <w:t>24</w:t>
        </w:r>
        <w:r w:rsidR="00B80BAB" w:rsidRPr="00A30422">
          <w:rPr>
            <w:noProof/>
            <w:webHidden/>
          </w:rPr>
          <w:fldChar w:fldCharType="end"/>
        </w:r>
      </w:hyperlink>
    </w:p>
    <w:p w14:paraId="6E779118" w14:textId="369186FE" w:rsidR="00B80BAB" w:rsidRPr="00A30422" w:rsidRDefault="00000000" w:rsidP="00A30422">
      <w:pPr>
        <w:pStyle w:val="TOC3"/>
        <w:rPr>
          <w:rFonts w:eastAsiaTheme="minorEastAsia"/>
          <w:noProof/>
          <w:kern w:val="2"/>
          <w:sz w:val="22"/>
          <w:szCs w:val="22"/>
          <w14:ligatures w14:val="standardContextual"/>
        </w:rPr>
      </w:pPr>
      <w:hyperlink w:anchor="_Toc148375774" w:history="1">
        <w:r w:rsidR="00B80BAB" w:rsidRPr="00A30422">
          <w:rPr>
            <w:rStyle w:val="Hyperlink"/>
            <w:noProof/>
          </w:rPr>
          <w:t>4.</w:t>
        </w:r>
        <w:r w:rsidR="00B80BAB" w:rsidRPr="00A30422">
          <w:rPr>
            <w:rFonts w:eastAsiaTheme="minorEastAsia"/>
            <w:noProof/>
            <w:kern w:val="2"/>
            <w:sz w:val="22"/>
            <w:szCs w:val="22"/>
            <w14:ligatures w14:val="standardContextual"/>
          </w:rPr>
          <w:tab/>
        </w:r>
        <w:r w:rsidR="00B80BAB" w:rsidRPr="00A30422">
          <w:rPr>
            <w:rStyle w:val="Hyperlink"/>
            <w:noProof/>
          </w:rPr>
          <w:t>Residential Exposure Measurement</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_Toc148375774 \h </w:instrText>
        </w:r>
        <w:r w:rsidR="00B80BAB" w:rsidRPr="00A30422">
          <w:rPr>
            <w:noProof/>
            <w:webHidden/>
          </w:rPr>
        </w:r>
        <w:r w:rsidR="00B80BAB" w:rsidRPr="00A30422">
          <w:rPr>
            <w:noProof/>
            <w:webHidden/>
          </w:rPr>
          <w:fldChar w:fldCharType="separate"/>
        </w:r>
        <w:r w:rsidR="00D83E9C">
          <w:rPr>
            <w:noProof/>
            <w:webHidden/>
          </w:rPr>
          <w:t>24</w:t>
        </w:r>
        <w:r w:rsidR="00B80BAB" w:rsidRPr="00A30422">
          <w:rPr>
            <w:noProof/>
            <w:webHidden/>
          </w:rPr>
          <w:fldChar w:fldCharType="end"/>
        </w:r>
      </w:hyperlink>
    </w:p>
    <w:p w14:paraId="7C063D60" w14:textId="4D14E6DD" w:rsidR="00B80BAB" w:rsidRPr="00A30422" w:rsidRDefault="00000000" w:rsidP="00A30422">
      <w:pPr>
        <w:pStyle w:val="TOC3"/>
        <w:rPr>
          <w:rFonts w:eastAsiaTheme="minorEastAsia"/>
          <w:noProof/>
          <w:kern w:val="2"/>
          <w:sz w:val="22"/>
          <w:szCs w:val="22"/>
          <w14:ligatures w14:val="standardContextual"/>
        </w:rPr>
      </w:pPr>
      <w:hyperlink w:anchor="_Toc148375775" w:history="1">
        <w:r w:rsidR="00B80BAB" w:rsidRPr="00A30422">
          <w:rPr>
            <w:rStyle w:val="Hyperlink"/>
            <w:noProof/>
          </w:rPr>
          <w:t>5.</w:t>
        </w:r>
        <w:r w:rsidR="00B80BAB" w:rsidRPr="00A30422">
          <w:rPr>
            <w:rFonts w:eastAsiaTheme="minorEastAsia"/>
            <w:noProof/>
            <w:kern w:val="2"/>
            <w:sz w:val="22"/>
            <w:szCs w:val="22"/>
            <w14:ligatures w14:val="standardContextual"/>
          </w:rPr>
          <w:tab/>
        </w:r>
        <w:r w:rsidR="00B80BAB" w:rsidRPr="00A30422">
          <w:rPr>
            <w:rStyle w:val="Hyperlink"/>
            <w:noProof/>
          </w:rPr>
          <w:t>Data Preparation</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_Toc148375775 \h </w:instrText>
        </w:r>
        <w:r w:rsidR="00B80BAB" w:rsidRPr="00A30422">
          <w:rPr>
            <w:noProof/>
            <w:webHidden/>
          </w:rPr>
        </w:r>
        <w:r w:rsidR="00B80BAB" w:rsidRPr="00A30422">
          <w:rPr>
            <w:noProof/>
            <w:webHidden/>
          </w:rPr>
          <w:fldChar w:fldCharType="separate"/>
        </w:r>
        <w:r w:rsidR="00D83E9C">
          <w:rPr>
            <w:noProof/>
            <w:webHidden/>
          </w:rPr>
          <w:t>25</w:t>
        </w:r>
        <w:r w:rsidR="00B80BAB" w:rsidRPr="00A30422">
          <w:rPr>
            <w:noProof/>
            <w:webHidden/>
          </w:rPr>
          <w:fldChar w:fldCharType="end"/>
        </w:r>
      </w:hyperlink>
    </w:p>
    <w:p w14:paraId="166D8F3A" w14:textId="59F694DE" w:rsidR="00B80BAB" w:rsidRPr="00A30422" w:rsidRDefault="00000000" w:rsidP="00A30422">
      <w:pPr>
        <w:pStyle w:val="TOC3"/>
        <w:rPr>
          <w:rFonts w:eastAsiaTheme="minorEastAsia"/>
          <w:noProof/>
          <w:kern w:val="2"/>
          <w:sz w:val="22"/>
          <w:szCs w:val="22"/>
          <w14:ligatures w14:val="standardContextual"/>
        </w:rPr>
      </w:pPr>
      <w:hyperlink w:anchor="_Toc148375776" w:history="1">
        <w:r w:rsidR="00B80BAB" w:rsidRPr="00A30422">
          <w:rPr>
            <w:rStyle w:val="Hyperlink"/>
            <w:noProof/>
          </w:rPr>
          <w:t>6.</w:t>
        </w:r>
        <w:r w:rsidR="00B80BAB" w:rsidRPr="00A30422">
          <w:rPr>
            <w:rFonts w:eastAsiaTheme="minorEastAsia"/>
            <w:noProof/>
            <w:kern w:val="2"/>
            <w:sz w:val="22"/>
            <w:szCs w:val="22"/>
            <w14:ligatures w14:val="standardContextual"/>
          </w:rPr>
          <w:tab/>
        </w:r>
        <w:r w:rsidR="00B80BAB" w:rsidRPr="00A30422">
          <w:rPr>
            <w:rStyle w:val="Hyperlink"/>
            <w:noProof/>
          </w:rPr>
          <w:t>Statistical Analysis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_Toc148375776 \h </w:instrText>
        </w:r>
        <w:r w:rsidR="00B80BAB" w:rsidRPr="00A30422">
          <w:rPr>
            <w:noProof/>
            <w:webHidden/>
          </w:rPr>
        </w:r>
        <w:r w:rsidR="00B80BAB" w:rsidRPr="00A30422">
          <w:rPr>
            <w:noProof/>
            <w:webHidden/>
          </w:rPr>
          <w:fldChar w:fldCharType="separate"/>
        </w:r>
        <w:r w:rsidR="00D83E9C">
          <w:rPr>
            <w:noProof/>
            <w:webHidden/>
          </w:rPr>
          <w:t>25</w:t>
        </w:r>
        <w:r w:rsidR="00B80BAB" w:rsidRPr="00A30422">
          <w:rPr>
            <w:noProof/>
            <w:webHidden/>
          </w:rPr>
          <w:fldChar w:fldCharType="end"/>
        </w:r>
      </w:hyperlink>
    </w:p>
    <w:p w14:paraId="041C6796" w14:textId="6CD6AB38" w:rsidR="00B80BAB" w:rsidRPr="00A30422" w:rsidRDefault="00000000" w:rsidP="00E91F70">
      <w:pPr>
        <w:pStyle w:val="TOC2"/>
        <w:rPr>
          <w:rFonts w:eastAsiaTheme="minorEastAsia"/>
          <w:b w:val="0"/>
          <w:bCs w:val="0"/>
          <w:noProof/>
          <w:kern w:val="2"/>
          <w:sz w:val="22"/>
          <w:szCs w:val="22"/>
          <w14:ligatures w14:val="standardContextual"/>
        </w:rPr>
      </w:pPr>
      <w:hyperlink w:anchor="_Toc148375777" w:history="1">
        <w:r w:rsidR="00B80BAB" w:rsidRPr="00A30422">
          <w:rPr>
            <w:rStyle w:val="Hyperlink"/>
            <w:b w:val="0"/>
            <w:bCs w:val="0"/>
            <w:noProof/>
          </w:rPr>
          <w:t>C.</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Results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_Toc148375777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27</w:t>
        </w:r>
        <w:r w:rsidR="00B80BAB" w:rsidRPr="00A30422">
          <w:rPr>
            <w:b w:val="0"/>
            <w:bCs w:val="0"/>
            <w:noProof/>
            <w:webHidden/>
          </w:rPr>
          <w:fldChar w:fldCharType="end"/>
        </w:r>
      </w:hyperlink>
    </w:p>
    <w:p w14:paraId="50BE8BDB" w14:textId="213D49A1" w:rsidR="00B80BAB" w:rsidRPr="00A30422" w:rsidRDefault="00000000" w:rsidP="00A30422">
      <w:pPr>
        <w:pStyle w:val="TOC3"/>
        <w:rPr>
          <w:rFonts w:eastAsiaTheme="minorEastAsia"/>
          <w:noProof/>
          <w:kern w:val="2"/>
          <w:sz w:val="22"/>
          <w:szCs w:val="22"/>
          <w14:ligatures w14:val="standardContextual"/>
        </w:rPr>
      </w:pPr>
      <w:hyperlink w:anchor="_Toc148375778"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Study Participant Characteristics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_Toc148375778 \h </w:instrText>
        </w:r>
        <w:r w:rsidR="00B80BAB" w:rsidRPr="00A30422">
          <w:rPr>
            <w:noProof/>
            <w:webHidden/>
          </w:rPr>
        </w:r>
        <w:r w:rsidR="00B80BAB" w:rsidRPr="00A30422">
          <w:rPr>
            <w:noProof/>
            <w:webHidden/>
          </w:rPr>
          <w:fldChar w:fldCharType="separate"/>
        </w:r>
        <w:r w:rsidR="00D83E9C">
          <w:rPr>
            <w:noProof/>
            <w:webHidden/>
          </w:rPr>
          <w:t>27</w:t>
        </w:r>
        <w:r w:rsidR="00B80BAB" w:rsidRPr="00A30422">
          <w:rPr>
            <w:noProof/>
            <w:webHidden/>
          </w:rPr>
          <w:fldChar w:fldCharType="end"/>
        </w:r>
      </w:hyperlink>
    </w:p>
    <w:p w14:paraId="39082A66" w14:textId="423A929D" w:rsidR="00B80BAB" w:rsidRPr="00A30422" w:rsidRDefault="00000000" w:rsidP="00A30422">
      <w:pPr>
        <w:pStyle w:val="TOC3"/>
        <w:rPr>
          <w:rFonts w:eastAsiaTheme="minorEastAsia"/>
          <w:noProof/>
          <w:kern w:val="2"/>
          <w:sz w:val="22"/>
          <w:szCs w:val="22"/>
          <w14:ligatures w14:val="standardContextual"/>
        </w:rPr>
      </w:pPr>
      <w:hyperlink w:anchor="_Toc148375779"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Distribution and Availability of CD Score</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_Toc148375779 \h </w:instrText>
        </w:r>
        <w:r w:rsidR="00B80BAB" w:rsidRPr="00A30422">
          <w:rPr>
            <w:noProof/>
            <w:webHidden/>
          </w:rPr>
        </w:r>
        <w:r w:rsidR="00B80BAB" w:rsidRPr="00A30422">
          <w:rPr>
            <w:noProof/>
            <w:webHidden/>
          </w:rPr>
          <w:fldChar w:fldCharType="separate"/>
        </w:r>
        <w:r w:rsidR="00D83E9C">
          <w:rPr>
            <w:noProof/>
            <w:webHidden/>
          </w:rPr>
          <w:t>27</w:t>
        </w:r>
        <w:r w:rsidR="00B80BAB" w:rsidRPr="00A30422">
          <w:rPr>
            <w:noProof/>
            <w:webHidden/>
          </w:rPr>
          <w:fldChar w:fldCharType="end"/>
        </w:r>
      </w:hyperlink>
    </w:p>
    <w:p w14:paraId="094F5CBB" w14:textId="0BB08AED" w:rsidR="00B80BAB" w:rsidRPr="00A30422" w:rsidRDefault="00000000" w:rsidP="00A30422">
      <w:pPr>
        <w:pStyle w:val="TOC3"/>
        <w:rPr>
          <w:rFonts w:eastAsiaTheme="minorEastAsia"/>
          <w:noProof/>
          <w:kern w:val="2"/>
          <w:sz w:val="22"/>
          <w:szCs w:val="22"/>
          <w14:ligatures w14:val="standardContextual"/>
        </w:rPr>
      </w:pPr>
      <w:hyperlink w:anchor="_Toc148375780" w:history="1">
        <w:r w:rsidR="00B80BAB" w:rsidRPr="00A30422">
          <w:rPr>
            <w:rStyle w:val="Hyperlink"/>
            <w:noProof/>
          </w:rPr>
          <w:t>3.</w:t>
        </w:r>
        <w:r w:rsidR="00B80BAB" w:rsidRPr="00A30422">
          <w:rPr>
            <w:rFonts w:eastAsiaTheme="minorEastAsia"/>
            <w:noProof/>
            <w:kern w:val="2"/>
            <w:sz w:val="22"/>
            <w:szCs w:val="22"/>
            <w14:ligatures w14:val="standardContextual"/>
          </w:rPr>
          <w:tab/>
        </w:r>
        <w:r w:rsidR="00B80BAB" w:rsidRPr="00A30422">
          <w:rPr>
            <w:rStyle w:val="Hyperlink"/>
            <w:noProof/>
          </w:rPr>
          <w:t>Survival Analysis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_Toc148375780 \h </w:instrText>
        </w:r>
        <w:r w:rsidR="00B80BAB" w:rsidRPr="00A30422">
          <w:rPr>
            <w:noProof/>
            <w:webHidden/>
          </w:rPr>
        </w:r>
        <w:r w:rsidR="00B80BAB" w:rsidRPr="00A30422">
          <w:rPr>
            <w:noProof/>
            <w:webHidden/>
          </w:rPr>
          <w:fldChar w:fldCharType="separate"/>
        </w:r>
        <w:r w:rsidR="00D83E9C">
          <w:rPr>
            <w:noProof/>
            <w:webHidden/>
          </w:rPr>
          <w:t>27</w:t>
        </w:r>
        <w:r w:rsidR="00B80BAB" w:rsidRPr="00A30422">
          <w:rPr>
            <w:noProof/>
            <w:webHidden/>
          </w:rPr>
          <w:fldChar w:fldCharType="end"/>
        </w:r>
      </w:hyperlink>
    </w:p>
    <w:p w14:paraId="44A524F6" w14:textId="1EF89AF0" w:rsidR="00B80BAB" w:rsidRPr="00A30422" w:rsidRDefault="00000000" w:rsidP="00E91F70">
      <w:pPr>
        <w:pStyle w:val="TOC2"/>
        <w:rPr>
          <w:rFonts w:eastAsiaTheme="minorEastAsia"/>
          <w:b w:val="0"/>
          <w:bCs w:val="0"/>
          <w:noProof/>
          <w:kern w:val="2"/>
          <w:sz w:val="22"/>
          <w:szCs w:val="22"/>
          <w14:ligatures w14:val="standardContextual"/>
        </w:rPr>
      </w:pPr>
      <w:hyperlink w:anchor="_Toc148375781" w:history="1">
        <w:r w:rsidR="00B80BAB" w:rsidRPr="00A30422">
          <w:rPr>
            <w:rStyle w:val="Hyperlink"/>
            <w:b w:val="0"/>
            <w:bCs w:val="0"/>
            <w:noProof/>
          </w:rPr>
          <w:t>D.</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Discussion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_Toc148375781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32</w:t>
        </w:r>
        <w:r w:rsidR="00B80BAB" w:rsidRPr="00A30422">
          <w:rPr>
            <w:b w:val="0"/>
            <w:bCs w:val="0"/>
            <w:noProof/>
            <w:webHidden/>
          </w:rPr>
          <w:fldChar w:fldCharType="end"/>
        </w:r>
      </w:hyperlink>
    </w:p>
    <w:p w14:paraId="0E87BF98" w14:textId="7677317A" w:rsidR="00B80BAB" w:rsidRPr="00A30422" w:rsidRDefault="00000000" w:rsidP="00E91F70">
      <w:pPr>
        <w:pStyle w:val="TOC2"/>
        <w:rPr>
          <w:rFonts w:eastAsiaTheme="minorEastAsia"/>
          <w:b w:val="0"/>
          <w:bCs w:val="0"/>
          <w:noProof/>
          <w:kern w:val="2"/>
          <w:sz w:val="22"/>
          <w:szCs w:val="22"/>
          <w14:ligatures w14:val="standardContextual"/>
        </w:rPr>
      </w:pPr>
      <w:hyperlink w:anchor="_Toc148375782" w:history="1">
        <w:r w:rsidR="00B80BAB" w:rsidRPr="00A30422">
          <w:rPr>
            <w:rStyle w:val="Hyperlink"/>
            <w:b w:val="0"/>
            <w:bCs w:val="0"/>
            <w:noProof/>
          </w:rPr>
          <w:t>E.</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Conclusion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_Toc148375782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36</w:t>
        </w:r>
        <w:r w:rsidR="00B80BAB" w:rsidRPr="00A30422">
          <w:rPr>
            <w:b w:val="0"/>
            <w:bCs w:val="0"/>
            <w:noProof/>
            <w:webHidden/>
          </w:rPr>
          <w:fldChar w:fldCharType="end"/>
        </w:r>
      </w:hyperlink>
    </w:p>
    <w:p w14:paraId="08CDF5FA" w14:textId="2C358453" w:rsidR="00B80BAB" w:rsidRPr="00A30422" w:rsidRDefault="00000000" w:rsidP="00010886">
      <w:pPr>
        <w:pStyle w:val="TOC1"/>
        <w:rPr>
          <w:rFonts w:asciiTheme="minorHAnsi" w:eastAsiaTheme="minorEastAsia" w:hAnsiTheme="minorHAnsi"/>
          <w:noProof/>
          <w:kern w:val="2"/>
          <w:sz w:val="22"/>
          <w:szCs w:val="22"/>
          <w14:ligatures w14:val="standardContextual"/>
        </w:rPr>
      </w:pPr>
      <w:hyperlink w:anchor="_Toc148375783" w:history="1">
        <w:r w:rsidR="00B80BAB" w:rsidRPr="00A30422">
          <w:rPr>
            <w:rStyle w:val="Hyperlink"/>
            <w:b w:val="0"/>
            <w:bCs w:val="0"/>
            <w:noProof/>
          </w:rPr>
          <w:t>IV.</w:t>
        </w:r>
        <w:r w:rsidR="00B80BAB" w:rsidRPr="00A30422">
          <w:rPr>
            <w:rFonts w:asciiTheme="minorHAnsi" w:eastAsiaTheme="minorEastAsia" w:hAnsiTheme="minorHAnsi"/>
            <w:noProof/>
            <w:kern w:val="2"/>
            <w:sz w:val="22"/>
            <w:szCs w:val="22"/>
            <w14:ligatures w14:val="standardContextual"/>
          </w:rPr>
          <w:tab/>
        </w:r>
        <w:r w:rsidR="00B80BAB" w:rsidRPr="00A30422">
          <w:rPr>
            <w:rStyle w:val="Hyperlink"/>
            <w:b w:val="0"/>
            <w:bCs w:val="0"/>
            <w:noProof/>
          </w:rPr>
          <w:t xml:space="preserve">Planned mediation analysis in the PSID Cohort is not Justified </w:t>
        </w:r>
        <w:r w:rsidR="00A30422">
          <w:rPr>
            <w:rStyle w:val="Hyperlink"/>
            <w:b w:val="0"/>
            <w:bCs w:val="0"/>
            <w:noProof/>
          </w:rPr>
          <w:br/>
        </w:r>
        <w:r w:rsidR="00B80BAB" w:rsidRPr="00A30422">
          <w:rPr>
            <w:rStyle w:val="Hyperlink"/>
            <w:b w:val="0"/>
            <w:bCs w:val="0"/>
            <w:noProof/>
          </w:rPr>
          <w:t>by Prior Results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_Toc148375783 \h </w:instrText>
        </w:r>
        <w:r w:rsidR="00B80BAB" w:rsidRPr="00A30422">
          <w:rPr>
            <w:noProof/>
            <w:webHidden/>
          </w:rPr>
        </w:r>
        <w:r w:rsidR="00B80BAB" w:rsidRPr="00A30422">
          <w:rPr>
            <w:noProof/>
            <w:webHidden/>
          </w:rPr>
          <w:fldChar w:fldCharType="separate"/>
        </w:r>
        <w:r w:rsidR="00D83E9C">
          <w:rPr>
            <w:noProof/>
            <w:webHidden/>
          </w:rPr>
          <w:t>38</w:t>
        </w:r>
        <w:r w:rsidR="00B80BAB" w:rsidRPr="00A30422">
          <w:rPr>
            <w:noProof/>
            <w:webHidden/>
          </w:rPr>
          <w:fldChar w:fldCharType="end"/>
        </w:r>
      </w:hyperlink>
    </w:p>
    <w:p w14:paraId="60621D6F" w14:textId="665845F9" w:rsidR="00B80BAB" w:rsidRPr="00A30422" w:rsidRDefault="00000000" w:rsidP="00010886">
      <w:pPr>
        <w:pStyle w:val="TOC1"/>
        <w:rPr>
          <w:rFonts w:asciiTheme="minorHAnsi" w:eastAsiaTheme="minorEastAsia" w:hAnsiTheme="minorHAnsi"/>
          <w:noProof/>
          <w:kern w:val="2"/>
          <w:sz w:val="22"/>
          <w:szCs w:val="22"/>
          <w14:ligatures w14:val="standardContextual"/>
        </w:rPr>
      </w:pPr>
      <w:hyperlink w:anchor="_Toc148375784" w:history="1">
        <w:r w:rsidR="00B80BAB" w:rsidRPr="00A30422">
          <w:rPr>
            <w:rStyle w:val="Hyperlink"/>
            <w:b w:val="0"/>
            <w:bCs w:val="0"/>
            <w:noProof/>
          </w:rPr>
          <w:t>V.</w:t>
        </w:r>
        <w:r w:rsidR="00B80BAB" w:rsidRPr="00A30422">
          <w:rPr>
            <w:rFonts w:asciiTheme="minorHAnsi" w:eastAsiaTheme="minorEastAsia" w:hAnsiTheme="minorHAnsi"/>
            <w:noProof/>
            <w:kern w:val="2"/>
            <w:sz w:val="22"/>
            <w:szCs w:val="22"/>
            <w14:ligatures w14:val="standardContextual"/>
          </w:rPr>
          <w:tab/>
        </w:r>
        <w:r w:rsidR="00B80BAB" w:rsidRPr="00A30422">
          <w:rPr>
            <w:rStyle w:val="Hyperlink"/>
            <w:b w:val="0"/>
            <w:bCs w:val="0"/>
            <w:noProof/>
          </w:rPr>
          <w:t xml:space="preserve">Neighborhood Concentrated Disadvantage Predicts Survival </w:t>
        </w:r>
        <w:r w:rsidR="00A30422">
          <w:rPr>
            <w:rStyle w:val="Hyperlink"/>
            <w:b w:val="0"/>
            <w:bCs w:val="0"/>
            <w:noProof/>
          </w:rPr>
          <w:br/>
        </w:r>
        <w:r w:rsidR="00B80BAB" w:rsidRPr="00A30422">
          <w:rPr>
            <w:rStyle w:val="Hyperlink"/>
            <w:b w:val="0"/>
            <w:bCs w:val="0"/>
            <w:noProof/>
          </w:rPr>
          <w:t>but Not Stage at Diagnosis in a Colorectal Cancer Cohort</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_Toc148375784 \h </w:instrText>
        </w:r>
        <w:r w:rsidR="00B80BAB" w:rsidRPr="00A30422">
          <w:rPr>
            <w:noProof/>
            <w:webHidden/>
          </w:rPr>
        </w:r>
        <w:r w:rsidR="00B80BAB" w:rsidRPr="00A30422">
          <w:rPr>
            <w:noProof/>
            <w:webHidden/>
          </w:rPr>
          <w:fldChar w:fldCharType="separate"/>
        </w:r>
        <w:r w:rsidR="00D83E9C">
          <w:rPr>
            <w:noProof/>
            <w:webHidden/>
          </w:rPr>
          <w:t>39</w:t>
        </w:r>
        <w:r w:rsidR="00B80BAB" w:rsidRPr="00A30422">
          <w:rPr>
            <w:noProof/>
            <w:webHidden/>
          </w:rPr>
          <w:fldChar w:fldCharType="end"/>
        </w:r>
      </w:hyperlink>
    </w:p>
    <w:p w14:paraId="2F100C35" w14:textId="7253672E" w:rsidR="00B80BAB" w:rsidRPr="00A30422" w:rsidRDefault="00000000" w:rsidP="00E91F70">
      <w:pPr>
        <w:pStyle w:val="TOC2"/>
        <w:rPr>
          <w:rFonts w:eastAsiaTheme="minorEastAsia"/>
          <w:b w:val="0"/>
          <w:bCs w:val="0"/>
          <w:noProof/>
          <w:kern w:val="2"/>
          <w:sz w:val="22"/>
          <w:szCs w:val="22"/>
          <w14:ligatures w14:val="standardContextual"/>
        </w:rPr>
      </w:pPr>
      <w:hyperlink w:anchor="_Toc148375785" w:history="1">
        <w:r w:rsidR="00B80BAB" w:rsidRPr="00A30422">
          <w:rPr>
            <w:rStyle w:val="Hyperlink"/>
            <w:b w:val="0"/>
            <w:bCs w:val="0"/>
            <w:noProof/>
          </w:rPr>
          <w:t>A.</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Introduction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_Toc148375785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39</w:t>
        </w:r>
        <w:r w:rsidR="00B80BAB" w:rsidRPr="00A30422">
          <w:rPr>
            <w:b w:val="0"/>
            <w:bCs w:val="0"/>
            <w:noProof/>
            <w:webHidden/>
          </w:rPr>
          <w:fldChar w:fldCharType="end"/>
        </w:r>
      </w:hyperlink>
    </w:p>
    <w:p w14:paraId="15B121C7" w14:textId="13BD41DC" w:rsidR="00B80BAB" w:rsidRPr="00A30422" w:rsidRDefault="00000000" w:rsidP="00E91F70">
      <w:pPr>
        <w:pStyle w:val="TOC2"/>
        <w:rPr>
          <w:rFonts w:eastAsiaTheme="minorEastAsia"/>
          <w:b w:val="0"/>
          <w:bCs w:val="0"/>
          <w:noProof/>
          <w:kern w:val="2"/>
          <w:sz w:val="22"/>
          <w:szCs w:val="22"/>
          <w14:ligatures w14:val="standardContextual"/>
        </w:rPr>
      </w:pPr>
      <w:hyperlink w:anchor="_Toc148375786" w:history="1">
        <w:r w:rsidR="00B80BAB" w:rsidRPr="00A30422">
          <w:rPr>
            <w:rStyle w:val="Hyperlink"/>
            <w:b w:val="0"/>
            <w:bCs w:val="0"/>
            <w:noProof/>
          </w:rPr>
          <w:t>B.</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Methods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_Toc148375786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40</w:t>
        </w:r>
        <w:r w:rsidR="00B80BAB" w:rsidRPr="00A30422">
          <w:rPr>
            <w:b w:val="0"/>
            <w:bCs w:val="0"/>
            <w:noProof/>
            <w:webHidden/>
          </w:rPr>
          <w:fldChar w:fldCharType="end"/>
        </w:r>
      </w:hyperlink>
    </w:p>
    <w:p w14:paraId="47697E93" w14:textId="7BA14C17" w:rsidR="00B80BAB" w:rsidRPr="00A30422" w:rsidRDefault="00000000" w:rsidP="00A30422">
      <w:pPr>
        <w:pStyle w:val="TOC3"/>
        <w:rPr>
          <w:rFonts w:eastAsiaTheme="minorEastAsia"/>
          <w:noProof/>
          <w:kern w:val="2"/>
          <w:sz w:val="22"/>
          <w:szCs w:val="22"/>
          <w14:ligatures w14:val="standardContextual"/>
        </w:rPr>
      </w:pPr>
      <w:hyperlink w:anchor="_Toc148375787"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Setting</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_Toc148375787 \h </w:instrText>
        </w:r>
        <w:r w:rsidR="00B80BAB" w:rsidRPr="00A30422">
          <w:rPr>
            <w:noProof/>
            <w:webHidden/>
          </w:rPr>
        </w:r>
        <w:r w:rsidR="00B80BAB" w:rsidRPr="00A30422">
          <w:rPr>
            <w:noProof/>
            <w:webHidden/>
          </w:rPr>
          <w:fldChar w:fldCharType="separate"/>
        </w:r>
        <w:r w:rsidR="00D83E9C">
          <w:rPr>
            <w:noProof/>
            <w:webHidden/>
          </w:rPr>
          <w:t>40</w:t>
        </w:r>
        <w:r w:rsidR="00B80BAB" w:rsidRPr="00A30422">
          <w:rPr>
            <w:noProof/>
            <w:webHidden/>
          </w:rPr>
          <w:fldChar w:fldCharType="end"/>
        </w:r>
      </w:hyperlink>
    </w:p>
    <w:p w14:paraId="3529987B" w14:textId="3CDF2914" w:rsidR="00B80BAB" w:rsidRPr="00A30422" w:rsidRDefault="00000000" w:rsidP="00A30422">
      <w:pPr>
        <w:pStyle w:val="TOC3"/>
        <w:rPr>
          <w:rFonts w:eastAsiaTheme="minorEastAsia"/>
          <w:noProof/>
          <w:kern w:val="2"/>
          <w:sz w:val="22"/>
          <w:szCs w:val="22"/>
          <w14:ligatures w14:val="standardContextual"/>
        </w:rPr>
      </w:pPr>
      <w:hyperlink w:anchor="_Toc148375788"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Case Data, Ascertainment and Inclusion Criteria</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_Toc148375788 \h </w:instrText>
        </w:r>
        <w:r w:rsidR="00B80BAB" w:rsidRPr="00A30422">
          <w:rPr>
            <w:noProof/>
            <w:webHidden/>
          </w:rPr>
        </w:r>
        <w:r w:rsidR="00B80BAB" w:rsidRPr="00A30422">
          <w:rPr>
            <w:noProof/>
            <w:webHidden/>
          </w:rPr>
          <w:fldChar w:fldCharType="separate"/>
        </w:r>
        <w:r w:rsidR="00D83E9C">
          <w:rPr>
            <w:noProof/>
            <w:webHidden/>
          </w:rPr>
          <w:t>40</w:t>
        </w:r>
        <w:r w:rsidR="00B80BAB" w:rsidRPr="00A30422">
          <w:rPr>
            <w:noProof/>
            <w:webHidden/>
          </w:rPr>
          <w:fldChar w:fldCharType="end"/>
        </w:r>
      </w:hyperlink>
    </w:p>
    <w:p w14:paraId="17CB80AD" w14:textId="6B0C7FEE" w:rsidR="00B80BAB" w:rsidRPr="00A30422" w:rsidRDefault="00000000" w:rsidP="00A30422">
      <w:pPr>
        <w:pStyle w:val="TOC3"/>
        <w:rPr>
          <w:rFonts w:eastAsiaTheme="minorEastAsia"/>
          <w:noProof/>
          <w:kern w:val="2"/>
          <w:sz w:val="22"/>
          <w:szCs w:val="22"/>
          <w14:ligatures w14:val="standardContextual"/>
        </w:rPr>
      </w:pPr>
      <w:hyperlink w:anchor="_Toc148375789" w:history="1">
        <w:r w:rsidR="00B80BAB" w:rsidRPr="00A30422">
          <w:rPr>
            <w:rStyle w:val="Hyperlink"/>
            <w:noProof/>
          </w:rPr>
          <w:t>3.</w:t>
        </w:r>
        <w:r w:rsidR="00B80BAB" w:rsidRPr="00A30422">
          <w:rPr>
            <w:rFonts w:eastAsiaTheme="minorEastAsia"/>
            <w:noProof/>
            <w:kern w:val="2"/>
            <w:sz w:val="22"/>
            <w:szCs w:val="22"/>
            <w14:ligatures w14:val="standardContextual"/>
          </w:rPr>
          <w:tab/>
        </w:r>
        <w:r w:rsidR="00B80BAB" w:rsidRPr="00A30422">
          <w:rPr>
            <w:rStyle w:val="Hyperlink"/>
            <w:noProof/>
          </w:rPr>
          <w:t>Tumor Characteristics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_Toc148375789 \h </w:instrText>
        </w:r>
        <w:r w:rsidR="00B80BAB" w:rsidRPr="00A30422">
          <w:rPr>
            <w:noProof/>
            <w:webHidden/>
          </w:rPr>
        </w:r>
        <w:r w:rsidR="00B80BAB" w:rsidRPr="00A30422">
          <w:rPr>
            <w:noProof/>
            <w:webHidden/>
          </w:rPr>
          <w:fldChar w:fldCharType="separate"/>
        </w:r>
        <w:r w:rsidR="00D83E9C">
          <w:rPr>
            <w:noProof/>
            <w:webHidden/>
          </w:rPr>
          <w:t>41</w:t>
        </w:r>
        <w:r w:rsidR="00B80BAB" w:rsidRPr="00A30422">
          <w:rPr>
            <w:noProof/>
            <w:webHidden/>
          </w:rPr>
          <w:fldChar w:fldCharType="end"/>
        </w:r>
      </w:hyperlink>
    </w:p>
    <w:p w14:paraId="75142617" w14:textId="3A751D98" w:rsidR="00B80BAB" w:rsidRPr="00A30422" w:rsidRDefault="00000000" w:rsidP="00A30422">
      <w:pPr>
        <w:pStyle w:val="TOC3"/>
        <w:rPr>
          <w:rFonts w:eastAsiaTheme="minorEastAsia"/>
          <w:noProof/>
          <w:kern w:val="2"/>
          <w:sz w:val="22"/>
          <w:szCs w:val="22"/>
          <w14:ligatures w14:val="standardContextual"/>
        </w:rPr>
      </w:pPr>
      <w:hyperlink w:anchor="_Toc148375790" w:history="1">
        <w:r w:rsidR="00B80BAB" w:rsidRPr="00A30422">
          <w:rPr>
            <w:rStyle w:val="Hyperlink"/>
            <w:noProof/>
          </w:rPr>
          <w:t>4.</w:t>
        </w:r>
        <w:r w:rsidR="00B80BAB" w:rsidRPr="00A30422">
          <w:rPr>
            <w:rFonts w:eastAsiaTheme="minorEastAsia"/>
            <w:noProof/>
            <w:kern w:val="2"/>
            <w:sz w:val="22"/>
            <w:szCs w:val="22"/>
            <w14:ligatures w14:val="standardContextual"/>
          </w:rPr>
          <w:tab/>
        </w:r>
        <w:r w:rsidR="00B80BAB" w:rsidRPr="00A30422">
          <w:rPr>
            <w:rStyle w:val="Hyperlink"/>
            <w:noProof/>
          </w:rPr>
          <w:t>Residential History Data Collection and Preparation</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_Toc148375790 \h </w:instrText>
        </w:r>
        <w:r w:rsidR="00B80BAB" w:rsidRPr="00A30422">
          <w:rPr>
            <w:noProof/>
            <w:webHidden/>
          </w:rPr>
        </w:r>
        <w:r w:rsidR="00B80BAB" w:rsidRPr="00A30422">
          <w:rPr>
            <w:noProof/>
            <w:webHidden/>
          </w:rPr>
          <w:fldChar w:fldCharType="separate"/>
        </w:r>
        <w:r w:rsidR="00D83E9C">
          <w:rPr>
            <w:noProof/>
            <w:webHidden/>
          </w:rPr>
          <w:t>41</w:t>
        </w:r>
        <w:r w:rsidR="00B80BAB" w:rsidRPr="00A30422">
          <w:rPr>
            <w:noProof/>
            <w:webHidden/>
          </w:rPr>
          <w:fldChar w:fldCharType="end"/>
        </w:r>
      </w:hyperlink>
    </w:p>
    <w:p w14:paraId="210637DE" w14:textId="4051B27A" w:rsidR="00B80BAB" w:rsidRPr="00A30422" w:rsidRDefault="00000000" w:rsidP="00A30422">
      <w:pPr>
        <w:pStyle w:val="TOC3"/>
        <w:rPr>
          <w:rFonts w:eastAsiaTheme="minorEastAsia"/>
          <w:noProof/>
          <w:kern w:val="2"/>
          <w:sz w:val="22"/>
          <w:szCs w:val="22"/>
          <w14:ligatures w14:val="standardContextual"/>
        </w:rPr>
      </w:pPr>
      <w:hyperlink w:anchor="_Toc148375791" w:history="1">
        <w:r w:rsidR="00B80BAB" w:rsidRPr="00A30422">
          <w:rPr>
            <w:rStyle w:val="Hyperlink"/>
            <w:noProof/>
          </w:rPr>
          <w:t>5.</w:t>
        </w:r>
        <w:r w:rsidR="00B80BAB" w:rsidRPr="00A30422">
          <w:rPr>
            <w:rFonts w:eastAsiaTheme="minorEastAsia"/>
            <w:noProof/>
            <w:kern w:val="2"/>
            <w:sz w:val="22"/>
            <w:szCs w:val="22"/>
            <w14:ligatures w14:val="standardContextual"/>
          </w:rPr>
          <w:tab/>
        </w:r>
        <w:r w:rsidR="00B80BAB" w:rsidRPr="00A30422">
          <w:rPr>
            <w:rStyle w:val="Hyperlink"/>
            <w:noProof/>
          </w:rPr>
          <w:t>Statistical Analysis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_Toc148375791 \h </w:instrText>
        </w:r>
        <w:r w:rsidR="00B80BAB" w:rsidRPr="00A30422">
          <w:rPr>
            <w:noProof/>
            <w:webHidden/>
          </w:rPr>
        </w:r>
        <w:r w:rsidR="00B80BAB" w:rsidRPr="00A30422">
          <w:rPr>
            <w:noProof/>
            <w:webHidden/>
          </w:rPr>
          <w:fldChar w:fldCharType="separate"/>
        </w:r>
        <w:r w:rsidR="00D83E9C">
          <w:rPr>
            <w:noProof/>
            <w:webHidden/>
          </w:rPr>
          <w:t>44</w:t>
        </w:r>
        <w:r w:rsidR="00B80BAB" w:rsidRPr="00A30422">
          <w:rPr>
            <w:noProof/>
            <w:webHidden/>
          </w:rPr>
          <w:fldChar w:fldCharType="end"/>
        </w:r>
      </w:hyperlink>
    </w:p>
    <w:p w14:paraId="069A0EB4" w14:textId="2FD556E9" w:rsidR="00B80BAB" w:rsidRPr="00A30422" w:rsidRDefault="00000000" w:rsidP="00E91F70">
      <w:pPr>
        <w:pStyle w:val="TOC2"/>
        <w:rPr>
          <w:rFonts w:eastAsiaTheme="minorEastAsia"/>
          <w:b w:val="0"/>
          <w:bCs w:val="0"/>
          <w:noProof/>
          <w:kern w:val="2"/>
          <w:sz w:val="22"/>
          <w:szCs w:val="22"/>
          <w14:ligatures w14:val="standardContextual"/>
        </w:rPr>
      </w:pPr>
      <w:hyperlink w:anchor="_Toc148375792" w:history="1">
        <w:r w:rsidR="00B80BAB" w:rsidRPr="00A30422">
          <w:rPr>
            <w:rStyle w:val="Hyperlink"/>
            <w:b w:val="0"/>
            <w:bCs w:val="0"/>
            <w:noProof/>
          </w:rPr>
          <w:t>C.</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Results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_Toc148375792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45</w:t>
        </w:r>
        <w:r w:rsidR="00B80BAB" w:rsidRPr="00A30422">
          <w:rPr>
            <w:b w:val="0"/>
            <w:bCs w:val="0"/>
            <w:noProof/>
            <w:webHidden/>
          </w:rPr>
          <w:fldChar w:fldCharType="end"/>
        </w:r>
      </w:hyperlink>
    </w:p>
    <w:p w14:paraId="5F32B4B4" w14:textId="46D0376C" w:rsidR="00B80BAB" w:rsidRPr="00A30422" w:rsidRDefault="00000000" w:rsidP="00E91F70">
      <w:pPr>
        <w:pStyle w:val="TOC2"/>
        <w:rPr>
          <w:rFonts w:eastAsiaTheme="minorEastAsia"/>
          <w:b w:val="0"/>
          <w:bCs w:val="0"/>
          <w:noProof/>
          <w:kern w:val="2"/>
          <w:sz w:val="22"/>
          <w:szCs w:val="22"/>
          <w14:ligatures w14:val="standardContextual"/>
        </w:rPr>
      </w:pPr>
      <w:hyperlink w:anchor="_Toc148375793" w:history="1">
        <w:r w:rsidR="00B80BAB" w:rsidRPr="00A30422">
          <w:rPr>
            <w:rStyle w:val="Hyperlink"/>
            <w:b w:val="0"/>
            <w:bCs w:val="0"/>
            <w:noProof/>
          </w:rPr>
          <w:t>D.</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Discussion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_Toc148375793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55</w:t>
        </w:r>
        <w:r w:rsidR="00B80BAB" w:rsidRPr="00A30422">
          <w:rPr>
            <w:b w:val="0"/>
            <w:bCs w:val="0"/>
            <w:noProof/>
            <w:webHidden/>
          </w:rPr>
          <w:fldChar w:fldCharType="end"/>
        </w:r>
      </w:hyperlink>
    </w:p>
    <w:p w14:paraId="374B48C4" w14:textId="217DA241" w:rsidR="00B80BAB" w:rsidRPr="00A30422" w:rsidRDefault="00000000" w:rsidP="00E91F70">
      <w:pPr>
        <w:pStyle w:val="TOC2"/>
        <w:rPr>
          <w:rFonts w:eastAsiaTheme="minorEastAsia"/>
          <w:b w:val="0"/>
          <w:bCs w:val="0"/>
          <w:noProof/>
          <w:kern w:val="2"/>
          <w:sz w:val="22"/>
          <w:szCs w:val="22"/>
          <w14:ligatures w14:val="standardContextual"/>
        </w:rPr>
      </w:pPr>
      <w:hyperlink w:anchor="_Toc148375794" w:history="1">
        <w:r w:rsidR="00B80BAB" w:rsidRPr="00A30422">
          <w:rPr>
            <w:rStyle w:val="Hyperlink"/>
            <w:b w:val="0"/>
            <w:bCs w:val="0"/>
            <w:noProof/>
          </w:rPr>
          <w:t>E.</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Conclusion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_Toc148375794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57</w:t>
        </w:r>
        <w:r w:rsidR="00B80BAB" w:rsidRPr="00A30422">
          <w:rPr>
            <w:b w:val="0"/>
            <w:bCs w:val="0"/>
            <w:noProof/>
            <w:webHidden/>
          </w:rPr>
          <w:fldChar w:fldCharType="end"/>
        </w:r>
      </w:hyperlink>
    </w:p>
    <w:p w14:paraId="5E3345D7" w14:textId="33E4C461" w:rsidR="00B80BAB" w:rsidRPr="00A30422" w:rsidRDefault="00000000" w:rsidP="00010886">
      <w:pPr>
        <w:pStyle w:val="TOC1"/>
        <w:rPr>
          <w:rFonts w:asciiTheme="minorHAnsi" w:eastAsiaTheme="minorEastAsia" w:hAnsiTheme="minorHAnsi"/>
          <w:noProof/>
          <w:kern w:val="2"/>
          <w:sz w:val="22"/>
          <w:szCs w:val="22"/>
          <w14:ligatures w14:val="standardContextual"/>
        </w:rPr>
      </w:pPr>
      <w:hyperlink w:anchor="_Toc148375795" w:history="1">
        <w:r w:rsidR="00B80BAB" w:rsidRPr="00A30422">
          <w:rPr>
            <w:rStyle w:val="Hyperlink"/>
            <w:b w:val="0"/>
            <w:bCs w:val="0"/>
            <w:noProof/>
          </w:rPr>
          <w:t>VI.</w:t>
        </w:r>
        <w:r w:rsidR="00B80BAB" w:rsidRPr="00A30422">
          <w:rPr>
            <w:rFonts w:asciiTheme="minorHAnsi" w:eastAsiaTheme="minorEastAsia" w:hAnsiTheme="minorHAnsi"/>
            <w:noProof/>
            <w:kern w:val="2"/>
            <w:sz w:val="22"/>
            <w:szCs w:val="22"/>
            <w14:ligatures w14:val="standardContextual"/>
          </w:rPr>
          <w:tab/>
        </w:r>
        <w:r w:rsidR="00B80BAB" w:rsidRPr="00A30422">
          <w:rPr>
            <w:rStyle w:val="Hyperlink"/>
            <w:b w:val="0"/>
            <w:bCs w:val="0"/>
            <w:noProof/>
          </w:rPr>
          <w:t>Conclusion</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_Toc148375795 \h </w:instrText>
        </w:r>
        <w:r w:rsidR="00B80BAB" w:rsidRPr="00A30422">
          <w:rPr>
            <w:noProof/>
            <w:webHidden/>
          </w:rPr>
        </w:r>
        <w:r w:rsidR="00B80BAB" w:rsidRPr="00A30422">
          <w:rPr>
            <w:noProof/>
            <w:webHidden/>
          </w:rPr>
          <w:fldChar w:fldCharType="separate"/>
        </w:r>
        <w:r w:rsidR="00D83E9C">
          <w:rPr>
            <w:noProof/>
            <w:webHidden/>
          </w:rPr>
          <w:t>58</w:t>
        </w:r>
        <w:r w:rsidR="00B80BAB" w:rsidRPr="00A30422">
          <w:rPr>
            <w:noProof/>
            <w:webHidden/>
          </w:rPr>
          <w:fldChar w:fldCharType="end"/>
        </w:r>
      </w:hyperlink>
    </w:p>
    <w:p w14:paraId="700B439C" w14:textId="6154CAF9" w:rsidR="00B80BAB" w:rsidRPr="00A30422" w:rsidRDefault="00000000" w:rsidP="00E91F70">
      <w:pPr>
        <w:pStyle w:val="TOC2"/>
        <w:rPr>
          <w:rFonts w:eastAsiaTheme="minorEastAsia"/>
          <w:b w:val="0"/>
          <w:bCs w:val="0"/>
          <w:noProof/>
          <w:kern w:val="2"/>
          <w:sz w:val="22"/>
          <w:szCs w:val="22"/>
          <w14:ligatures w14:val="standardContextual"/>
        </w:rPr>
      </w:pPr>
      <w:hyperlink w:anchor="_Toc148375796" w:history="1">
        <w:r w:rsidR="00B80BAB" w:rsidRPr="00A30422">
          <w:rPr>
            <w:rStyle w:val="Hyperlink"/>
            <w:b w:val="0"/>
            <w:bCs w:val="0"/>
            <w:noProof/>
          </w:rPr>
          <w:t>A.</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Summary of Findings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_Toc148375796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58</w:t>
        </w:r>
        <w:r w:rsidR="00B80BAB" w:rsidRPr="00A30422">
          <w:rPr>
            <w:b w:val="0"/>
            <w:bCs w:val="0"/>
            <w:noProof/>
            <w:webHidden/>
          </w:rPr>
          <w:fldChar w:fldCharType="end"/>
        </w:r>
      </w:hyperlink>
    </w:p>
    <w:p w14:paraId="7B2DB732" w14:textId="2DAE9E54" w:rsidR="00B80BAB" w:rsidRPr="00A30422" w:rsidRDefault="00000000" w:rsidP="00E91F70">
      <w:pPr>
        <w:pStyle w:val="TOC2"/>
        <w:rPr>
          <w:rFonts w:eastAsiaTheme="minorEastAsia"/>
          <w:b w:val="0"/>
          <w:bCs w:val="0"/>
          <w:noProof/>
          <w:kern w:val="2"/>
          <w:sz w:val="22"/>
          <w:szCs w:val="22"/>
          <w14:ligatures w14:val="standardContextual"/>
        </w:rPr>
      </w:pPr>
      <w:hyperlink w:anchor="_Toc148375797" w:history="1">
        <w:r w:rsidR="00B80BAB" w:rsidRPr="00A30422">
          <w:rPr>
            <w:rStyle w:val="Hyperlink"/>
            <w:b w:val="0"/>
            <w:bCs w:val="0"/>
            <w:noProof/>
          </w:rPr>
          <w:t>B.</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Comparison of Data and Results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_Toc148375797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59</w:t>
        </w:r>
        <w:r w:rsidR="00B80BAB" w:rsidRPr="00A30422">
          <w:rPr>
            <w:b w:val="0"/>
            <w:bCs w:val="0"/>
            <w:noProof/>
            <w:webHidden/>
          </w:rPr>
          <w:fldChar w:fldCharType="end"/>
        </w:r>
      </w:hyperlink>
    </w:p>
    <w:p w14:paraId="23D9FF5D" w14:textId="62C9C8F9" w:rsidR="00B80BAB" w:rsidRPr="00A30422" w:rsidRDefault="00000000" w:rsidP="00A30422">
      <w:pPr>
        <w:pStyle w:val="TOC3"/>
        <w:rPr>
          <w:rFonts w:eastAsiaTheme="minorEastAsia"/>
          <w:noProof/>
          <w:kern w:val="2"/>
          <w:sz w:val="22"/>
          <w:szCs w:val="22"/>
          <w14:ligatures w14:val="standardContextual"/>
        </w:rPr>
      </w:pPr>
      <w:hyperlink w:anchor="_Toc148375798"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Lack of Observed Racial Disparities in Either Data Set</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_Toc148375798 \h </w:instrText>
        </w:r>
        <w:r w:rsidR="00B80BAB" w:rsidRPr="00A30422">
          <w:rPr>
            <w:noProof/>
            <w:webHidden/>
          </w:rPr>
        </w:r>
        <w:r w:rsidR="00B80BAB" w:rsidRPr="00A30422">
          <w:rPr>
            <w:noProof/>
            <w:webHidden/>
          </w:rPr>
          <w:fldChar w:fldCharType="separate"/>
        </w:r>
        <w:r w:rsidR="00D83E9C">
          <w:rPr>
            <w:noProof/>
            <w:webHidden/>
          </w:rPr>
          <w:t>59</w:t>
        </w:r>
        <w:r w:rsidR="00B80BAB" w:rsidRPr="00A30422">
          <w:rPr>
            <w:noProof/>
            <w:webHidden/>
          </w:rPr>
          <w:fldChar w:fldCharType="end"/>
        </w:r>
      </w:hyperlink>
    </w:p>
    <w:p w14:paraId="7D26528C" w14:textId="324FA081" w:rsidR="00B80BAB" w:rsidRPr="00A30422" w:rsidRDefault="00000000" w:rsidP="00A30422">
      <w:pPr>
        <w:pStyle w:val="TOC3"/>
        <w:rPr>
          <w:rFonts w:eastAsiaTheme="minorEastAsia"/>
          <w:noProof/>
          <w:kern w:val="2"/>
          <w:sz w:val="22"/>
          <w:szCs w:val="22"/>
          <w14:ligatures w14:val="standardContextual"/>
        </w:rPr>
      </w:pPr>
      <w:hyperlink w:anchor="_Toc148375799"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Role of Residential Histories in Producing Selection or Attrition Bias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_Toc148375799 \h </w:instrText>
        </w:r>
        <w:r w:rsidR="00B80BAB" w:rsidRPr="00A30422">
          <w:rPr>
            <w:noProof/>
            <w:webHidden/>
          </w:rPr>
        </w:r>
        <w:r w:rsidR="00B80BAB" w:rsidRPr="00A30422">
          <w:rPr>
            <w:noProof/>
            <w:webHidden/>
          </w:rPr>
          <w:fldChar w:fldCharType="separate"/>
        </w:r>
        <w:r w:rsidR="00D83E9C">
          <w:rPr>
            <w:noProof/>
            <w:webHidden/>
          </w:rPr>
          <w:t>59</w:t>
        </w:r>
        <w:r w:rsidR="00B80BAB" w:rsidRPr="00A30422">
          <w:rPr>
            <w:noProof/>
            <w:webHidden/>
          </w:rPr>
          <w:fldChar w:fldCharType="end"/>
        </w:r>
      </w:hyperlink>
    </w:p>
    <w:p w14:paraId="4239B4CD" w14:textId="62FE4757" w:rsidR="00B80BAB" w:rsidRPr="00A30422" w:rsidRDefault="00000000" w:rsidP="00E91F70">
      <w:pPr>
        <w:pStyle w:val="TOC2"/>
        <w:rPr>
          <w:rFonts w:eastAsiaTheme="minorEastAsia"/>
          <w:b w:val="0"/>
          <w:bCs w:val="0"/>
          <w:noProof/>
          <w:kern w:val="2"/>
          <w:sz w:val="22"/>
          <w:szCs w:val="22"/>
          <w14:ligatures w14:val="standardContextual"/>
        </w:rPr>
      </w:pPr>
      <w:hyperlink w:anchor="_Toc148375800" w:history="1">
        <w:r w:rsidR="00B80BAB" w:rsidRPr="00A30422">
          <w:rPr>
            <w:rStyle w:val="Hyperlink"/>
            <w:b w:val="0"/>
            <w:bCs w:val="0"/>
            <w:noProof/>
          </w:rPr>
          <w:t>C.</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Role of Missing Case Data</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_Toc148375800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61</w:t>
        </w:r>
        <w:r w:rsidR="00B80BAB" w:rsidRPr="00A30422">
          <w:rPr>
            <w:b w:val="0"/>
            <w:bCs w:val="0"/>
            <w:noProof/>
            <w:webHidden/>
          </w:rPr>
          <w:fldChar w:fldCharType="end"/>
        </w:r>
      </w:hyperlink>
    </w:p>
    <w:p w14:paraId="3ADA04B3" w14:textId="3CCBA919" w:rsidR="00B80BAB" w:rsidRPr="00A30422" w:rsidRDefault="00000000" w:rsidP="00A30422">
      <w:pPr>
        <w:pStyle w:val="TOC3"/>
        <w:rPr>
          <w:rFonts w:eastAsiaTheme="minorEastAsia"/>
          <w:noProof/>
          <w:kern w:val="2"/>
          <w:sz w:val="22"/>
          <w:szCs w:val="22"/>
          <w14:ligatures w14:val="standardContextual"/>
        </w:rPr>
      </w:pPr>
      <w:hyperlink w:anchor="_Toc148375801"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Panel Study of Income Dynamics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_Toc148375801 \h </w:instrText>
        </w:r>
        <w:r w:rsidR="00B80BAB" w:rsidRPr="00A30422">
          <w:rPr>
            <w:noProof/>
            <w:webHidden/>
          </w:rPr>
        </w:r>
        <w:r w:rsidR="00B80BAB" w:rsidRPr="00A30422">
          <w:rPr>
            <w:noProof/>
            <w:webHidden/>
          </w:rPr>
          <w:fldChar w:fldCharType="separate"/>
        </w:r>
        <w:r w:rsidR="00D83E9C">
          <w:rPr>
            <w:noProof/>
            <w:webHidden/>
          </w:rPr>
          <w:t>61</w:t>
        </w:r>
        <w:r w:rsidR="00B80BAB" w:rsidRPr="00A30422">
          <w:rPr>
            <w:noProof/>
            <w:webHidden/>
          </w:rPr>
          <w:fldChar w:fldCharType="end"/>
        </w:r>
      </w:hyperlink>
    </w:p>
    <w:p w14:paraId="58F313E7" w14:textId="1454A558" w:rsidR="00B80BAB" w:rsidRPr="00A30422" w:rsidRDefault="00000000" w:rsidP="00A30422">
      <w:pPr>
        <w:pStyle w:val="TOC4"/>
        <w:tabs>
          <w:tab w:val="left" w:pos="1540"/>
          <w:tab w:val="right" w:leader="dot" w:pos="9350"/>
        </w:tabs>
        <w:spacing w:line="240" w:lineRule="auto"/>
        <w:ind w:left="2610" w:hanging="630"/>
        <w:rPr>
          <w:rFonts w:eastAsiaTheme="minorEastAsia"/>
          <w:noProof/>
          <w:kern w:val="2"/>
          <w:sz w:val="22"/>
          <w:szCs w:val="22"/>
          <w14:ligatures w14:val="standardContextual"/>
        </w:rPr>
      </w:pPr>
      <w:hyperlink w:anchor="_Toc148375802" w:history="1">
        <w:r w:rsidR="00B80BAB" w:rsidRPr="00A30422">
          <w:rPr>
            <w:rStyle w:val="Hyperlink"/>
            <w:noProof/>
          </w:rPr>
          <w:t>i.</w:t>
        </w:r>
        <w:r w:rsidR="00B80BAB" w:rsidRPr="00A30422">
          <w:rPr>
            <w:rFonts w:eastAsiaTheme="minorEastAsia"/>
            <w:noProof/>
            <w:kern w:val="2"/>
            <w:sz w:val="22"/>
            <w:szCs w:val="22"/>
            <w14:ligatures w14:val="standardContextual"/>
          </w:rPr>
          <w:tab/>
        </w:r>
        <w:r w:rsidR="00B80BAB" w:rsidRPr="00A30422">
          <w:rPr>
            <w:rStyle w:val="Hyperlink"/>
            <w:noProof/>
          </w:rPr>
          <w:t>Death Data</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_Toc148375802 \h </w:instrText>
        </w:r>
        <w:r w:rsidR="00B80BAB" w:rsidRPr="00A30422">
          <w:rPr>
            <w:noProof/>
            <w:webHidden/>
          </w:rPr>
        </w:r>
        <w:r w:rsidR="00B80BAB" w:rsidRPr="00A30422">
          <w:rPr>
            <w:noProof/>
            <w:webHidden/>
          </w:rPr>
          <w:fldChar w:fldCharType="separate"/>
        </w:r>
        <w:r w:rsidR="00D83E9C">
          <w:rPr>
            <w:noProof/>
            <w:webHidden/>
          </w:rPr>
          <w:t>61</w:t>
        </w:r>
        <w:r w:rsidR="00B80BAB" w:rsidRPr="00A30422">
          <w:rPr>
            <w:noProof/>
            <w:webHidden/>
          </w:rPr>
          <w:fldChar w:fldCharType="end"/>
        </w:r>
      </w:hyperlink>
    </w:p>
    <w:p w14:paraId="004F6CB3" w14:textId="58F6FCAC" w:rsidR="00B80BAB" w:rsidRPr="00A30422" w:rsidRDefault="00000000" w:rsidP="00A30422">
      <w:pPr>
        <w:pStyle w:val="TOC4"/>
        <w:tabs>
          <w:tab w:val="left" w:pos="1551"/>
          <w:tab w:val="right" w:leader="dot" w:pos="9350"/>
        </w:tabs>
        <w:spacing w:line="240" w:lineRule="auto"/>
        <w:ind w:left="2610" w:hanging="630"/>
        <w:rPr>
          <w:rFonts w:eastAsiaTheme="minorEastAsia"/>
          <w:noProof/>
          <w:kern w:val="2"/>
          <w:sz w:val="22"/>
          <w:szCs w:val="22"/>
          <w14:ligatures w14:val="standardContextual"/>
        </w:rPr>
      </w:pPr>
      <w:hyperlink w:anchor="_Toc148375803" w:history="1">
        <w:r w:rsidR="00B80BAB" w:rsidRPr="00A30422">
          <w:rPr>
            <w:rStyle w:val="Hyperlink"/>
            <w:noProof/>
          </w:rPr>
          <w:t>ii.</w:t>
        </w:r>
        <w:r w:rsidR="00B80BAB" w:rsidRPr="00A30422">
          <w:rPr>
            <w:rFonts w:eastAsiaTheme="minorEastAsia"/>
            <w:noProof/>
            <w:kern w:val="2"/>
            <w:sz w:val="22"/>
            <w:szCs w:val="22"/>
            <w14:ligatures w14:val="standardContextual"/>
          </w:rPr>
          <w:tab/>
        </w:r>
        <w:r w:rsidR="00B80BAB" w:rsidRPr="00A30422">
          <w:rPr>
            <w:rStyle w:val="Hyperlink"/>
            <w:noProof/>
          </w:rPr>
          <w:t>Exact Dates and Self-Reported Diagnosis Timing</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_Toc148375803 \h </w:instrText>
        </w:r>
        <w:r w:rsidR="00B80BAB" w:rsidRPr="00A30422">
          <w:rPr>
            <w:noProof/>
            <w:webHidden/>
          </w:rPr>
        </w:r>
        <w:r w:rsidR="00B80BAB" w:rsidRPr="00A30422">
          <w:rPr>
            <w:noProof/>
            <w:webHidden/>
          </w:rPr>
          <w:fldChar w:fldCharType="separate"/>
        </w:r>
        <w:r w:rsidR="00D83E9C">
          <w:rPr>
            <w:noProof/>
            <w:webHidden/>
          </w:rPr>
          <w:t>61</w:t>
        </w:r>
        <w:r w:rsidR="00B80BAB" w:rsidRPr="00A30422">
          <w:rPr>
            <w:noProof/>
            <w:webHidden/>
          </w:rPr>
          <w:fldChar w:fldCharType="end"/>
        </w:r>
      </w:hyperlink>
    </w:p>
    <w:p w14:paraId="0209B219" w14:textId="6D48D63F" w:rsidR="00B80BAB" w:rsidRPr="00A30422" w:rsidRDefault="00000000" w:rsidP="00A30422">
      <w:pPr>
        <w:pStyle w:val="TOC4"/>
        <w:tabs>
          <w:tab w:val="left" w:pos="1606"/>
          <w:tab w:val="right" w:leader="dot" w:pos="9350"/>
        </w:tabs>
        <w:spacing w:line="240" w:lineRule="auto"/>
        <w:ind w:left="2610" w:hanging="630"/>
        <w:rPr>
          <w:rFonts w:eastAsiaTheme="minorEastAsia"/>
          <w:noProof/>
          <w:kern w:val="2"/>
          <w:sz w:val="22"/>
          <w:szCs w:val="22"/>
          <w14:ligatures w14:val="standardContextual"/>
        </w:rPr>
      </w:pPr>
      <w:hyperlink w:anchor="_Toc148375804" w:history="1">
        <w:r w:rsidR="00B80BAB" w:rsidRPr="00A30422">
          <w:rPr>
            <w:rStyle w:val="Hyperlink"/>
            <w:noProof/>
          </w:rPr>
          <w:t>iii.</w:t>
        </w:r>
        <w:r w:rsidR="00B80BAB" w:rsidRPr="00A30422">
          <w:rPr>
            <w:rFonts w:eastAsiaTheme="minorEastAsia"/>
            <w:noProof/>
            <w:kern w:val="2"/>
            <w:sz w:val="22"/>
            <w:szCs w:val="22"/>
            <w14:ligatures w14:val="standardContextual"/>
          </w:rPr>
          <w:tab/>
        </w:r>
        <w:r w:rsidR="00B80BAB" w:rsidRPr="00A30422">
          <w:rPr>
            <w:rStyle w:val="Hyperlink"/>
            <w:noProof/>
          </w:rPr>
          <w:t>Disease Information</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_Toc148375804 \h </w:instrText>
        </w:r>
        <w:r w:rsidR="00B80BAB" w:rsidRPr="00A30422">
          <w:rPr>
            <w:noProof/>
            <w:webHidden/>
          </w:rPr>
        </w:r>
        <w:r w:rsidR="00B80BAB" w:rsidRPr="00A30422">
          <w:rPr>
            <w:noProof/>
            <w:webHidden/>
          </w:rPr>
          <w:fldChar w:fldCharType="separate"/>
        </w:r>
        <w:r w:rsidR="00D83E9C">
          <w:rPr>
            <w:noProof/>
            <w:webHidden/>
          </w:rPr>
          <w:t>62</w:t>
        </w:r>
        <w:r w:rsidR="00B80BAB" w:rsidRPr="00A30422">
          <w:rPr>
            <w:noProof/>
            <w:webHidden/>
          </w:rPr>
          <w:fldChar w:fldCharType="end"/>
        </w:r>
      </w:hyperlink>
    </w:p>
    <w:p w14:paraId="49021CDC" w14:textId="05D7CF59" w:rsidR="00B80BAB" w:rsidRPr="00A30422" w:rsidRDefault="00000000" w:rsidP="00A30422">
      <w:pPr>
        <w:pStyle w:val="TOC3"/>
        <w:rPr>
          <w:rFonts w:eastAsiaTheme="minorEastAsia"/>
          <w:noProof/>
          <w:kern w:val="2"/>
          <w:sz w:val="22"/>
          <w:szCs w:val="22"/>
          <w14:ligatures w14:val="standardContextual"/>
        </w:rPr>
      </w:pPr>
      <w:hyperlink w:anchor="_Toc148375805"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University of Illinois Hospital Tumor Registry</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_Toc148375805 \h </w:instrText>
        </w:r>
        <w:r w:rsidR="00B80BAB" w:rsidRPr="00A30422">
          <w:rPr>
            <w:noProof/>
            <w:webHidden/>
          </w:rPr>
        </w:r>
        <w:r w:rsidR="00B80BAB" w:rsidRPr="00A30422">
          <w:rPr>
            <w:noProof/>
            <w:webHidden/>
          </w:rPr>
          <w:fldChar w:fldCharType="separate"/>
        </w:r>
        <w:r w:rsidR="00D83E9C">
          <w:rPr>
            <w:noProof/>
            <w:webHidden/>
          </w:rPr>
          <w:t>63</w:t>
        </w:r>
        <w:r w:rsidR="00B80BAB" w:rsidRPr="00A30422">
          <w:rPr>
            <w:noProof/>
            <w:webHidden/>
          </w:rPr>
          <w:fldChar w:fldCharType="end"/>
        </w:r>
      </w:hyperlink>
    </w:p>
    <w:p w14:paraId="7119F97A" w14:textId="2AA6551C" w:rsidR="00B80BAB" w:rsidRPr="00A30422" w:rsidRDefault="00000000" w:rsidP="00E91F70">
      <w:pPr>
        <w:pStyle w:val="TOC2"/>
        <w:rPr>
          <w:rFonts w:eastAsiaTheme="minorEastAsia"/>
          <w:b w:val="0"/>
          <w:bCs w:val="0"/>
          <w:noProof/>
          <w:kern w:val="2"/>
          <w:sz w:val="22"/>
          <w:szCs w:val="22"/>
          <w14:ligatures w14:val="standardContextual"/>
        </w:rPr>
      </w:pPr>
      <w:hyperlink w:anchor="_Toc148375806" w:history="1">
        <w:r w:rsidR="00B80BAB" w:rsidRPr="00A30422">
          <w:rPr>
            <w:rStyle w:val="Hyperlink"/>
            <w:b w:val="0"/>
            <w:bCs w:val="0"/>
            <w:noProof/>
          </w:rPr>
          <w:t>D.</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Role of Exposure Specification</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_Toc148375806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64</w:t>
        </w:r>
        <w:r w:rsidR="00B80BAB" w:rsidRPr="00A30422">
          <w:rPr>
            <w:b w:val="0"/>
            <w:bCs w:val="0"/>
            <w:noProof/>
            <w:webHidden/>
          </w:rPr>
          <w:fldChar w:fldCharType="end"/>
        </w:r>
      </w:hyperlink>
    </w:p>
    <w:p w14:paraId="0C84A7DF" w14:textId="2766F70E" w:rsidR="00B80BAB" w:rsidRPr="00A30422" w:rsidRDefault="00000000" w:rsidP="00E91F70">
      <w:pPr>
        <w:pStyle w:val="TOC2"/>
        <w:rPr>
          <w:rFonts w:eastAsiaTheme="minorEastAsia"/>
          <w:b w:val="0"/>
          <w:bCs w:val="0"/>
          <w:noProof/>
          <w:kern w:val="2"/>
          <w:sz w:val="22"/>
          <w:szCs w:val="22"/>
          <w14:ligatures w14:val="standardContextual"/>
        </w:rPr>
      </w:pPr>
      <w:hyperlink w:anchor="_Toc148375807" w:history="1">
        <w:r w:rsidR="00B80BAB" w:rsidRPr="00A30422">
          <w:rPr>
            <w:rStyle w:val="Hyperlink"/>
            <w:b w:val="0"/>
            <w:bCs w:val="0"/>
            <w:noProof/>
          </w:rPr>
          <w:t>E.</w:t>
        </w:r>
        <w:r w:rsidR="00B80BAB" w:rsidRPr="00A30422">
          <w:rPr>
            <w:rFonts w:eastAsiaTheme="minorEastAsia"/>
            <w:b w:val="0"/>
            <w:bCs w:val="0"/>
            <w:noProof/>
            <w:kern w:val="2"/>
            <w:sz w:val="22"/>
            <w:szCs w:val="22"/>
            <w14:ligatures w14:val="standardContextual"/>
          </w:rPr>
          <w:tab/>
        </w:r>
        <w:r w:rsidR="00B80BAB" w:rsidRPr="00A30422">
          <w:rPr>
            <w:rStyle w:val="Hyperlink"/>
            <w:b w:val="0"/>
            <w:bCs w:val="0"/>
            <w:noProof/>
          </w:rPr>
          <w:t>Future Directions</w:t>
        </w:r>
        <w:r w:rsidR="00B80BAB" w:rsidRPr="00A30422">
          <w:rPr>
            <w:b w:val="0"/>
            <w:bCs w:val="0"/>
            <w:noProof/>
            <w:webHidden/>
          </w:rPr>
          <w:tab/>
        </w:r>
        <w:r w:rsidR="00B80BAB" w:rsidRPr="00A30422">
          <w:rPr>
            <w:b w:val="0"/>
            <w:bCs w:val="0"/>
            <w:noProof/>
            <w:webHidden/>
          </w:rPr>
          <w:fldChar w:fldCharType="begin"/>
        </w:r>
        <w:r w:rsidR="00B80BAB" w:rsidRPr="00A30422">
          <w:rPr>
            <w:b w:val="0"/>
            <w:bCs w:val="0"/>
            <w:noProof/>
            <w:webHidden/>
          </w:rPr>
          <w:instrText xml:space="preserve"> PAGEREF _Toc148375807 \h </w:instrText>
        </w:r>
        <w:r w:rsidR="00B80BAB" w:rsidRPr="00A30422">
          <w:rPr>
            <w:b w:val="0"/>
            <w:bCs w:val="0"/>
            <w:noProof/>
            <w:webHidden/>
          </w:rPr>
        </w:r>
        <w:r w:rsidR="00B80BAB" w:rsidRPr="00A30422">
          <w:rPr>
            <w:b w:val="0"/>
            <w:bCs w:val="0"/>
            <w:noProof/>
            <w:webHidden/>
          </w:rPr>
          <w:fldChar w:fldCharType="separate"/>
        </w:r>
        <w:r w:rsidR="00D83E9C">
          <w:rPr>
            <w:b w:val="0"/>
            <w:bCs w:val="0"/>
            <w:noProof/>
            <w:webHidden/>
          </w:rPr>
          <w:t>66</w:t>
        </w:r>
        <w:r w:rsidR="00B80BAB" w:rsidRPr="00A30422">
          <w:rPr>
            <w:b w:val="0"/>
            <w:bCs w:val="0"/>
            <w:noProof/>
            <w:webHidden/>
          </w:rPr>
          <w:fldChar w:fldCharType="end"/>
        </w:r>
      </w:hyperlink>
    </w:p>
    <w:p w14:paraId="5828D4E0" w14:textId="624D6AD5" w:rsidR="00B80BAB" w:rsidRPr="00A30422" w:rsidRDefault="00000000" w:rsidP="00A30422">
      <w:pPr>
        <w:pStyle w:val="TOC3"/>
        <w:rPr>
          <w:rFonts w:eastAsiaTheme="minorEastAsia"/>
          <w:noProof/>
          <w:kern w:val="2"/>
          <w:sz w:val="22"/>
          <w:szCs w:val="22"/>
          <w14:ligatures w14:val="standardContextual"/>
        </w:rPr>
      </w:pPr>
      <w:hyperlink w:anchor="_Toc148375808" w:history="1">
        <w:r w:rsidR="00B80BAB" w:rsidRPr="00A30422">
          <w:rPr>
            <w:rStyle w:val="Hyperlink"/>
            <w:noProof/>
          </w:rPr>
          <w:t>1.</w:t>
        </w:r>
        <w:r w:rsidR="00B80BAB" w:rsidRPr="00A30422">
          <w:rPr>
            <w:rFonts w:eastAsiaTheme="minorEastAsia"/>
            <w:noProof/>
            <w:kern w:val="2"/>
            <w:sz w:val="22"/>
            <w:szCs w:val="22"/>
            <w14:ligatures w14:val="standardContextual"/>
          </w:rPr>
          <w:tab/>
        </w:r>
        <w:r w:rsidR="00B80BAB" w:rsidRPr="00A30422">
          <w:rPr>
            <w:rStyle w:val="Hyperlink"/>
            <w:noProof/>
          </w:rPr>
          <w:t>Using PSID for Social Epidemiology</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_Toc148375808 \h </w:instrText>
        </w:r>
        <w:r w:rsidR="00B80BAB" w:rsidRPr="00A30422">
          <w:rPr>
            <w:noProof/>
            <w:webHidden/>
          </w:rPr>
        </w:r>
        <w:r w:rsidR="00B80BAB" w:rsidRPr="00A30422">
          <w:rPr>
            <w:noProof/>
            <w:webHidden/>
          </w:rPr>
          <w:fldChar w:fldCharType="separate"/>
        </w:r>
        <w:r w:rsidR="00D83E9C">
          <w:rPr>
            <w:noProof/>
            <w:webHidden/>
          </w:rPr>
          <w:t>66</w:t>
        </w:r>
        <w:r w:rsidR="00B80BAB" w:rsidRPr="00A30422">
          <w:rPr>
            <w:noProof/>
            <w:webHidden/>
          </w:rPr>
          <w:fldChar w:fldCharType="end"/>
        </w:r>
      </w:hyperlink>
    </w:p>
    <w:p w14:paraId="317B7E6D" w14:textId="0D58CD3B" w:rsidR="00B80BAB" w:rsidRPr="00A30422" w:rsidRDefault="00000000" w:rsidP="00A30422">
      <w:pPr>
        <w:pStyle w:val="TOC3"/>
        <w:rPr>
          <w:rFonts w:eastAsiaTheme="minorEastAsia"/>
          <w:noProof/>
          <w:kern w:val="2"/>
          <w:sz w:val="22"/>
          <w:szCs w:val="22"/>
          <w14:ligatures w14:val="standardContextual"/>
        </w:rPr>
      </w:pPr>
      <w:hyperlink w:anchor="_Toc148375809" w:history="1">
        <w:r w:rsidR="00B80BAB" w:rsidRPr="00A30422">
          <w:rPr>
            <w:rStyle w:val="Hyperlink"/>
            <w:noProof/>
          </w:rPr>
          <w:t>2.</w:t>
        </w:r>
        <w:r w:rsidR="00B80BAB" w:rsidRPr="00A30422">
          <w:rPr>
            <w:rFonts w:eastAsiaTheme="minorEastAsia"/>
            <w:noProof/>
            <w:kern w:val="2"/>
            <w:sz w:val="22"/>
            <w:szCs w:val="22"/>
            <w14:ligatures w14:val="standardContextual"/>
          </w:rPr>
          <w:tab/>
        </w:r>
        <w:r w:rsidR="00B80BAB" w:rsidRPr="00A30422">
          <w:rPr>
            <w:rStyle w:val="Hyperlink"/>
            <w:noProof/>
          </w:rPr>
          <w:t>Weighing the Probability of Data Loss and Selection Bias When Using Residential Histories to Study Marginalized Populations</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_Toc148375809 \h </w:instrText>
        </w:r>
        <w:r w:rsidR="00B80BAB" w:rsidRPr="00A30422">
          <w:rPr>
            <w:noProof/>
            <w:webHidden/>
          </w:rPr>
        </w:r>
        <w:r w:rsidR="00B80BAB" w:rsidRPr="00A30422">
          <w:rPr>
            <w:noProof/>
            <w:webHidden/>
          </w:rPr>
          <w:fldChar w:fldCharType="separate"/>
        </w:r>
        <w:r w:rsidR="00D83E9C">
          <w:rPr>
            <w:noProof/>
            <w:webHidden/>
          </w:rPr>
          <w:t>67</w:t>
        </w:r>
        <w:r w:rsidR="00B80BAB" w:rsidRPr="00A30422">
          <w:rPr>
            <w:noProof/>
            <w:webHidden/>
          </w:rPr>
          <w:fldChar w:fldCharType="end"/>
        </w:r>
      </w:hyperlink>
    </w:p>
    <w:p w14:paraId="69ADE866" w14:textId="24BE4EB8" w:rsidR="00B80BAB" w:rsidRPr="00A30422" w:rsidRDefault="00000000" w:rsidP="00A30422">
      <w:pPr>
        <w:pStyle w:val="TOC3"/>
        <w:rPr>
          <w:rFonts w:eastAsiaTheme="minorEastAsia"/>
          <w:noProof/>
          <w:kern w:val="2"/>
          <w:sz w:val="22"/>
          <w:szCs w:val="22"/>
          <w14:ligatures w14:val="standardContextual"/>
        </w:rPr>
      </w:pPr>
      <w:hyperlink w:anchor="_Toc148375810" w:history="1">
        <w:r w:rsidR="00B80BAB" w:rsidRPr="00A30422">
          <w:rPr>
            <w:rStyle w:val="Hyperlink"/>
            <w:noProof/>
          </w:rPr>
          <w:t>3.</w:t>
        </w:r>
        <w:r w:rsidR="00B80BAB" w:rsidRPr="00A30422">
          <w:rPr>
            <w:rFonts w:eastAsiaTheme="minorEastAsia"/>
            <w:noProof/>
            <w:kern w:val="2"/>
            <w:sz w:val="22"/>
            <w:szCs w:val="22"/>
            <w14:ligatures w14:val="standardContextual"/>
          </w:rPr>
          <w:tab/>
        </w:r>
        <w:r w:rsidR="00B80BAB" w:rsidRPr="00A30422">
          <w:rPr>
            <w:rStyle w:val="Hyperlink"/>
            <w:noProof/>
          </w:rPr>
          <w:t>Acting on Evidence That Neighborhood Disadvantage at Diagnosis Contributes to Preventable Cancer Deaths Due to Systemic Racism</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_Toc148375810 \h </w:instrText>
        </w:r>
        <w:r w:rsidR="00B80BAB" w:rsidRPr="00A30422">
          <w:rPr>
            <w:noProof/>
            <w:webHidden/>
          </w:rPr>
        </w:r>
        <w:r w:rsidR="00B80BAB" w:rsidRPr="00A30422">
          <w:rPr>
            <w:noProof/>
            <w:webHidden/>
          </w:rPr>
          <w:fldChar w:fldCharType="separate"/>
        </w:r>
        <w:r w:rsidR="00D83E9C">
          <w:rPr>
            <w:noProof/>
            <w:webHidden/>
          </w:rPr>
          <w:t>67</w:t>
        </w:r>
        <w:r w:rsidR="00B80BAB" w:rsidRPr="00A30422">
          <w:rPr>
            <w:noProof/>
            <w:webHidden/>
          </w:rPr>
          <w:fldChar w:fldCharType="end"/>
        </w:r>
      </w:hyperlink>
    </w:p>
    <w:p w14:paraId="4FB971DD" w14:textId="0181008A" w:rsidR="00B80BAB" w:rsidRPr="00A30422" w:rsidRDefault="00000000" w:rsidP="00010886">
      <w:pPr>
        <w:pStyle w:val="TOC1"/>
        <w:rPr>
          <w:rFonts w:asciiTheme="minorHAnsi" w:eastAsiaTheme="minorEastAsia" w:hAnsiTheme="minorHAnsi"/>
          <w:noProof/>
          <w:kern w:val="2"/>
          <w:sz w:val="22"/>
          <w:szCs w:val="22"/>
          <w14:ligatures w14:val="standardContextual"/>
        </w:rPr>
      </w:pPr>
      <w:hyperlink w:anchor="_Toc148375811" w:history="1">
        <w:r w:rsidR="00B80BAB" w:rsidRPr="00A30422">
          <w:rPr>
            <w:rStyle w:val="Hyperlink"/>
            <w:b w:val="0"/>
            <w:bCs w:val="0"/>
            <w:noProof/>
          </w:rPr>
          <w:t>Cited Literature</w:t>
        </w:r>
        <w:r w:rsidR="00B80BAB" w:rsidRPr="00A30422">
          <w:rPr>
            <w:noProof/>
            <w:webHidden/>
          </w:rPr>
          <w:tab/>
        </w:r>
        <w:r w:rsidR="00B80BAB" w:rsidRPr="00A30422">
          <w:rPr>
            <w:noProof/>
            <w:webHidden/>
          </w:rPr>
          <w:fldChar w:fldCharType="begin"/>
        </w:r>
        <w:r w:rsidR="00B80BAB" w:rsidRPr="00A30422">
          <w:rPr>
            <w:noProof/>
            <w:webHidden/>
          </w:rPr>
          <w:instrText xml:space="preserve"> PAGEREF _Toc148375811 \h </w:instrText>
        </w:r>
        <w:r w:rsidR="00B80BAB" w:rsidRPr="00A30422">
          <w:rPr>
            <w:noProof/>
            <w:webHidden/>
          </w:rPr>
        </w:r>
        <w:r w:rsidR="00B80BAB" w:rsidRPr="00A30422">
          <w:rPr>
            <w:noProof/>
            <w:webHidden/>
          </w:rPr>
          <w:fldChar w:fldCharType="separate"/>
        </w:r>
        <w:r w:rsidR="00D83E9C">
          <w:rPr>
            <w:noProof/>
            <w:webHidden/>
          </w:rPr>
          <w:t>69</w:t>
        </w:r>
        <w:r w:rsidR="00B80BAB" w:rsidRPr="00A30422">
          <w:rPr>
            <w:noProof/>
            <w:webHidden/>
          </w:rPr>
          <w:fldChar w:fldCharType="end"/>
        </w:r>
      </w:hyperlink>
    </w:p>
    <w:p w14:paraId="1851F8D7" w14:textId="53F6A63C" w:rsidR="00B80BAB" w:rsidRPr="00A30422" w:rsidRDefault="00000000" w:rsidP="00010886">
      <w:pPr>
        <w:pStyle w:val="TOC1"/>
        <w:rPr>
          <w:rFonts w:asciiTheme="minorHAnsi" w:eastAsiaTheme="minorEastAsia" w:hAnsiTheme="minorHAnsi"/>
          <w:noProof/>
          <w:kern w:val="2"/>
          <w:sz w:val="22"/>
          <w:szCs w:val="22"/>
          <w14:ligatures w14:val="standardContextual"/>
        </w:rPr>
      </w:pPr>
      <w:hyperlink w:anchor="_Toc148375812" w:history="1">
        <w:r w:rsidR="00B80BAB" w:rsidRPr="00A30422">
          <w:rPr>
            <w:rStyle w:val="Hyperlink"/>
            <w:b w:val="0"/>
            <w:bCs w:val="0"/>
            <w:noProof/>
          </w:rPr>
          <w:t>Vita</w:t>
        </w:r>
        <w:r w:rsidR="00E91F70" w:rsidRPr="00A30422">
          <w:rPr>
            <w:noProof/>
            <w:webHidden/>
          </w:rPr>
          <w:t>………………………………………………………………………………………………</w:t>
        </w:r>
        <w:r w:rsidR="00A30422" w:rsidRPr="00A30422">
          <w:rPr>
            <w:noProof/>
            <w:webHidden/>
          </w:rPr>
          <w:t>……</w:t>
        </w:r>
        <w:r w:rsidR="00E91F70" w:rsidRPr="00A30422">
          <w:rPr>
            <w:noProof/>
            <w:webHidden/>
          </w:rPr>
          <w:t>……………</w:t>
        </w:r>
        <w:r w:rsidR="00A30422" w:rsidRPr="00A30422">
          <w:rPr>
            <w:noProof/>
            <w:webHidden/>
          </w:rPr>
          <w:t>…</w:t>
        </w:r>
        <w:r w:rsidR="00B80BAB" w:rsidRPr="00A30422">
          <w:rPr>
            <w:noProof/>
            <w:webHidden/>
          </w:rPr>
          <w:fldChar w:fldCharType="begin"/>
        </w:r>
        <w:r w:rsidR="00B80BAB" w:rsidRPr="00A30422">
          <w:rPr>
            <w:noProof/>
            <w:webHidden/>
          </w:rPr>
          <w:instrText xml:space="preserve"> PAGEREF _Toc148375812 \h </w:instrText>
        </w:r>
        <w:r w:rsidR="00B80BAB" w:rsidRPr="00A30422">
          <w:rPr>
            <w:noProof/>
            <w:webHidden/>
          </w:rPr>
        </w:r>
        <w:r w:rsidR="00B80BAB" w:rsidRPr="00A30422">
          <w:rPr>
            <w:noProof/>
            <w:webHidden/>
          </w:rPr>
          <w:fldChar w:fldCharType="separate"/>
        </w:r>
        <w:r w:rsidR="00D83E9C">
          <w:rPr>
            <w:noProof/>
            <w:webHidden/>
          </w:rPr>
          <w:t>78</w:t>
        </w:r>
        <w:r w:rsidR="00B80BAB" w:rsidRPr="00A30422">
          <w:rPr>
            <w:noProof/>
            <w:webHidden/>
          </w:rPr>
          <w:fldChar w:fldCharType="end"/>
        </w:r>
      </w:hyperlink>
    </w:p>
    <w:p w14:paraId="1E9D38F0" w14:textId="1BC40382" w:rsidR="008A42EA" w:rsidRDefault="008A42EA" w:rsidP="00E91F70">
      <w:pPr>
        <w:tabs>
          <w:tab w:val="left" w:pos="450"/>
          <w:tab w:val="left" w:pos="900"/>
        </w:tabs>
        <w:spacing w:line="240" w:lineRule="auto"/>
        <w:ind w:left="990" w:hanging="630"/>
      </w:pPr>
      <w:r w:rsidRPr="00A30422">
        <w:fldChar w:fldCharType="end"/>
      </w:r>
    </w:p>
    <w:p w14:paraId="482B3503" w14:textId="128F4D82" w:rsidR="00631AE3" w:rsidRDefault="00631AE3">
      <w:pPr>
        <w:sectPr w:rsidR="00631AE3" w:rsidSect="00C26451">
          <w:headerReference w:type="default" r:id="rId15"/>
          <w:headerReference w:type="first" r:id="rId16"/>
          <w:pgSz w:w="12240" w:h="15840"/>
          <w:pgMar w:top="1440" w:right="1440" w:bottom="1440" w:left="1440" w:header="720" w:footer="720" w:gutter="0"/>
          <w:pgNumType w:fmt="lowerRoman"/>
          <w:cols w:space="720"/>
          <w:titlePg/>
          <w:docGrid w:linePitch="360"/>
        </w:sectPr>
      </w:pPr>
      <w:r>
        <w:br w:type="page"/>
      </w:r>
    </w:p>
    <w:p w14:paraId="410A4AF6" w14:textId="5434C07F" w:rsidR="00B80BAB" w:rsidRPr="007E3C49" w:rsidRDefault="00AB11E1"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rPr>
        <w:lastRenderedPageBreak/>
        <w:fldChar w:fldCharType="begin"/>
      </w:r>
      <w:r w:rsidRPr="007E3C49">
        <w:rPr>
          <w:b w:val="0"/>
          <w:bCs w:val="0"/>
        </w:rPr>
        <w:instrText xml:space="preserve"> TOC \t "Table Name,1" </w:instrText>
      </w:r>
      <w:r w:rsidRPr="007E3C49">
        <w:rPr>
          <w:b w:val="0"/>
          <w:bCs w:val="0"/>
        </w:rPr>
        <w:fldChar w:fldCharType="separate"/>
      </w:r>
      <w:r w:rsidR="00B80BAB" w:rsidRPr="007E3C49">
        <w:rPr>
          <w:b w:val="0"/>
          <w:bCs w:val="0"/>
          <w:noProof/>
        </w:rPr>
        <w:t>I.</w:t>
      </w:r>
      <w:r w:rsidR="000363E5" w:rsidRPr="007E3C49">
        <w:rPr>
          <w:b w:val="0"/>
          <w:bCs w:val="0"/>
          <w:noProof/>
        </w:rPr>
        <w:tab/>
      </w:r>
      <w:r w:rsidR="00B80BAB" w:rsidRPr="007E3C49">
        <w:rPr>
          <w:b w:val="0"/>
          <w:bCs w:val="0"/>
          <w:noProof/>
        </w:rPr>
        <w:t>Variables from the PSID Public Data Index</w:t>
      </w:r>
      <w:r w:rsidR="00B80BAB" w:rsidRPr="007E3C49">
        <w:rPr>
          <w:b w:val="0"/>
          <w:bCs w:val="0"/>
          <w:noProof/>
        </w:rPr>
        <w:tab/>
      </w:r>
      <w:r w:rsidR="00B80BAB" w:rsidRPr="007E3C49">
        <w:rPr>
          <w:b w:val="0"/>
          <w:bCs w:val="0"/>
          <w:noProof/>
        </w:rPr>
        <w:fldChar w:fldCharType="begin"/>
      </w:r>
      <w:r w:rsidR="00B80BAB" w:rsidRPr="007E3C49">
        <w:rPr>
          <w:b w:val="0"/>
          <w:bCs w:val="0"/>
          <w:noProof/>
        </w:rPr>
        <w:instrText xml:space="preserve"> PAGEREF _Toc148375813 \h </w:instrText>
      </w:r>
      <w:r w:rsidR="00B80BAB" w:rsidRPr="007E3C49">
        <w:rPr>
          <w:b w:val="0"/>
          <w:bCs w:val="0"/>
          <w:noProof/>
        </w:rPr>
      </w:r>
      <w:r w:rsidR="00B80BAB" w:rsidRPr="007E3C49">
        <w:rPr>
          <w:b w:val="0"/>
          <w:bCs w:val="0"/>
          <w:noProof/>
        </w:rPr>
        <w:fldChar w:fldCharType="separate"/>
      </w:r>
      <w:r w:rsidR="00D83E9C">
        <w:rPr>
          <w:b w:val="0"/>
          <w:bCs w:val="0"/>
          <w:noProof/>
        </w:rPr>
        <w:t>14</w:t>
      </w:r>
      <w:r w:rsidR="00B80BAB" w:rsidRPr="007E3C49">
        <w:rPr>
          <w:b w:val="0"/>
          <w:bCs w:val="0"/>
          <w:noProof/>
        </w:rPr>
        <w:fldChar w:fldCharType="end"/>
      </w:r>
    </w:p>
    <w:p w14:paraId="42EA9D67" w14:textId="046296F0"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II.</w:t>
      </w:r>
      <w:r w:rsidR="000363E5" w:rsidRPr="007E3C49">
        <w:rPr>
          <w:b w:val="0"/>
          <w:bCs w:val="0"/>
          <w:noProof/>
        </w:rPr>
        <w:tab/>
      </w:r>
      <w:r w:rsidRPr="007E3C49">
        <w:rPr>
          <w:b w:val="0"/>
          <w:bCs w:val="0"/>
          <w:noProof/>
        </w:rPr>
        <w:t>census and american community survey variables used to construct the concentrated disadvantage score</w:t>
      </w:r>
      <w:r w:rsidRPr="007E3C49">
        <w:rPr>
          <w:b w:val="0"/>
          <w:bCs w:val="0"/>
          <w:noProof/>
        </w:rPr>
        <w:tab/>
      </w:r>
      <w:r w:rsidRPr="007E3C49">
        <w:rPr>
          <w:b w:val="0"/>
          <w:bCs w:val="0"/>
          <w:noProof/>
        </w:rPr>
        <w:fldChar w:fldCharType="begin"/>
      </w:r>
      <w:r w:rsidRPr="007E3C49">
        <w:rPr>
          <w:b w:val="0"/>
          <w:bCs w:val="0"/>
          <w:noProof/>
        </w:rPr>
        <w:instrText xml:space="preserve"> PAGEREF _Toc148375814 \h </w:instrText>
      </w:r>
      <w:r w:rsidRPr="007E3C49">
        <w:rPr>
          <w:b w:val="0"/>
          <w:bCs w:val="0"/>
          <w:noProof/>
        </w:rPr>
      </w:r>
      <w:r w:rsidRPr="007E3C49">
        <w:rPr>
          <w:b w:val="0"/>
          <w:bCs w:val="0"/>
          <w:noProof/>
        </w:rPr>
        <w:fldChar w:fldCharType="separate"/>
      </w:r>
      <w:r w:rsidR="00D83E9C">
        <w:rPr>
          <w:b w:val="0"/>
          <w:bCs w:val="0"/>
          <w:noProof/>
        </w:rPr>
        <w:t>17</w:t>
      </w:r>
      <w:r w:rsidRPr="007E3C49">
        <w:rPr>
          <w:b w:val="0"/>
          <w:bCs w:val="0"/>
          <w:noProof/>
        </w:rPr>
        <w:fldChar w:fldCharType="end"/>
      </w:r>
    </w:p>
    <w:p w14:paraId="3DA550AF" w14:textId="5B077E7A"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III.</w:t>
      </w:r>
      <w:r w:rsidR="000363E5" w:rsidRPr="007E3C49">
        <w:rPr>
          <w:b w:val="0"/>
          <w:bCs w:val="0"/>
          <w:noProof/>
        </w:rPr>
        <w:tab/>
      </w:r>
      <w:r w:rsidRPr="007E3C49">
        <w:rPr>
          <w:b w:val="0"/>
          <w:bCs w:val="0"/>
          <w:noProof/>
        </w:rPr>
        <w:t xml:space="preserve">Characteristics of PSID participants who reported a history of breast, colorectal, lung, or prostate cancer, by vital status, </w:t>
      </w:r>
      <w:r w:rsidR="000363E5" w:rsidRPr="007E3C49">
        <w:rPr>
          <w:b w:val="0"/>
          <w:bCs w:val="0"/>
          <w:noProof/>
        </w:rPr>
        <w:br/>
      </w:r>
      <w:r w:rsidRPr="007E3C49">
        <w:rPr>
          <w:b w:val="0"/>
          <w:bCs w:val="0"/>
          <w:noProof/>
        </w:rPr>
        <w:t>2005-2019</w:t>
      </w:r>
      <w:r w:rsidRPr="007E3C49">
        <w:rPr>
          <w:b w:val="0"/>
          <w:bCs w:val="0"/>
          <w:noProof/>
        </w:rPr>
        <w:tab/>
      </w:r>
      <w:r w:rsidRPr="007E3C49">
        <w:rPr>
          <w:b w:val="0"/>
          <w:bCs w:val="0"/>
          <w:noProof/>
        </w:rPr>
        <w:fldChar w:fldCharType="begin"/>
      </w:r>
      <w:r w:rsidRPr="007E3C49">
        <w:rPr>
          <w:b w:val="0"/>
          <w:bCs w:val="0"/>
          <w:noProof/>
        </w:rPr>
        <w:instrText xml:space="preserve"> PAGEREF _Toc148375815 \h </w:instrText>
      </w:r>
      <w:r w:rsidRPr="007E3C49">
        <w:rPr>
          <w:b w:val="0"/>
          <w:bCs w:val="0"/>
          <w:noProof/>
        </w:rPr>
      </w:r>
      <w:r w:rsidRPr="007E3C49">
        <w:rPr>
          <w:b w:val="0"/>
          <w:bCs w:val="0"/>
          <w:noProof/>
        </w:rPr>
        <w:fldChar w:fldCharType="separate"/>
      </w:r>
      <w:r w:rsidR="00D83E9C">
        <w:rPr>
          <w:b w:val="0"/>
          <w:bCs w:val="0"/>
          <w:noProof/>
        </w:rPr>
        <w:t>28</w:t>
      </w:r>
      <w:r w:rsidRPr="007E3C49">
        <w:rPr>
          <w:b w:val="0"/>
          <w:bCs w:val="0"/>
          <w:noProof/>
        </w:rPr>
        <w:fldChar w:fldCharType="end"/>
      </w:r>
    </w:p>
    <w:p w14:paraId="0A15225E" w14:textId="1AB497C5"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IV.</w:t>
      </w:r>
      <w:r w:rsidR="000363E5" w:rsidRPr="007E3C49">
        <w:rPr>
          <w:b w:val="0"/>
          <w:bCs w:val="0"/>
          <w:noProof/>
        </w:rPr>
        <w:tab/>
      </w:r>
      <w:r w:rsidRPr="007E3C49">
        <w:rPr>
          <w:b w:val="0"/>
          <w:bCs w:val="0"/>
          <w:noProof/>
        </w:rPr>
        <w:t>Distributions and availability of CD scores among PSID participants who reported a history of breast, colorectal,</w:t>
      </w:r>
      <w:r w:rsidR="000363E5" w:rsidRPr="007E3C49">
        <w:rPr>
          <w:b w:val="0"/>
          <w:bCs w:val="0"/>
          <w:noProof/>
        </w:rPr>
        <w:br/>
      </w:r>
      <w:r w:rsidRPr="007E3C49">
        <w:rPr>
          <w:b w:val="0"/>
          <w:bCs w:val="0"/>
          <w:noProof/>
        </w:rPr>
        <w:t>lung, or prostate cancer, 2005-2019</w:t>
      </w:r>
      <w:r w:rsidRPr="007E3C49">
        <w:rPr>
          <w:b w:val="0"/>
          <w:bCs w:val="0"/>
          <w:noProof/>
        </w:rPr>
        <w:tab/>
      </w:r>
      <w:r w:rsidRPr="007E3C49">
        <w:rPr>
          <w:b w:val="0"/>
          <w:bCs w:val="0"/>
          <w:noProof/>
        </w:rPr>
        <w:fldChar w:fldCharType="begin"/>
      </w:r>
      <w:r w:rsidRPr="007E3C49">
        <w:rPr>
          <w:b w:val="0"/>
          <w:bCs w:val="0"/>
          <w:noProof/>
        </w:rPr>
        <w:instrText xml:space="preserve"> PAGEREF _Toc148375816 \h </w:instrText>
      </w:r>
      <w:r w:rsidRPr="007E3C49">
        <w:rPr>
          <w:b w:val="0"/>
          <w:bCs w:val="0"/>
          <w:noProof/>
        </w:rPr>
      </w:r>
      <w:r w:rsidRPr="007E3C49">
        <w:rPr>
          <w:b w:val="0"/>
          <w:bCs w:val="0"/>
          <w:noProof/>
        </w:rPr>
        <w:fldChar w:fldCharType="separate"/>
      </w:r>
      <w:r w:rsidR="00D83E9C">
        <w:rPr>
          <w:b w:val="0"/>
          <w:bCs w:val="0"/>
          <w:noProof/>
        </w:rPr>
        <w:t>29</w:t>
      </w:r>
      <w:r w:rsidRPr="007E3C49">
        <w:rPr>
          <w:b w:val="0"/>
          <w:bCs w:val="0"/>
          <w:noProof/>
        </w:rPr>
        <w:fldChar w:fldCharType="end"/>
      </w:r>
    </w:p>
    <w:p w14:paraId="67D42CFD" w14:textId="3681C93B"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V.</w:t>
      </w:r>
      <w:r w:rsidR="000363E5" w:rsidRPr="007E3C49">
        <w:rPr>
          <w:b w:val="0"/>
          <w:bCs w:val="0"/>
          <w:noProof/>
        </w:rPr>
        <w:tab/>
      </w:r>
      <w:r w:rsidRPr="007E3C49">
        <w:rPr>
          <w:b w:val="0"/>
          <w:bCs w:val="0"/>
          <w:noProof/>
        </w:rPr>
        <w:t>Adjusted hazard ratios for the association of Census tract-</w:t>
      </w:r>
      <w:r w:rsidR="000363E5" w:rsidRPr="007E3C49">
        <w:rPr>
          <w:b w:val="0"/>
          <w:bCs w:val="0"/>
          <w:noProof/>
        </w:rPr>
        <w:br/>
      </w:r>
      <w:r w:rsidRPr="007E3C49">
        <w:rPr>
          <w:b w:val="0"/>
          <w:bCs w:val="0"/>
          <w:noProof/>
        </w:rPr>
        <w:t>level concentrated disadvantage at different points in time</w:t>
      </w:r>
      <w:r w:rsidR="000363E5" w:rsidRPr="007E3C49">
        <w:rPr>
          <w:b w:val="0"/>
          <w:bCs w:val="0"/>
          <w:noProof/>
        </w:rPr>
        <w:br/>
      </w:r>
      <w:r w:rsidRPr="007E3C49">
        <w:rPr>
          <w:b w:val="0"/>
          <w:bCs w:val="0"/>
          <w:noProof/>
        </w:rPr>
        <w:t>and all-cause mortality among PSID participants who reported</w:t>
      </w:r>
      <w:r w:rsidR="000363E5" w:rsidRPr="007E3C49">
        <w:rPr>
          <w:b w:val="0"/>
          <w:bCs w:val="0"/>
          <w:noProof/>
        </w:rPr>
        <w:br/>
      </w:r>
      <w:r w:rsidRPr="007E3C49">
        <w:rPr>
          <w:b w:val="0"/>
          <w:bCs w:val="0"/>
          <w:noProof/>
        </w:rPr>
        <w:t>a history of breast, colorectal, lung, or prostate cancer, 2005-2019†</w:t>
      </w:r>
      <w:r w:rsidRPr="007E3C49">
        <w:rPr>
          <w:b w:val="0"/>
          <w:bCs w:val="0"/>
          <w:noProof/>
        </w:rPr>
        <w:tab/>
      </w:r>
      <w:r w:rsidRPr="007E3C49">
        <w:rPr>
          <w:b w:val="0"/>
          <w:bCs w:val="0"/>
          <w:noProof/>
        </w:rPr>
        <w:fldChar w:fldCharType="begin"/>
      </w:r>
      <w:r w:rsidRPr="007E3C49">
        <w:rPr>
          <w:b w:val="0"/>
          <w:bCs w:val="0"/>
          <w:noProof/>
        </w:rPr>
        <w:instrText xml:space="preserve"> PAGEREF _Toc148375817 \h </w:instrText>
      </w:r>
      <w:r w:rsidRPr="007E3C49">
        <w:rPr>
          <w:b w:val="0"/>
          <w:bCs w:val="0"/>
          <w:noProof/>
        </w:rPr>
      </w:r>
      <w:r w:rsidRPr="007E3C49">
        <w:rPr>
          <w:b w:val="0"/>
          <w:bCs w:val="0"/>
          <w:noProof/>
        </w:rPr>
        <w:fldChar w:fldCharType="separate"/>
      </w:r>
      <w:r w:rsidR="00D83E9C">
        <w:rPr>
          <w:b w:val="0"/>
          <w:bCs w:val="0"/>
          <w:noProof/>
        </w:rPr>
        <w:t>31</w:t>
      </w:r>
      <w:r w:rsidRPr="007E3C49">
        <w:rPr>
          <w:b w:val="0"/>
          <w:bCs w:val="0"/>
          <w:noProof/>
        </w:rPr>
        <w:fldChar w:fldCharType="end"/>
      </w:r>
    </w:p>
    <w:p w14:paraId="51CED2A1" w14:textId="3F1466E5"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VI.</w:t>
      </w:r>
      <w:r w:rsidR="000363E5" w:rsidRPr="007E3C49">
        <w:rPr>
          <w:b w:val="0"/>
          <w:bCs w:val="0"/>
          <w:noProof/>
        </w:rPr>
        <w:tab/>
      </w:r>
      <w:r w:rsidRPr="007E3C49">
        <w:rPr>
          <w:b w:val="0"/>
          <w:bCs w:val="0"/>
          <w:noProof/>
        </w:rPr>
        <w:t>Characteristics of UI Health Patients diagnosed with</w:t>
      </w:r>
      <w:r w:rsidR="000363E5" w:rsidRPr="007E3C49">
        <w:rPr>
          <w:b w:val="0"/>
          <w:bCs w:val="0"/>
          <w:noProof/>
        </w:rPr>
        <w:br/>
      </w:r>
      <w:r w:rsidRPr="007E3C49">
        <w:rPr>
          <w:b w:val="0"/>
          <w:bCs w:val="0"/>
          <w:noProof/>
        </w:rPr>
        <w:t>Colorectal Cancer, 1995-2004, by vital status</w:t>
      </w:r>
      <w:r w:rsidRPr="007E3C49">
        <w:rPr>
          <w:b w:val="0"/>
          <w:bCs w:val="0"/>
          <w:noProof/>
        </w:rPr>
        <w:tab/>
      </w:r>
      <w:r w:rsidRPr="007E3C49">
        <w:rPr>
          <w:b w:val="0"/>
          <w:bCs w:val="0"/>
          <w:noProof/>
        </w:rPr>
        <w:fldChar w:fldCharType="begin"/>
      </w:r>
      <w:r w:rsidRPr="007E3C49">
        <w:rPr>
          <w:b w:val="0"/>
          <w:bCs w:val="0"/>
          <w:noProof/>
        </w:rPr>
        <w:instrText xml:space="preserve"> PAGEREF _Toc148375818 \h </w:instrText>
      </w:r>
      <w:r w:rsidRPr="007E3C49">
        <w:rPr>
          <w:b w:val="0"/>
          <w:bCs w:val="0"/>
          <w:noProof/>
        </w:rPr>
      </w:r>
      <w:r w:rsidRPr="007E3C49">
        <w:rPr>
          <w:b w:val="0"/>
          <w:bCs w:val="0"/>
          <w:noProof/>
        </w:rPr>
        <w:fldChar w:fldCharType="separate"/>
      </w:r>
      <w:r w:rsidR="00D83E9C">
        <w:rPr>
          <w:b w:val="0"/>
          <w:bCs w:val="0"/>
          <w:noProof/>
        </w:rPr>
        <w:t>47</w:t>
      </w:r>
      <w:r w:rsidRPr="007E3C49">
        <w:rPr>
          <w:b w:val="0"/>
          <w:bCs w:val="0"/>
          <w:noProof/>
        </w:rPr>
        <w:fldChar w:fldCharType="end"/>
      </w:r>
    </w:p>
    <w:p w14:paraId="067359D6" w14:textId="2AED84B4"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VII.</w:t>
      </w:r>
      <w:r w:rsidR="000363E5" w:rsidRPr="007E3C49">
        <w:rPr>
          <w:b w:val="0"/>
          <w:bCs w:val="0"/>
          <w:noProof/>
        </w:rPr>
        <w:tab/>
      </w:r>
      <w:r w:rsidRPr="007E3C49">
        <w:rPr>
          <w:b w:val="0"/>
          <w:bCs w:val="0"/>
          <w:noProof/>
        </w:rPr>
        <w:t>Characteristics of UI Health Patients diagnosed with</w:t>
      </w:r>
      <w:r w:rsidR="000363E5" w:rsidRPr="007E3C49">
        <w:rPr>
          <w:b w:val="0"/>
          <w:bCs w:val="0"/>
          <w:noProof/>
        </w:rPr>
        <w:br/>
      </w:r>
      <w:r w:rsidRPr="007E3C49">
        <w:rPr>
          <w:b w:val="0"/>
          <w:bCs w:val="0"/>
          <w:noProof/>
        </w:rPr>
        <w:t>Colorectal Cancer, 1995-2004, by concentrated disadvantage at diagnosis</w:t>
      </w:r>
      <w:r w:rsidRPr="007E3C49">
        <w:rPr>
          <w:b w:val="0"/>
          <w:bCs w:val="0"/>
          <w:noProof/>
        </w:rPr>
        <w:tab/>
      </w:r>
      <w:r w:rsidRPr="007E3C49">
        <w:rPr>
          <w:b w:val="0"/>
          <w:bCs w:val="0"/>
          <w:noProof/>
        </w:rPr>
        <w:fldChar w:fldCharType="begin"/>
      </w:r>
      <w:r w:rsidRPr="007E3C49">
        <w:rPr>
          <w:b w:val="0"/>
          <w:bCs w:val="0"/>
          <w:noProof/>
        </w:rPr>
        <w:instrText xml:space="preserve"> PAGEREF _Toc148375819 \h </w:instrText>
      </w:r>
      <w:r w:rsidRPr="007E3C49">
        <w:rPr>
          <w:b w:val="0"/>
          <w:bCs w:val="0"/>
          <w:noProof/>
        </w:rPr>
      </w:r>
      <w:r w:rsidRPr="007E3C49">
        <w:rPr>
          <w:b w:val="0"/>
          <w:bCs w:val="0"/>
          <w:noProof/>
        </w:rPr>
        <w:fldChar w:fldCharType="separate"/>
      </w:r>
      <w:r w:rsidR="00D83E9C">
        <w:rPr>
          <w:b w:val="0"/>
          <w:bCs w:val="0"/>
          <w:noProof/>
        </w:rPr>
        <w:t>48</w:t>
      </w:r>
      <w:r w:rsidRPr="007E3C49">
        <w:rPr>
          <w:b w:val="0"/>
          <w:bCs w:val="0"/>
          <w:noProof/>
        </w:rPr>
        <w:fldChar w:fldCharType="end"/>
      </w:r>
    </w:p>
    <w:p w14:paraId="124A1713" w14:textId="685DA751"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VIII.</w:t>
      </w:r>
      <w:r w:rsidR="000363E5" w:rsidRPr="007E3C49">
        <w:rPr>
          <w:b w:val="0"/>
          <w:bCs w:val="0"/>
          <w:noProof/>
        </w:rPr>
        <w:tab/>
      </w:r>
      <w:r w:rsidRPr="007E3C49">
        <w:rPr>
          <w:b w:val="0"/>
          <w:bCs w:val="0"/>
          <w:noProof/>
        </w:rPr>
        <w:t>Association between tumor characteristics and race/ethnicity among people diagnosed with colorectal cancer at UI Health,</w:t>
      </w:r>
      <w:r w:rsidR="000363E5" w:rsidRPr="007E3C49">
        <w:rPr>
          <w:b w:val="0"/>
          <w:bCs w:val="0"/>
          <w:noProof/>
        </w:rPr>
        <w:br/>
      </w:r>
      <w:r w:rsidRPr="007E3C49">
        <w:rPr>
          <w:b w:val="0"/>
          <w:bCs w:val="0"/>
          <w:noProof/>
        </w:rPr>
        <w:t>1995-2004</w:t>
      </w:r>
      <w:r w:rsidRPr="007E3C49">
        <w:rPr>
          <w:b w:val="0"/>
          <w:bCs w:val="0"/>
          <w:noProof/>
        </w:rPr>
        <w:tab/>
      </w:r>
      <w:r w:rsidRPr="007E3C49">
        <w:rPr>
          <w:b w:val="0"/>
          <w:bCs w:val="0"/>
          <w:noProof/>
        </w:rPr>
        <w:fldChar w:fldCharType="begin"/>
      </w:r>
      <w:r w:rsidRPr="007E3C49">
        <w:rPr>
          <w:b w:val="0"/>
          <w:bCs w:val="0"/>
          <w:noProof/>
        </w:rPr>
        <w:instrText xml:space="preserve"> PAGEREF _Toc148375820 \h </w:instrText>
      </w:r>
      <w:r w:rsidRPr="007E3C49">
        <w:rPr>
          <w:b w:val="0"/>
          <w:bCs w:val="0"/>
          <w:noProof/>
        </w:rPr>
      </w:r>
      <w:r w:rsidRPr="007E3C49">
        <w:rPr>
          <w:b w:val="0"/>
          <w:bCs w:val="0"/>
          <w:noProof/>
        </w:rPr>
        <w:fldChar w:fldCharType="separate"/>
      </w:r>
      <w:r w:rsidR="00D83E9C">
        <w:rPr>
          <w:b w:val="0"/>
          <w:bCs w:val="0"/>
          <w:noProof/>
        </w:rPr>
        <w:t>49</w:t>
      </w:r>
      <w:r w:rsidRPr="007E3C49">
        <w:rPr>
          <w:b w:val="0"/>
          <w:bCs w:val="0"/>
          <w:noProof/>
        </w:rPr>
        <w:fldChar w:fldCharType="end"/>
      </w:r>
    </w:p>
    <w:p w14:paraId="3F63ED73" w14:textId="5A99E732"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IX.</w:t>
      </w:r>
      <w:r w:rsidR="000363E5" w:rsidRPr="007E3C49">
        <w:rPr>
          <w:b w:val="0"/>
          <w:bCs w:val="0"/>
          <w:noProof/>
        </w:rPr>
        <w:tab/>
      </w:r>
      <w:r w:rsidRPr="007E3C49">
        <w:rPr>
          <w:b w:val="0"/>
          <w:bCs w:val="0"/>
          <w:noProof/>
        </w:rPr>
        <w:t>multinomial Model 1: predictors of stage at diagnosis with</w:t>
      </w:r>
      <w:r w:rsidR="000363E5" w:rsidRPr="007E3C49">
        <w:rPr>
          <w:b w:val="0"/>
          <w:bCs w:val="0"/>
          <w:noProof/>
        </w:rPr>
        <w:br/>
      </w:r>
      <w:r w:rsidRPr="007E3C49">
        <w:rPr>
          <w:b w:val="0"/>
          <w:bCs w:val="0"/>
          <w:noProof/>
        </w:rPr>
        <w:t>lagged concentrated disadvantage among people diagnosed</w:t>
      </w:r>
      <w:r w:rsidR="000363E5" w:rsidRPr="007E3C49">
        <w:rPr>
          <w:b w:val="0"/>
          <w:bCs w:val="0"/>
          <w:noProof/>
        </w:rPr>
        <w:br/>
      </w:r>
      <w:r w:rsidRPr="007E3C49">
        <w:rPr>
          <w:b w:val="0"/>
          <w:bCs w:val="0"/>
          <w:noProof/>
        </w:rPr>
        <w:t>with colorectal cancer at UI Health, 1995-2004</w:t>
      </w:r>
      <w:r w:rsidRPr="007E3C49">
        <w:rPr>
          <w:b w:val="0"/>
          <w:bCs w:val="0"/>
          <w:noProof/>
        </w:rPr>
        <w:tab/>
      </w:r>
      <w:r w:rsidRPr="007E3C49">
        <w:rPr>
          <w:b w:val="0"/>
          <w:bCs w:val="0"/>
          <w:noProof/>
        </w:rPr>
        <w:fldChar w:fldCharType="begin"/>
      </w:r>
      <w:r w:rsidRPr="007E3C49">
        <w:rPr>
          <w:b w:val="0"/>
          <w:bCs w:val="0"/>
          <w:noProof/>
        </w:rPr>
        <w:instrText xml:space="preserve"> PAGEREF _Toc148375821 \h </w:instrText>
      </w:r>
      <w:r w:rsidRPr="007E3C49">
        <w:rPr>
          <w:b w:val="0"/>
          <w:bCs w:val="0"/>
          <w:noProof/>
        </w:rPr>
      </w:r>
      <w:r w:rsidRPr="007E3C49">
        <w:rPr>
          <w:b w:val="0"/>
          <w:bCs w:val="0"/>
          <w:noProof/>
        </w:rPr>
        <w:fldChar w:fldCharType="separate"/>
      </w:r>
      <w:r w:rsidR="00D83E9C">
        <w:rPr>
          <w:b w:val="0"/>
          <w:bCs w:val="0"/>
          <w:noProof/>
        </w:rPr>
        <w:t>50</w:t>
      </w:r>
      <w:r w:rsidRPr="007E3C49">
        <w:rPr>
          <w:b w:val="0"/>
          <w:bCs w:val="0"/>
          <w:noProof/>
        </w:rPr>
        <w:fldChar w:fldCharType="end"/>
      </w:r>
    </w:p>
    <w:p w14:paraId="77991B6F" w14:textId="16549BD3"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X.</w:t>
      </w:r>
      <w:r w:rsidR="000363E5" w:rsidRPr="007E3C49">
        <w:rPr>
          <w:b w:val="0"/>
          <w:bCs w:val="0"/>
          <w:noProof/>
        </w:rPr>
        <w:tab/>
      </w:r>
      <w:r w:rsidRPr="007E3C49">
        <w:rPr>
          <w:b w:val="0"/>
          <w:bCs w:val="0"/>
          <w:noProof/>
        </w:rPr>
        <w:t>Multinomial Model 2: Predictors of Stage at Diagnosis with contemporary concentrated disadvantage among people diagnosed with colorectal cancer at UI Health, 1995-2004</w:t>
      </w:r>
      <w:r w:rsidRPr="007E3C49">
        <w:rPr>
          <w:b w:val="0"/>
          <w:bCs w:val="0"/>
          <w:noProof/>
        </w:rPr>
        <w:tab/>
      </w:r>
      <w:r w:rsidRPr="007E3C49">
        <w:rPr>
          <w:b w:val="0"/>
          <w:bCs w:val="0"/>
          <w:noProof/>
        </w:rPr>
        <w:fldChar w:fldCharType="begin"/>
      </w:r>
      <w:r w:rsidRPr="007E3C49">
        <w:rPr>
          <w:b w:val="0"/>
          <w:bCs w:val="0"/>
          <w:noProof/>
        </w:rPr>
        <w:instrText xml:space="preserve"> PAGEREF _Toc148375822 \h </w:instrText>
      </w:r>
      <w:r w:rsidRPr="007E3C49">
        <w:rPr>
          <w:b w:val="0"/>
          <w:bCs w:val="0"/>
          <w:noProof/>
        </w:rPr>
      </w:r>
      <w:r w:rsidRPr="007E3C49">
        <w:rPr>
          <w:b w:val="0"/>
          <w:bCs w:val="0"/>
          <w:noProof/>
        </w:rPr>
        <w:fldChar w:fldCharType="separate"/>
      </w:r>
      <w:r w:rsidR="00D83E9C">
        <w:rPr>
          <w:b w:val="0"/>
          <w:bCs w:val="0"/>
          <w:noProof/>
        </w:rPr>
        <w:t>50</w:t>
      </w:r>
      <w:r w:rsidRPr="007E3C49">
        <w:rPr>
          <w:b w:val="0"/>
          <w:bCs w:val="0"/>
          <w:noProof/>
        </w:rPr>
        <w:fldChar w:fldCharType="end"/>
      </w:r>
    </w:p>
    <w:p w14:paraId="47BE562D" w14:textId="34C962EB"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XI.</w:t>
      </w:r>
      <w:r w:rsidR="000363E5" w:rsidRPr="007E3C49">
        <w:rPr>
          <w:b w:val="0"/>
          <w:bCs w:val="0"/>
          <w:noProof/>
        </w:rPr>
        <w:tab/>
      </w:r>
      <w:r w:rsidRPr="007E3C49">
        <w:rPr>
          <w:b w:val="0"/>
          <w:bCs w:val="0"/>
          <w:noProof/>
        </w:rPr>
        <w:t>Logistic Regression Models 1-2: Predictors of Advanced Stage at Diagnosis among people diagnosed with colorectal cancer at UI Health, 1995-2004, by choice of concentrated disadvantage</w:t>
      </w:r>
      <w:r w:rsidR="000363E5" w:rsidRPr="007E3C49">
        <w:rPr>
          <w:b w:val="0"/>
          <w:bCs w:val="0"/>
          <w:noProof/>
        </w:rPr>
        <w:br/>
      </w:r>
      <w:r w:rsidRPr="007E3C49">
        <w:rPr>
          <w:b w:val="0"/>
          <w:bCs w:val="0"/>
          <w:noProof/>
        </w:rPr>
        <w:t>score</w:t>
      </w:r>
      <w:r w:rsidRPr="007E3C49">
        <w:rPr>
          <w:b w:val="0"/>
          <w:bCs w:val="0"/>
          <w:noProof/>
        </w:rPr>
        <w:tab/>
      </w:r>
      <w:r w:rsidRPr="007E3C49">
        <w:rPr>
          <w:b w:val="0"/>
          <w:bCs w:val="0"/>
          <w:noProof/>
        </w:rPr>
        <w:fldChar w:fldCharType="begin"/>
      </w:r>
      <w:r w:rsidRPr="007E3C49">
        <w:rPr>
          <w:b w:val="0"/>
          <w:bCs w:val="0"/>
          <w:noProof/>
        </w:rPr>
        <w:instrText xml:space="preserve"> PAGEREF _Toc148375823 \h </w:instrText>
      </w:r>
      <w:r w:rsidRPr="007E3C49">
        <w:rPr>
          <w:b w:val="0"/>
          <w:bCs w:val="0"/>
          <w:noProof/>
        </w:rPr>
      </w:r>
      <w:r w:rsidRPr="007E3C49">
        <w:rPr>
          <w:b w:val="0"/>
          <w:bCs w:val="0"/>
          <w:noProof/>
        </w:rPr>
        <w:fldChar w:fldCharType="separate"/>
      </w:r>
      <w:r w:rsidR="00D83E9C">
        <w:rPr>
          <w:b w:val="0"/>
          <w:bCs w:val="0"/>
          <w:noProof/>
        </w:rPr>
        <w:t>52</w:t>
      </w:r>
      <w:r w:rsidRPr="007E3C49">
        <w:rPr>
          <w:b w:val="0"/>
          <w:bCs w:val="0"/>
          <w:noProof/>
        </w:rPr>
        <w:fldChar w:fldCharType="end"/>
      </w:r>
    </w:p>
    <w:p w14:paraId="6BFCE911" w14:textId="576737E1" w:rsidR="00B80BAB" w:rsidRPr="007E3C49" w:rsidRDefault="00B80BAB" w:rsidP="00010886">
      <w:pPr>
        <w:pStyle w:val="TOC1"/>
        <w:rPr>
          <w:rFonts w:asciiTheme="minorHAnsi" w:eastAsiaTheme="minorEastAsia" w:hAnsiTheme="minorHAnsi"/>
          <w:b w:val="0"/>
          <w:bCs w:val="0"/>
          <w:noProof/>
          <w:kern w:val="2"/>
          <w:sz w:val="22"/>
          <w:szCs w:val="22"/>
          <w14:ligatures w14:val="standardContextual"/>
        </w:rPr>
      </w:pPr>
      <w:r w:rsidRPr="007E3C49">
        <w:rPr>
          <w:b w:val="0"/>
          <w:bCs w:val="0"/>
          <w:noProof/>
        </w:rPr>
        <w:t>XII.</w:t>
      </w:r>
      <w:r w:rsidR="000363E5" w:rsidRPr="007E3C49">
        <w:rPr>
          <w:b w:val="0"/>
          <w:bCs w:val="0"/>
          <w:noProof/>
        </w:rPr>
        <w:tab/>
      </w:r>
      <w:r w:rsidRPr="007E3C49">
        <w:rPr>
          <w:b w:val="0"/>
          <w:bCs w:val="0"/>
          <w:noProof/>
        </w:rPr>
        <w:t>Survival Models 1-2: Predictors of disease-specific death among people diagnosed with colorectal cancer at UI Health,</w:t>
      </w:r>
      <w:r w:rsidR="000363E5" w:rsidRPr="007E3C49">
        <w:rPr>
          <w:b w:val="0"/>
          <w:bCs w:val="0"/>
          <w:noProof/>
        </w:rPr>
        <w:br/>
      </w:r>
      <w:r w:rsidRPr="007E3C49">
        <w:rPr>
          <w:b w:val="0"/>
          <w:bCs w:val="0"/>
          <w:noProof/>
        </w:rPr>
        <w:t>1995-2004, by choice of concentrated disadvantage score</w:t>
      </w:r>
      <w:r w:rsidRPr="007E3C49">
        <w:rPr>
          <w:b w:val="0"/>
          <w:bCs w:val="0"/>
          <w:noProof/>
        </w:rPr>
        <w:tab/>
      </w:r>
      <w:r w:rsidRPr="007E3C49">
        <w:rPr>
          <w:b w:val="0"/>
          <w:bCs w:val="0"/>
          <w:noProof/>
        </w:rPr>
        <w:fldChar w:fldCharType="begin"/>
      </w:r>
      <w:r w:rsidRPr="007E3C49">
        <w:rPr>
          <w:b w:val="0"/>
          <w:bCs w:val="0"/>
          <w:noProof/>
        </w:rPr>
        <w:instrText xml:space="preserve"> PAGEREF _Toc148375824 \h </w:instrText>
      </w:r>
      <w:r w:rsidRPr="007E3C49">
        <w:rPr>
          <w:b w:val="0"/>
          <w:bCs w:val="0"/>
          <w:noProof/>
        </w:rPr>
      </w:r>
      <w:r w:rsidRPr="007E3C49">
        <w:rPr>
          <w:b w:val="0"/>
          <w:bCs w:val="0"/>
          <w:noProof/>
        </w:rPr>
        <w:fldChar w:fldCharType="separate"/>
      </w:r>
      <w:r w:rsidR="00D83E9C">
        <w:rPr>
          <w:b w:val="0"/>
          <w:bCs w:val="0"/>
          <w:noProof/>
        </w:rPr>
        <w:t>53</w:t>
      </w:r>
      <w:r w:rsidRPr="007E3C49">
        <w:rPr>
          <w:b w:val="0"/>
          <w:bCs w:val="0"/>
          <w:noProof/>
        </w:rPr>
        <w:fldChar w:fldCharType="end"/>
      </w:r>
    </w:p>
    <w:p w14:paraId="5645598A" w14:textId="60862084" w:rsidR="00126349" w:rsidRDefault="00AB11E1" w:rsidP="00C4758E">
      <w:pPr>
        <w:spacing w:line="240" w:lineRule="auto"/>
        <w:contextualSpacing/>
        <w:sectPr w:rsidR="00126349" w:rsidSect="00631AE3">
          <w:headerReference w:type="default" r:id="rId17"/>
          <w:pgSz w:w="12240" w:h="15840"/>
          <w:pgMar w:top="1440" w:right="1440" w:bottom="1440" w:left="1440" w:header="720" w:footer="720" w:gutter="0"/>
          <w:pgNumType w:fmt="lowerRoman"/>
          <w:cols w:space="720"/>
          <w:docGrid w:linePitch="360"/>
        </w:sectPr>
      </w:pPr>
      <w:r w:rsidRPr="007E3C49">
        <w:rPr>
          <w:rFonts w:asciiTheme="majorHAnsi" w:hAnsiTheme="majorHAnsi"/>
          <w:sz w:val="24"/>
          <w:szCs w:val="24"/>
        </w:rPr>
        <w:fldChar w:fldCharType="end"/>
      </w:r>
    </w:p>
    <w:p w14:paraId="2BB66079" w14:textId="44357909" w:rsidR="00107BD0" w:rsidRDefault="00C4758E" w:rsidP="007E3C49">
      <w:pPr>
        <w:pStyle w:val="TableofFigures"/>
        <w:numPr>
          <w:ilvl w:val="0"/>
          <w:numId w:val="21"/>
        </w:numPr>
        <w:tabs>
          <w:tab w:val="right" w:leader="dot" w:pos="9350"/>
        </w:tabs>
        <w:spacing w:before="240" w:after="240" w:line="240" w:lineRule="auto"/>
        <w:rPr>
          <w:rFonts w:asciiTheme="minorHAnsi" w:eastAsiaTheme="minorEastAsia" w:hAnsiTheme="minorHAnsi"/>
          <w:noProof/>
          <w:kern w:val="2"/>
          <w14:ligatures w14:val="standardContextual"/>
        </w:rPr>
      </w:pPr>
      <w:r w:rsidRPr="00650324">
        <w:rPr>
          <w:sz w:val="24"/>
          <w:szCs w:val="24"/>
        </w:rPr>
        <w:lastRenderedPageBreak/>
        <w:fldChar w:fldCharType="begin"/>
      </w:r>
      <w:r w:rsidRPr="00650324">
        <w:rPr>
          <w:sz w:val="24"/>
          <w:szCs w:val="24"/>
        </w:rPr>
        <w:instrText xml:space="preserve"> TOC \h \z \c "Figure" </w:instrText>
      </w:r>
      <w:r w:rsidRPr="00650324">
        <w:rPr>
          <w:sz w:val="24"/>
          <w:szCs w:val="24"/>
        </w:rPr>
        <w:fldChar w:fldCharType="separate"/>
      </w:r>
      <w:hyperlink w:anchor="_Toc149576427" w:history="1">
        <w:r w:rsidR="00107BD0" w:rsidRPr="00DE4B9E">
          <w:rPr>
            <w:rStyle w:val="Hyperlink"/>
            <w:noProof/>
          </w:rPr>
          <w:t xml:space="preserve">Selection criteria and sample history applied to the Panel Study of Income Dynamics </w:t>
        </w:r>
        <w:r w:rsidR="001D14F2">
          <w:rPr>
            <w:rStyle w:val="Hyperlink"/>
            <w:noProof/>
          </w:rPr>
          <w:br/>
        </w:r>
        <w:r w:rsidR="00107BD0" w:rsidRPr="00DE4B9E">
          <w:rPr>
            <w:rStyle w:val="Hyperlink"/>
            <w:noProof/>
          </w:rPr>
          <w:t>data set</w:t>
        </w:r>
        <w:r w:rsidR="00107BD0">
          <w:rPr>
            <w:noProof/>
            <w:webHidden/>
          </w:rPr>
          <w:tab/>
        </w:r>
        <w:r w:rsidR="00107BD0">
          <w:rPr>
            <w:noProof/>
            <w:webHidden/>
          </w:rPr>
          <w:fldChar w:fldCharType="begin"/>
        </w:r>
        <w:r w:rsidR="00107BD0">
          <w:rPr>
            <w:noProof/>
            <w:webHidden/>
          </w:rPr>
          <w:instrText xml:space="preserve"> PAGEREF _Toc149576427 \h </w:instrText>
        </w:r>
        <w:r w:rsidR="00107BD0">
          <w:rPr>
            <w:noProof/>
            <w:webHidden/>
          </w:rPr>
        </w:r>
        <w:r w:rsidR="00107BD0">
          <w:rPr>
            <w:noProof/>
            <w:webHidden/>
          </w:rPr>
          <w:fldChar w:fldCharType="separate"/>
        </w:r>
        <w:r w:rsidR="00D83E9C">
          <w:rPr>
            <w:noProof/>
            <w:webHidden/>
          </w:rPr>
          <w:t>23</w:t>
        </w:r>
        <w:r w:rsidR="00107BD0">
          <w:rPr>
            <w:noProof/>
            <w:webHidden/>
          </w:rPr>
          <w:fldChar w:fldCharType="end"/>
        </w:r>
      </w:hyperlink>
    </w:p>
    <w:p w14:paraId="0E9FC76B" w14:textId="5C7DF06D" w:rsidR="00107BD0" w:rsidRDefault="00000000" w:rsidP="007E3C49">
      <w:pPr>
        <w:pStyle w:val="TableofFigures"/>
        <w:numPr>
          <w:ilvl w:val="0"/>
          <w:numId w:val="21"/>
        </w:numPr>
        <w:tabs>
          <w:tab w:val="right" w:leader="dot" w:pos="9350"/>
        </w:tabs>
        <w:spacing w:after="240" w:line="240" w:lineRule="auto"/>
        <w:rPr>
          <w:rFonts w:asciiTheme="minorHAnsi" w:eastAsiaTheme="minorEastAsia" w:hAnsiTheme="minorHAnsi"/>
          <w:noProof/>
          <w:kern w:val="2"/>
          <w14:ligatures w14:val="standardContextual"/>
        </w:rPr>
      </w:pPr>
      <w:hyperlink w:anchor="_Toc149576428" w:history="1">
        <w:r w:rsidR="00107BD0" w:rsidRPr="00DE4B9E">
          <w:rPr>
            <w:rStyle w:val="Hyperlink"/>
            <w:noProof/>
          </w:rPr>
          <w:t xml:space="preserve">Kaplan-Meier survival estimates stratified by mean historical concentrated </w:t>
        </w:r>
        <w:r w:rsidR="001D14F2">
          <w:rPr>
            <w:rStyle w:val="Hyperlink"/>
            <w:noProof/>
          </w:rPr>
          <w:br/>
        </w:r>
        <w:r w:rsidR="00107BD0" w:rsidRPr="00DE4B9E">
          <w:rPr>
            <w:rStyle w:val="Hyperlink"/>
            <w:noProof/>
          </w:rPr>
          <w:t xml:space="preserve">disadvantage among PSID participants with each type of cancer: breast (A), </w:t>
        </w:r>
        <w:r w:rsidR="001D14F2">
          <w:rPr>
            <w:rStyle w:val="Hyperlink"/>
            <w:noProof/>
          </w:rPr>
          <w:br/>
        </w:r>
        <w:r w:rsidR="00107BD0" w:rsidRPr="00DE4B9E">
          <w:rPr>
            <w:rStyle w:val="Hyperlink"/>
            <w:noProof/>
          </w:rPr>
          <w:t>prostate (B), colorectal (C), or lung (D)</w:t>
        </w:r>
        <w:r w:rsidR="00107BD0">
          <w:rPr>
            <w:noProof/>
            <w:webHidden/>
          </w:rPr>
          <w:tab/>
        </w:r>
        <w:r w:rsidR="00107BD0">
          <w:rPr>
            <w:noProof/>
            <w:webHidden/>
          </w:rPr>
          <w:fldChar w:fldCharType="begin"/>
        </w:r>
        <w:r w:rsidR="00107BD0">
          <w:rPr>
            <w:noProof/>
            <w:webHidden/>
          </w:rPr>
          <w:instrText xml:space="preserve"> PAGEREF _Toc149576428 \h </w:instrText>
        </w:r>
        <w:r w:rsidR="00107BD0">
          <w:rPr>
            <w:noProof/>
            <w:webHidden/>
          </w:rPr>
        </w:r>
        <w:r w:rsidR="00107BD0">
          <w:rPr>
            <w:noProof/>
            <w:webHidden/>
          </w:rPr>
          <w:fldChar w:fldCharType="separate"/>
        </w:r>
        <w:r w:rsidR="00D83E9C">
          <w:rPr>
            <w:noProof/>
            <w:webHidden/>
          </w:rPr>
          <w:t>30</w:t>
        </w:r>
        <w:r w:rsidR="00107BD0">
          <w:rPr>
            <w:noProof/>
            <w:webHidden/>
          </w:rPr>
          <w:fldChar w:fldCharType="end"/>
        </w:r>
      </w:hyperlink>
    </w:p>
    <w:p w14:paraId="22B215F6" w14:textId="73FF4F21" w:rsidR="00107BD0" w:rsidRDefault="00000000" w:rsidP="007E3C49">
      <w:pPr>
        <w:pStyle w:val="TableofFigures"/>
        <w:numPr>
          <w:ilvl w:val="0"/>
          <w:numId w:val="21"/>
        </w:numPr>
        <w:tabs>
          <w:tab w:val="right" w:leader="dot" w:pos="9350"/>
        </w:tabs>
        <w:spacing w:after="240" w:line="240" w:lineRule="auto"/>
        <w:rPr>
          <w:rFonts w:asciiTheme="minorHAnsi" w:eastAsiaTheme="minorEastAsia" w:hAnsiTheme="minorHAnsi"/>
          <w:noProof/>
          <w:kern w:val="2"/>
          <w14:ligatures w14:val="standardContextual"/>
        </w:rPr>
      </w:pPr>
      <w:hyperlink w:anchor="_Toc149576429" w:history="1">
        <w:r w:rsidR="00107BD0" w:rsidRPr="00DE4B9E">
          <w:rPr>
            <w:rStyle w:val="Hyperlink"/>
            <w:noProof/>
          </w:rPr>
          <w:t xml:space="preserve">Relationship between CD score and survival at each point in time for PSID </w:t>
        </w:r>
        <w:r w:rsidR="00B222AB">
          <w:rPr>
            <w:rStyle w:val="Hyperlink"/>
            <w:noProof/>
          </w:rPr>
          <w:br/>
        </w:r>
        <w:r w:rsidR="00107BD0" w:rsidRPr="00DE4B9E">
          <w:rPr>
            <w:rStyle w:val="Hyperlink"/>
            <w:noProof/>
          </w:rPr>
          <w:t>participants with a history of breast, colorectal, lung, or prostate cancer</w:t>
        </w:r>
        <w:r w:rsidR="00107BD0">
          <w:rPr>
            <w:noProof/>
            <w:webHidden/>
          </w:rPr>
          <w:tab/>
        </w:r>
        <w:r w:rsidR="00107BD0">
          <w:rPr>
            <w:noProof/>
            <w:webHidden/>
          </w:rPr>
          <w:fldChar w:fldCharType="begin"/>
        </w:r>
        <w:r w:rsidR="00107BD0">
          <w:rPr>
            <w:noProof/>
            <w:webHidden/>
          </w:rPr>
          <w:instrText xml:space="preserve"> PAGEREF _Toc149576429 \h </w:instrText>
        </w:r>
        <w:r w:rsidR="00107BD0">
          <w:rPr>
            <w:noProof/>
            <w:webHidden/>
          </w:rPr>
        </w:r>
        <w:r w:rsidR="00107BD0">
          <w:rPr>
            <w:noProof/>
            <w:webHidden/>
          </w:rPr>
          <w:fldChar w:fldCharType="separate"/>
        </w:r>
        <w:r w:rsidR="00D83E9C">
          <w:rPr>
            <w:noProof/>
            <w:webHidden/>
          </w:rPr>
          <w:t>32</w:t>
        </w:r>
        <w:r w:rsidR="00107BD0">
          <w:rPr>
            <w:noProof/>
            <w:webHidden/>
          </w:rPr>
          <w:fldChar w:fldCharType="end"/>
        </w:r>
      </w:hyperlink>
    </w:p>
    <w:p w14:paraId="250139CA" w14:textId="1D4A0F2B" w:rsidR="00107BD0" w:rsidRDefault="00000000" w:rsidP="007E3C49">
      <w:pPr>
        <w:pStyle w:val="TableofFigures"/>
        <w:numPr>
          <w:ilvl w:val="0"/>
          <w:numId w:val="21"/>
        </w:numPr>
        <w:tabs>
          <w:tab w:val="right" w:leader="dot" w:pos="9350"/>
        </w:tabs>
        <w:spacing w:after="240" w:line="240" w:lineRule="auto"/>
        <w:rPr>
          <w:rFonts w:asciiTheme="minorHAnsi" w:eastAsiaTheme="minorEastAsia" w:hAnsiTheme="minorHAnsi"/>
          <w:noProof/>
          <w:kern w:val="2"/>
          <w14:ligatures w14:val="standardContextual"/>
        </w:rPr>
      </w:pPr>
      <w:hyperlink w:anchor="_Toc149576430" w:history="1">
        <w:r w:rsidR="009C74E5">
          <w:rPr>
            <w:rStyle w:val="Hyperlink"/>
            <w:noProof/>
          </w:rPr>
          <w:t>Selection of the analytic cohort</w:t>
        </w:r>
        <w:r w:rsidR="00107BD0">
          <w:rPr>
            <w:noProof/>
            <w:webHidden/>
          </w:rPr>
          <w:tab/>
        </w:r>
        <w:r w:rsidR="00107BD0">
          <w:rPr>
            <w:noProof/>
            <w:webHidden/>
          </w:rPr>
          <w:fldChar w:fldCharType="begin"/>
        </w:r>
        <w:r w:rsidR="00107BD0">
          <w:rPr>
            <w:noProof/>
            <w:webHidden/>
          </w:rPr>
          <w:instrText xml:space="preserve"> PAGEREF _Toc149576430 \h </w:instrText>
        </w:r>
        <w:r w:rsidR="00107BD0">
          <w:rPr>
            <w:noProof/>
            <w:webHidden/>
          </w:rPr>
        </w:r>
        <w:r w:rsidR="00107BD0">
          <w:rPr>
            <w:noProof/>
            <w:webHidden/>
          </w:rPr>
          <w:fldChar w:fldCharType="separate"/>
        </w:r>
        <w:r w:rsidR="00D83E9C">
          <w:rPr>
            <w:noProof/>
            <w:webHidden/>
          </w:rPr>
          <w:t>46</w:t>
        </w:r>
        <w:r w:rsidR="00107BD0">
          <w:rPr>
            <w:noProof/>
            <w:webHidden/>
          </w:rPr>
          <w:fldChar w:fldCharType="end"/>
        </w:r>
      </w:hyperlink>
    </w:p>
    <w:p w14:paraId="4FCCCDF3" w14:textId="49A7C785" w:rsidR="00107BD0" w:rsidRDefault="00000000" w:rsidP="007E3C49">
      <w:pPr>
        <w:pStyle w:val="TableofFigures"/>
        <w:numPr>
          <w:ilvl w:val="0"/>
          <w:numId w:val="21"/>
        </w:numPr>
        <w:tabs>
          <w:tab w:val="right" w:leader="dot" w:pos="9350"/>
        </w:tabs>
        <w:spacing w:after="240" w:line="240" w:lineRule="auto"/>
        <w:rPr>
          <w:rFonts w:asciiTheme="minorHAnsi" w:eastAsiaTheme="minorEastAsia" w:hAnsiTheme="minorHAnsi"/>
          <w:noProof/>
          <w:kern w:val="2"/>
          <w14:ligatures w14:val="standardContextual"/>
        </w:rPr>
      </w:pPr>
      <w:hyperlink w:anchor="_Toc149576428" w:history="1">
        <w:r w:rsidR="00BC63F0" w:rsidRPr="00BC63F0">
          <w:rPr>
            <w:rStyle w:val="Hyperlink"/>
            <w:noProof/>
          </w:rPr>
          <w:t xml:space="preserve">Distribution of cancer stage by race among UI Health patients diagnosed with </w:t>
        </w:r>
        <w:r w:rsidR="00B222AB">
          <w:rPr>
            <w:rStyle w:val="Hyperlink"/>
            <w:noProof/>
          </w:rPr>
          <w:br/>
        </w:r>
        <w:r w:rsidR="00BC63F0" w:rsidRPr="00BC63F0">
          <w:rPr>
            <w:rStyle w:val="Hyperlink"/>
            <w:noProof/>
          </w:rPr>
          <w:t>colorectal cancer, 1995-2004</w:t>
        </w:r>
        <w:r w:rsidR="00107BD0">
          <w:rPr>
            <w:noProof/>
            <w:webHidden/>
          </w:rPr>
          <w:tab/>
        </w:r>
        <w:r w:rsidR="005E377F">
          <w:rPr>
            <w:noProof/>
            <w:webHidden/>
          </w:rPr>
          <w:t>46</w:t>
        </w:r>
      </w:hyperlink>
    </w:p>
    <w:p w14:paraId="3B12AF6F" w14:textId="29DAB94B" w:rsidR="00107BD0" w:rsidRDefault="00000000" w:rsidP="007E3C49">
      <w:pPr>
        <w:pStyle w:val="TableofFigures"/>
        <w:numPr>
          <w:ilvl w:val="0"/>
          <w:numId w:val="21"/>
        </w:numPr>
        <w:tabs>
          <w:tab w:val="right" w:leader="dot" w:pos="9350"/>
        </w:tabs>
        <w:spacing w:after="240" w:line="240" w:lineRule="auto"/>
        <w:rPr>
          <w:rFonts w:asciiTheme="minorHAnsi" w:eastAsiaTheme="minorEastAsia" w:hAnsiTheme="minorHAnsi"/>
          <w:noProof/>
          <w:kern w:val="2"/>
          <w14:ligatures w14:val="standardContextual"/>
        </w:rPr>
      </w:pPr>
      <w:hyperlink w:anchor="_Toc149576431" w:history="1">
        <w:r w:rsidR="00107BD0" w:rsidRPr="00DE4B9E">
          <w:rPr>
            <w:rStyle w:val="Hyperlink"/>
            <w:noProof/>
          </w:rPr>
          <w:t xml:space="preserve">Kaplan-Meier survival estimates stratified by stage at diagnosis among UI Health </w:t>
        </w:r>
        <w:r w:rsidR="00B222AB">
          <w:rPr>
            <w:rStyle w:val="Hyperlink"/>
            <w:noProof/>
          </w:rPr>
          <w:br/>
        </w:r>
        <w:r w:rsidR="00107BD0" w:rsidRPr="00DE4B9E">
          <w:rPr>
            <w:rStyle w:val="Hyperlink"/>
            <w:noProof/>
          </w:rPr>
          <w:t>patients diagnosed with colorectal cancer, 1995-2004</w:t>
        </w:r>
        <w:r w:rsidR="00107BD0">
          <w:rPr>
            <w:noProof/>
            <w:webHidden/>
          </w:rPr>
          <w:tab/>
        </w:r>
        <w:r w:rsidR="00107BD0">
          <w:rPr>
            <w:noProof/>
            <w:webHidden/>
          </w:rPr>
          <w:fldChar w:fldCharType="begin"/>
        </w:r>
        <w:r w:rsidR="00107BD0">
          <w:rPr>
            <w:noProof/>
            <w:webHidden/>
          </w:rPr>
          <w:instrText xml:space="preserve"> PAGEREF _Toc149576431 \h </w:instrText>
        </w:r>
        <w:r w:rsidR="00107BD0">
          <w:rPr>
            <w:noProof/>
            <w:webHidden/>
          </w:rPr>
        </w:r>
        <w:r w:rsidR="00107BD0">
          <w:rPr>
            <w:noProof/>
            <w:webHidden/>
          </w:rPr>
          <w:fldChar w:fldCharType="separate"/>
        </w:r>
        <w:r w:rsidR="00D83E9C">
          <w:rPr>
            <w:noProof/>
            <w:webHidden/>
          </w:rPr>
          <w:t>51</w:t>
        </w:r>
        <w:r w:rsidR="00107BD0">
          <w:rPr>
            <w:noProof/>
            <w:webHidden/>
          </w:rPr>
          <w:fldChar w:fldCharType="end"/>
        </w:r>
      </w:hyperlink>
    </w:p>
    <w:p w14:paraId="56E0FFE0" w14:textId="6209B680" w:rsidR="00107BD0" w:rsidRDefault="00000000" w:rsidP="007E3C49">
      <w:pPr>
        <w:pStyle w:val="TableofFigures"/>
        <w:numPr>
          <w:ilvl w:val="0"/>
          <w:numId w:val="21"/>
        </w:numPr>
        <w:tabs>
          <w:tab w:val="right" w:leader="dot" w:pos="9350"/>
        </w:tabs>
        <w:spacing w:after="240" w:line="240" w:lineRule="auto"/>
        <w:rPr>
          <w:rFonts w:asciiTheme="minorHAnsi" w:eastAsiaTheme="minorEastAsia" w:hAnsiTheme="minorHAnsi"/>
          <w:noProof/>
          <w:kern w:val="2"/>
          <w14:ligatures w14:val="standardContextual"/>
        </w:rPr>
      </w:pPr>
      <w:hyperlink w:anchor="_Toc149576432" w:history="1">
        <w:r w:rsidR="00107BD0" w:rsidRPr="00DE4B9E">
          <w:rPr>
            <w:rStyle w:val="Hyperlink"/>
            <w:noProof/>
          </w:rPr>
          <w:t>Trend in association between CD scores at different lag times and hazard of CRC-</w:t>
        </w:r>
        <w:r w:rsidR="00B222AB">
          <w:rPr>
            <w:rStyle w:val="Hyperlink"/>
            <w:noProof/>
          </w:rPr>
          <w:br/>
        </w:r>
        <w:r w:rsidR="00107BD0" w:rsidRPr="00DE4B9E">
          <w:rPr>
            <w:rStyle w:val="Hyperlink"/>
            <w:noProof/>
          </w:rPr>
          <w:t>specific death in UI Health patients diagnosed with colorectal cancer, 1995-2004</w:t>
        </w:r>
        <w:r w:rsidR="00107BD0">
          <w:rPr>
            <w:noProof/>
            <w:webHidden/>
          </w:rPr>
          <w:tab/>
        </w:r>
        <w:r w:rsidR="00107BD0">
          <w:rPr>
            <w:noProof/>
            <w:webHidden/>
          </w:rPr>
          <w:fldChar w:fldCharType="begin"/>
        </w:r>
        <w:r w:rsidR="00107BD0">
          <w:rPr>
            <w:noProof/>
            <w:webHidden/>
          </w:rPr>
          <w:instrText xml:space="preserve"> PAGEREF _Toc149576432 \h </w:instrText>
        </w:r>
        <w:r w:rsidR="00107BD0">
          <w:rPr>
            <w:noProof/>
            <w:webHidden/>
          </w:rPr>
        </w:r>
        <w:r w:rsidR="00107BD0">
          <w:rPr>
            <w:noProof/>
            <w:webHidden/>
          </w:rPr>
          <w:fldChar w:fldCharType="separate"/>
        </w:r>
        <w:r w:rsidR="00D83E9C">
          <w:rPr>
            <w:noProof/>
            <w:webHidden/>
          </w:rPr>
          <w:t>54</w:t>
        </w:r>
        <w:r w:rsidR="00107BD0">
          <w:rPr>
            <w:noProof/>
            <w:webHidden/>
          </w:rPr>
          <w:fldChar w:fldCharType="end"/>
        </w:r>
      </w:hyperlink>
    </w:p>
    <w:p w14:paraId="13472904" w14:textId="10C52A51" w:rsidR="00126349" w:rsidRDefault="00C4758E" w:rsidP="00107BD0">
      <w:pPr>
        <w:spacing w:before="240" w:line="240" w:lineRule="auto"/>
        <w:ind w:firstLine="0"/>
      </w:pPr>
      <w:r w:rsidRPr="00650324">
        <w:rPr>
          <w:sz w:val="24"/>
          <w:szCs w:val="24"/>
        </w:rPr>
        <w:fldChar w:fldCharType="end"/>
      </w:r>
    </w:p>
    <w:p w14:paraId="0C289DD8" w14:textId="77777777" w:rsidR="00126349" w:rsidRDefault="00126349">
      <w:pPr>
        <w:sectPr w:rsidR="00126349" w:rsidSect="00631AE3">
          <w:headerReference w:type="default" r:id="rId18"/>
          <w:pgSz w:w="12240" w:h="15840"/>
          <w:pgMar w:top="1440" w:right="1440" w:bottom="1440" w:left="1440" w:header="720" w:footer="720" w:gutter="0"/>
          <w:pgNumType w:fmt="lowerRoman"/>
          <w:cols w:space="720"/>
          <w:docGrid w:linePitch="360"/>
        </w:sectPr>
      </w:pPr>
      <w:r>
        <w:br w:type="page"/>
      </w:r>
    </w:p>
    <w:p w14:paraId="2ECCC277" w14:textId="65CA301B" w:rsidR="00126349" w:rsidRDefault="00126349" w:rsidP="00126349">
      <w:pPr>
        <w:pStyle w:val="PreliminaryHeading1"/>
      </w:pPr>
      <w:bookmarkStart w:id="2" w:name="_Toc145757024"/>
      <w:r>
        <w:lastRenderedPageBreak/>
        <w:t>List of Abbreviations</w:t>
      </w:r>
      <w:bookmarkEnd w:id="2"/>
    </w:p>
    <w:tbl>
      <w:tblPr>
        <w:tblStyle w:val="PlainTable3"/>
        <w:tblW w:w="0" w:type="auto"/>
        <w:tblLook w:val="0400" w:firstRow="0" w:lastRow="0" w:firstColumn="0" w:lastColumn="0" w:noHBand="0" w:noVBand="1"/>
      </w:tblPr>
      <w:tblGrid>
        <w:gridCol w:w="1440"/>
        <w:gridCol w:w="7910"/>
      </w:tblGrid>
      <w:tr w:rsidR="00C01FFA" w14:paraId="75B7E855"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4B230E7D" w14:textId="5AB98331" w:rsidR="00C01FFA" w:rsidRDefault="00C01FFA" w:rsidP="00C01FFA">
            <w:pPr>
              <w:spacing w:line="240" w:lineRule="auto"/>
              <w:ind w:firstLine="0"/>
            </w:pPr>
            <w:r>
              <w:t>ACS</w:t>
            </w:r>
          </w:p>
        </w:tc>
        <w:tc>
          <w:tcPr>
            <w:tcW w:w="7910" w:type="dxa"/>
          </w:tcPr>
          <w:p w14:paraId="1AEF9F1D" w14:textId="46ECDB92" w:rsidR="00C01FFA" w:rsidRDefault="00C01FFA" w:rsidP="00C01FFA">
            <w:pPr>
              <w:spacing w:line="240" w:lineRule="auto"/>
              <w:ind w:firstLine="0"/>
            </w:pPr>
            <w:r>
              <w:t>American Community Survey</w:t>
            </w:r>
          </w:p>
        </w:tc>
      </w:tr>
      <w:tr w:rsidR="00B069DD" w14:paraId="65E0CED4" w14:textId="77777777" w:rsidTr="003563C9">
        <w:tc>
          <w:tcPr>
            <w:tcW w:w="1440" w:type="dxa"/>
          </w:tcPr>
          <w:p w14:paraId="7C5E8F6A" w14:textId="0A33420B" w:rsidR="00B069DD" w:rsidRDefault="00B069DD" w:rsidP="00C01FFA">
            <w:pPr>
              <w:spacing w:line="240" w:lineRule="auto"/>
              <w:ind w:firstLine="0"/>
            </w:pPr>
            <w:r>
              <w:t>AJCC</w:t>
            </w:r>
          </w:p>
        </w:tc>
        <w:tc>
          <w:tcPr>
            <w:tcW w:w="7910" w:type="dxa"/>
          </w:tcPr>
          <w:p w14:paraId="52B0DB7B" w14:textId="374ED203" w:rsidR="00B069DD" w:rsidRDefault="00B069DD" w:rsidP="00C01FFA">
            <w:pPr>
              <w:spacing w:line="240" w:lineRule="auto"/>
              <w:ind w:firstLine="0"/>
            </w:pPr>
            <w:r>
              <w:t>American Joint Committee on Cancer</w:t>
            </w:r>
          </w:p>
        </w:tc>
      </w:tr>
      <w:tr w:rsidR="00126349" w14:paraId="152E3525"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1449BAB8" w14:textId="0A6E2FF5" w:rsidR="00126349" w:rsidRDefault="001C596E" w:rsidP="00C01FFA">
            <w:pPr>
              <w:spacing w:line="240" w:lineRule="auto"/>
              <w:ind w:firstLine="0"/>
            </w:pPr>
            <w:r>
              <w:t>CD</w:t>
            </w:r>
          </w:p>
        </w:tc>
        <w:tc>
          <w:tcPr>
            <w:tcW w:w="7910" w:type="dxa"/>
          </w:tcPr>
          <w:p w14:paraId="6B8CD758" w14:textId="1257EE0D" w:rsidR="00126349" w:rsidRDefault="001C596E" w:rsidP="00C01FFA">
            <w:pPr>
              <w:spacing w:line="240" w:lineRule="auto"/>
              <w:ind w:firstLine="0"/>
            </w:pPr>
            <w:r>
              <w:t>Concentrated disadvantage</w:t>
            </w:r>
          </w:p>
        </w:tc>
      </w:tr>
      <w:tr w:rsidR="00C01FFA" w14:paraId="6A3D83AC" w14:textId="77777777" w:rsidTr="003563C9">
        <w:tc>
          <w:tcPr>
            <w:tcW w:w="1440" w:type="dxa"/>
          </w:tcPr>
          <w:p w14:paraId="053AEDB9" w14:textId="4837168B" w:rsidR="00C01FFA" w:rsidRDefault="00C01FFA" w:rsidP="00C01FFA">
            <w:pPr>
              <w:spacing w:line="240" w:lineRule="auto"/>
              <w:ind w:firstLine="0"/>
            </w:pPr>
            <w:r>
              <w:t>CI</w:t>
            </w:r>
          </w:p>
        </w:tc>
        <w:tc>
          <w:tcPr>
            <w:tcW w:w="7910" w:type="dxa"/>
          </w:tcPr>
          <w:p w14:paraId="40BE93EB" w14:textId="392058FF" w:rsidR="00C01FFA" w:rsidRDefault="00C01FFA" w:rsidP="00C01FFA">
            <w:pPr>
              <w:spacing w:line="240" w:lineRule="auto"/>
              <w:ind w:firstLine="0"/>
            </w:pPr>
            <w:r>
              <w:t>Confidence interval</w:t>
            </w:r>
          </w:p>
        </w:tc>
      </w:tr>
      <w:tr w:rsidR="00C01FFA" w14:paraId="268EFEBF"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053F51E0" w14:textId="7B8A1157" w:rsidR="00C01FFA" w:rsidRDefault="00C01FFA" w:rsidP="00C01FFA">
            <w:pPr>
              <w:spacing w:line="240" w:lineRule="auto"/>
              <w:ind w:firstLine="0"/>
            </w:pPr>
            <w:r>
              <w:t>CPI-U</w:t>
            </w:r>
          </w:p>
        </w:tc>
        <w:tc>
          <w:tcPr>
            <w:tcW w:w="7910" w:type="dxa"/>
          </w:tcPr>
          <w:p w14:paraId="6934B84B" w14:textId="2B0AEAF6" w:rsidR="00C01FFA" w:rsidRDefault="00C01FFA" w:rsidP="00C01FFA">
            <w:pPr>
              <w:spacing w:line="240" w:lineRule="auto"/>
              <w:ind w:firstLine="0"/>
            </w:pPr>
            <w:r>
              <w:t>Consumer Price Index for All Urban Consumers</w:t>
            </w:r>
          </w:p>
        </w:tc>
      </w:tr>
      <w:tr w:rsidR="00126349" w14:paraId="14B561BD" w14:textId="77777777" w:rsidTr="003563C9">
        <w:tc>
          <w:tcPr>
            <w:tcW w:w="1440" w:type="dxa"/>
          </w:tcPr>
          <w:p w14:paraId="28B98EC1" w14:textId="154DFD16" w:rsidR="00126349" w:rsidRDefault="001C596E" w:rsidP="00C01FFA">
            <w:pPr>
              <w:spacing w:line="240" w:lineRule="auto"/>
              <w:ind w:firstLine="0"/>
            </w:pPr>
            <w:r>
              <w:t>CRC</w:t>
            </w:r>
          </w:p>
        </w:tc>
        <w:tc>
          <w:tcPr>
            <w:tcW w:w="7910" w:type="dxa"/>
          </w:tcPr>
          <w:p w14:paraId="71A6526F" w14:textId="7106EFA8" w:rsidR="00126349" w:rsidRDefault="001C596E" w:rsidP="00C01FFA">
            <w:pPr>
              <w:spacing w:line="240" w:lineRule="auto"/>
              <w:ind w:firstLine="0"/>
            </w:pPr>
            <w:r>
              <w:t>Colorectal cancer</w:t>
            </w:r>
          </w:p>
        </w:tc>
      </w:tr>
      <w:tr w:rsidR="00C01FFA" w14:paraId="28D9C51B"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67222A7B" w14:textId="2DE66932" w:rsidR="00C01FFA" w:rsidRDefault="00C01FFA" w:rsidP="00C01FFA">
            <w:pPr>
              <w:spacing w:line="240" w:lineRule="auto"/>
              <w:ind w:firstLine="0"/>
            </w:pPr>
            <w:r>
              <w:t>EHR</w:t>
            </w:r>
          </w:p>
        </w:tc>
        <w:tc>
          <w:tcPr>
            <w:tcW w:w="7910" w:type="dxa"/>
          </w:tcPr>
          <w:p w14:paraId="24C4B17D" w14:textId="2BEDB58F" w:rsidR="00C01FFA" w:rsidRDefault="00C01FFA" w:rsidP="00C01FFA">
            <w:pPr>
              <w:spacing w:line="240" w:lineRule="auto"/>
              <w:ind w:firstLine="0"/>
            </w:pPr>
            <w:r>
              <w:t>Electronic health record</w:t>
            </w:r>
          </w:p>
        </w:tc>
      </w:tr>
      <w:tr w:rsidR="00C01FFA" w14:paraId="4ABDBC62" w14:textId="77777777" w:rsidTr="003563C9">
        <w:tc>
          <w:tcPr>
            <w:tcW w:w="1440" w:type="dxa"/>
          </w:tcPr>
          <w:p w14:paraId="7C704CE4" w14:textId="0F113A8E" w:rsidR="00C01FFA" w:rsidRDefault="00C01FFA" w:rsidP="00C01FFA">
            <w:pPr>
              <w:spacing w:line="240" w:lineRule="auto"/>
              <w:ind w:firstLine="0"/>
            </w:pPr>
            <w:r>
              <w:t>HR</w:t>
            </w:r>
          </w:p>
        </w:tc>
        <w:tc>
          <w:tcPr>
            <w:tcW w:w="7910" w:type="dxa"/>
          </w:tcPr>
          <w:p w14:paraId="7B42BF9C" w14:textId="1389B0F7" w:rsidR="00C01FFA" w:rsidRDefault="00C01FFA" w:rsidP="00C01FFA">
            <w:pPr>
              <w:spacing w:line="240" w:lineRule="auto"/>
              <w:ind w:firstLine="0"/>
            </w:pPr>
            <w:r>
              <w:t>Hazard ratio</w:t>
            </w:r>
          </w:p>
        </w:tc>
      </w:tr>
      <w:tr w:rsidR="00C01FFA" w14:paraId="3A4C6081"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61EAE615" w14:textId="2728BEDA" w:rsidR="00C01FFA" w:rsidRDefault="00C01FFA" w:rsidP="00C01FFA">
            <w:pPr>
              <w:spacing w:line="240" w:lineRule="auto"/>
              <w:ind w:firstLine="0"/>
            </w:pPr>
            <w:r>
              <w:t>ICD-O-3</w:t>
            </w:r>
          </w:p>
        </w:tc>
        <w:tc>
          <w:tcPr>
            <w:tcW w:w="7910" w:type="dxa"/>
          </w:tcPr>
          <w:p w14:paraId="0B89A35A" w14:textId="6FBEF05B" w:rsidR="00C01FFA" w:rsidRDefault="00C01FFA" w:rsidP="00C01FFA">
            <w:pPr>
              <w:spacing w:line="240" w:lineRule="auto"/>
              <w:ind w:firstLine="0"/>
            </w:pPr>
            <w:r>
              <w:t>International Classification of Diseases for Oncology 3</w:t>
            </w:r>
            <w:r w:rsidRPr="00C01FFA">
              <w:rPr>
                <w:vertAlign w:val="superscript"/>
              </w:rPr>
              <w:t>rd</w:t>
            </w:r>
            <w:r>
              <w:t xml:space="preserve"> Edition</w:t>
            </w:r>
          </w:p>
        </w:tc>
      </w:tr>
      <w:tr w:rsidR="00C01FFA" w14:paraId="37910F80" w14:textId="77777777" w:rsidTr="003563C9">
        <w:tc>
          <w:tcPr>
            <w:tcW w:w="1440" w:type="dxa"/>
          </w:tcPr>
          <w:p w14:paraId="5C28A206" w14:textId="6718421D" w:rsidR="00C01FFA" w:rsidRDefault="00C01FFA" w:rsidP="00C01FFA">
            <w:pPr>
              <w:spacing w:line="240" w:lineRule="auto"/>
              <w:ind w:firstLine="0"/>
            </w:pPr>
            <w:r>
              <w:t>IQR</w:t>
            </w:r>
          </w:p>
        </w:tc>
        <w:tc>
          <w:tcPr>
            <w:tcW w:w="7910" w:type="dxa"/>
          </w:tcPr>
          <w:p w14:paraId="1DDCB824" w14:textId="1CC6B3C5" w:rsidR="00C01FFA" w:rsidRDefault="00C01FFA" w:rsidP="00C01FFA">
            <w:pPr>
              <w:spacing w:line="240" w:lineRule="auto"/>
              <w:ind w:firstLine="0"/>
            </w:pPr>
            <w:r>
              <w:t>Interquartile range</w:t>
            </w:r>
          </w:p>
        </w:tc>
      </w:tr>
      <w:tr w:rsidR="00C01FFA" w14:paraId="0A9860DB"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2A4F9589" w14:textId="54A15369" w:rsidR="00C01FFA" w:rsidRDefault="00C01FFA" w:rsidP="00C01FFA">
            <w:pPr>
              <w:spacing w:line="240" w:lineRule="auto"/>
              <w:ind w:firstLine="0"/>
            </w:pPr>
            <w:r>
              <w:t>LTDB</w:t>
            </w:r>
          </w:p>
        </w:tc>
        <w:tc>
          <w:tcPr>
            <w:tcW w:w="7910" w:type="dxa"/>
          </w:tcPr>
          <w:p w14:paraId="4A286430" w14:textId="64BB8050" w:rsidR="00C01FFA" w:rsidRDefault="00C01FFA" w:rsidP="00C01FFA">
            <w:pPr>
              <w:spacing w:line="240" w:lineRule="auto"/>
              <w:ind w:firstLine="0"/>
            </w:pPr>
            <w:r>
              <w:t>Longitudinal Tract Database</w:t>
            </w:r>
          </w:p>
        </w:tc>
      </w:tr>
      <w:tr w:rsidR="00C01FFA" w14:paraId="038D1E45" w14:textId="77777777" w:rsidTr="003563C9">
        <w:tc>
          <w:tcPr>
            <w:tcW w:w="1440" w:type="dxa"/>
          </w:tcPr>
          <w:p w14:paraId="2B08FB00" w14:textId="5C9845C7" w:rsidR="00C01FFA" w:rsidRDefault="00C01FFA" w:rsidP="00C01FFA">
            <w:pPr>
              <w:spacing w:line="240" w:lineRule="auto"/>
              <w:ind w:firstLine="0"/>
            </w:pPr>
            <w:r>
              <w:t>NDI</w:t>
            </w:r>
          </w:p>
        </w:tc>
        <w:tc>
          <w:tcPr>
            <w:tcW w:w="7910" w:type="dxa"/>
          </w:tcPr>
          <w:p w14:paraId="1291EF11" w14:textId="2943FF98" w:rsidR="00C01FFA" w:rsidRDefault="00C01FFA" w:rsidP="00C01FFA">
            <w:pPr>
              <w:spacing w:line="240" w:lineRule="auto"/>
              <w:ind w:firstLine="0"/>
            </w:pPr>
            <w:r>
              <w:t>National Death Index</w:t>
            </w:r>
          </w:p>
        </w:tc>
      </w:tr>
      <w:tr w:rsidR="00C01FFA" w14:paraId="7456B468"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118ADDB0" w14:textId="6650239F" w:rsidR="00C01FFA" w:rsidRDefault="00C01FFA" w:rsidP="00C01FFA">
            <w:pPr>
              <w:spacing w:line="240" w:lineRule="auto"/>
              <w:ind w:firstLine="0"/>
            </w:pPr>
            <w:r>
              <w:t>NHIS</w:t>
            </w:r>
          </w:p>
        </w:tc>
        <w:tc>
          <w:tcPr>
            <w:tcW w:w="7910" w:type="dxa"/>
          </w:tcPr>
          <w:p w14:paraId="1767633C" w14:textId="482202C5" w:rsidR="00C01FFA" w:rsidRDefault="00C01FFA" w:rsidP="00C01FFA">
            <w:pPr>
              <w:spacing w:line="240" w:lineRule="auto"/>
              <w:ind w:firstLine="0"/>
            </w:pPr>
            <w:r>
              <w:t>National Health Interview Survey</w:t>
            </w:r>
          </w:p>
        </w:tc>
      </w:tr>
      <w:tr w:rsidR="007D45E4" w14:paraId="55201EEE" w14:textId="77777777" w:rsidTr="003563C9">
        <w:tc>
          <w:tcPr>
            <w:tcW w:w="1440" w:type="dxa"/>
          </w:tcPr>
          <w:p w14:paraId="0D735B6B" w14:textId="5C784F77" w:rsidR="00126349" w:rsidRDefault="00600838" w:rsidP="00C01FFA">
            <w:pPr>
              <w:spacing w:line="240" w:lineRule="auto"/>
              <w:ind w:firstLine="0"/>
            </w:pPr>
            <w:r>
              <w:t>NHW</w:t>
            </w:r>
          </w:p>
        </w:tc>
        <w:tc>
          <w:tcPr>
            <w:tcW w:w="7910" w:type="dxa"/>
          </w:tcPr>
          <w:p w14:paraId="1D86BD7D" w14:textId="75FC76E7" w:rsidR="00126349" w:rsidRDefault="00600838" w:rsidP="00C01FFA">
            <w:pPr>
              <w:spacing w:line="240" w:lineRule="auto"/>
              <w:ind w:firstLine="0"/>
            </w:pPr>
            <w:r>
              <w:t>Non-Hispanic White</w:t>
            </w:r>
          </w:p>
        </w:tc>
      </w:tr>
      <w:tr w:rsidR="007D45E4" w14:paraId="2FA93525"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284FD3D8" w14:textId="4BF97CBD" w:rsidR="00600838" w:rsidRDefault="00600838" w:rsidP="00C01FFA">
            <w:pPr>
              <w:spacing w:line="240" w:lineRule="auto"/>
              <w:ind w:firstLine="0"/>
            </w:pPr>
            <w:r>
              <w:t>NHB</w:t>
            </w:r>
          </w:p>
        </w:tc>
        <w:tc>
          <w:tcPr>
            <w:tcW w:w="7910" w:type="dxa"/>
          </w:tcPr>
          <w:p w14:paraId="197EC71C" w14:textId="6689C483" w:rsidR="00600838" w:rsidRDefault="00600838" w:rsidP="00C01FFA">
            <w:pPr>
              <w:spacing w:line="240" w:lineRule="auto"/>
              <w:ind w:firstLine="0"/>
            </w:pPr>
            <w:r>
              <w:t>Non-Hispanic Black</w:t>
            </w:r>
          </w:p>
        </w:tc>
      </w:tr>
      <w:tr w:rsidR="00C01FFA" w14:paraId="27A92FF0" w14:textId="77777777" w:rsidTr="003563C9">
        <w:tc>
          <w:tcPr>
            <w:tcW w:w="1440" w:type="dxa"/>
          </w:tcPr>
          <w:p w14:paraId="132D62B9" w14:textId="530EA39E" w:rsidR="00C01FFA" w:rsidRDefault="00C01FFA" w:rsidP="00C01FFA">
            <w:pPr>
              <w:spacing w:line="240" w:lineRule="auto"/>
              <w:ind w:firstLine="0"/>
            </w:pPr>
            <w:r>
              <w:t>OR</w:t>
            </w:r>
          </w:p>
        </w:tc>
        <w:tc>
          <w:tcPr>
            <w:tcW w:w="7910" w:type="dxa"/>
          </w:tcPr>
          <w:p w14:paraId="4F310C14" w14:textId="7A673761" w:rsidR="00C01FFA" w:rsidRDefault="00C01FFA" w:rsidP="00C01FFA">
            <w:pPr>
              <w:spacing w:line="240" w:lineRule="auto"/>
              <w:ind w:firstLine="0"/>
            </w:pPr>
            <w:r>
              <w:t>Odds ratio</w:t>
            </w:r>
          </w:p>
        </w:tc>
      </w:tr>
      <w:tr w:rsidR="007D45E4" w14:paraId="6B839512"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1931AB03" w14:textId="45C74D6D" w:rsidR="00600838" w:rsidRDefault="00600838" w:rsidP="00C01FFA">
            <w:pPr>
              <w:spacing w:line="240" w:lineRule="auto"/>
              <w:ind w:firstLine="0"/>
            </w:pPr>
            <w:r>
              <w:t>PSID</w:t>
            </w:r>
          </w:p>
        </w:tc>
        <w:tc>
          <w:tcPr>
            <w:tcW w:w="7910" w:type="dxa"/>
          </w:tcPr>
          <w:p w14:paraId="217A4A5D" w14:textId="09F21A47" w:rsidR="00600838" w:rsidRDefault="00600838" w:rsidP="00C01FFA">
            <w:pPr>
              <w:spacing w:line="240" w:lineRule="auto"/>
              <w:ind w:firstLine="0"/>
            </w:pPr>
            <w:r>
              <w:t>Panel Study of Income Dynamics</w:t>
            </w:r>
          </w:p>
        </w:tc>
      </w:tr>
      <w:tr w:rsidR="00C01FFA" w14:paraId="7B20FA1D" w14:textId="77777777" w:rsidTr="003563C9">
        <w:tc>
          <w:tcPr>
            <w:tcW w:w="1440" w:type="dxa"/>
          </w:tcPr>
          <w:p w14:paraId="540450EC" w14:textId="0D5B993D" w:rsidR="00C01FFA" w:rsidRDefault="00C01FFA" w:rsidP="00C01FFA">
            <w:pPr>
              <w:spacing w:line="240" w:lineRule="auto"/>
              <w:ind w:firstLine="0"/>
            </w:pPr>
            <w:r>
              <w:t>SD</w:t>
            </w:r>
          </w:p>
        </w:tc>
        <w:tc>
          <w:tcPr>
            <w:tcW w:w="7910" w:type="dxa"/>
          </w:tcPr>
          <w:p w14:paraId="44A14D58" w14:textId="4C660EC3" w:rsidR="00C01FFA" w:rsidRDefault="00C01FFA" w:rsidP="00C01FFA">
            <w:pPr>
              <w:spacing w:line="240" w:lineRule="auto"/>
              <w:ind w:firstLine="0"/>
            </w:pPr>
            <w:r>
              <w:t>Standard deviation</w:t>
            </w:r>
          </w:p>
        </w:tc>
      </w:tr>
      <w:tr w:rsidR="007D45E4" w14:paraId="1C957E19" w14:textId="77777777" w:rsidTr="003563C9">
        <w:trPr>
          <w:cnfStyle w:val="000000100000" w:firstRow="0" w:lastRow="0" w:firstColumn="0" w:lastColumn="0" w:oddVBand="0" w:evenVBand="0" w:oddHBand="1" w:evenHBand="0" w:firstRowFirstColumn="0" w:firstRowLastColumn="0" w:lastRowFirstColumn="0" w:lastRowLastColumn="0"/>
        </w:trPr>
        <w:tc>
          <w:tcPr>
            <w:tcW w:w="1440" w:type="dxa"/>
          </w:tcPr>
          <w:p w14:paraId="4C4F64FB" w14:textId="2F070A4D" w:rsidR="00600838" w:rsidRDefault="00C01FFA" w:rsidP="00C01FFA">
            <w:pPr>
              <w:spacing w:line="240" w:lineRule="auto"/>
              <w:ind w:firstLine="0"/>
            </w:pPr>
            <w:r>
              <w:t>SEER</w:t>
            </w:r>
          </w:p>
        </w:tc>
        <w:tc>
          <w:tcPr>
            <w:tcW w:w="7910" w:type="dxa"/>
          </w:tcPr>
          <w:p w14:paraId="1CE1C6D4" w14:textId="2EE0E506" w:rsidR="00600838" w:rsidRDefault="00C01FFA" w:rsidP="00C01FFA">
            <w:pPr>
              <w:spacing w:line="240" w:lineRule="auto"/>
              <w:ind w:firstLine="0"/>
            </w:pPr>
            <w:r>
              <w:t>Surveillance, Epidemiology, and End Results Program</w:t>
            </w:r>
          </w:p>
        </w:tc>
      </w:tr>
      <w:tr w:rsidR="007D45E4" w14:paraId="0DEB5BF0" w14:textId="77777777" w:rsidTr="003563C9">
        <w:tc>
          <w:tcPr>
            <w:tcW w:w="1440" w:type="dxa"/>
          </w:tcPr>
          <w:p w14:paraId="2E1338B6" w14:textId="3D16EE67" w:rsidR="00C01FFA" w:rsidRDefault="00C01FFA" w:rsidP="00C01FFA">
            <w:pPr>
              <w:spacing w:line="240" w:lineRule="auto"/>
              <w:ind w:firstLine="0"/>
            </w:pPr>
            <w:r>
              <w:t>SES</w:t>
            </w:r>
          </w:p>
        </w:tc>
        <w:tc>
          <w:tcPr>
            <w:tcW w:w="7910" w:type="dxa"/>
          </w:tcPr>
          <w:p w14:paraId="3273575D" w14:textId="33C4CA92" w:rsidR="00C01FFA" w:rsidRDefault="00C01FFA" w:rsidP="00C01FFA">
            <w:pPr>
              <w:spacing w:line="240" w:lineRule="auto"/>
              <w:ind w:firstLine="0"/>
            </w:pPr>
            <w:r>
              <w:t>Socioeconomic status</w:t>
            </w:r>
          </w:p>
        </w:tc>
      </w:tr>
    </w:tbl>
    <w:p w14:paraId="18A474F8" w14:textId="77777777" w:rsidR="00126349" w:rsidRPr="00126349" w:rsidRDefault="00126349" w:rsidP="00126349"/>
    <w:p w14:paraId="1ABCFBCC" w14:textId="77777777" w:rsidR="00843CCF" w:rsidRDefault="00843CCF">
      <w:pPr>
        <w:sectPr w:rsidR="00843CCF" w:rsidSect="00631AE3">
          <w:headerReference w:type="default" r:id="rId19"/>
          <w:pgSz w:w="12240" w:h="15840"/>
          <w:pgMar w:top="1440" w:right="1440" w:bottom="1440" w:left="1440" w:header="720" w:footer="720" w:gutter="0"/>
          <w:pgNumType w:fmt="lowerRoman"/>
          <w:cols w:space="720"/>
          <w:docGrid w:linePitch="360"/>
        </w:sectPr>
      </w:pPr>
      <w:r>
        <w:br w:type="page"/>
      </w:r>
    </w:p>
    <w:p w14:paraId="2A6CD1E1" w14:textId="5C2FF3C2" w:rsidR="00843CCF" w:rsidRDefault="00843CCF" w:rsidP="00843CCF">
      <w:pPr>
        <w:pStyle w:val="PreliminaryHeading1"/>
      </w:pPr>
      <w:bookmarkStart w:id="3" w:name="_Toc145757025"/>
      <w:r>
        <w:lastRenderedPageBreak/>
        <w:t>Summary</w:t>
      </w:r>
      <w:bookmarkEnd w:id="3"/>
    </w:p>
    <w:p w14:paraId="36A735DD" w14:textId="4C79E406" w:rsidR="00843CCF" w:rsidRDefault="006C7DE0" w:rsidP="00843CCF">
      <w:r>
        <w:t>Segregation and neighborhood socioeconomic disadvantage are associated with racial disparities in cancer prognosis and survival. However, limited availability of historical data means that few epidemiologists have been able to study the health effects of experiencing either segregation or neighborhood disadvantage in the past. To address this need, this study explores the use of residential history dat</w:t>
      </w:r>
      <w:r w:rsidR="003666DB">
        <w:t>a obtained in two settings among people with cancer. In the Panel Study of Income Dynamics sample, participants in a long-running sociological survey who reported a personal history of cancer were studied. Residential history data were obtained from the past addresses used to contact participants for the study and used to estimate the degree of neighborhood disadvantage that participants experienced before being diagnosed with cancer. The outcome of interest was all cause mortality. In the University of Illinois Hospital sample, people diagnosed with colorectal cancer between 1995-2004 were studied. Disease and demographic data were obtained from the hospital tumor registry, while residential history data were obtained from a commercial public records database. Because more detailed death certificate data were available in this group, the outcome of interest was cancer-specific mortality.</w:t>
      </w:r>
    </w:p>
    <w:p w14:paraId="52B73589" w14:textId="77777777" w:rsidR="003666DB" w:rsidRDefault="003666DB" w:rsidP="00843CCF">
      <w:r>
        <w:t>Results appeared to confirm prior research indicating that residential history data are systematically missing in people who are any race or ethnicity other than non-Hispanic white, who are older, who have died, or who have lower incomes. This had previously been demonstrated for commercial public records databases only. Both study samples, when limited to participants who had between 10 and 20 years of residential history data available, were not representative of racial inequities in cancer prognosis and survival prevailing in the general population at the time the data were collected. Once each dataset was prepared, there were no racial inequities in stage at diagnosis, all-cause mortality, or cancer-specific mortality among the included cases.</w:t>
      </w:r>
    </w:p>
    <w:p w14:paraId="7A11040B" w14:textId="7593E0A7" w:rsidR="003666DB" w:rsidRDefault="003666DB" w:rsidP="00843CCF">
      <w:r>
        <w:t>Among PSID participants, there was no evidence that neighborhood concentrated disadvantage was associated with mortality.</w:t>
      </w:r>
      <w:r w:rsidR="0042460C">
        <w:t xml:space="preserve"> </w:t>
      </w:r>
      <w:r w:rsidR="007F1C7D">
        <w:t xml:space="preserve">Data from the </w:t>
      </w:r>
      <w:r w:rsidR="0042460C">
        <w:t xml:space="preserve">PSID may be useful to social or health </w:t>
      </w:r>
      <w:r w:rsidR="0042460C">
        <w:lastRenderedPageBreak/>
        <w:t>researchers interested in studying more common conditions or using a more limited time period of residential history. Lessons learned from working with this complex dataset are presented.</w:t>
      </w:r>
    </w:p>
    <w:p w14:paraId="6BD2EF5A" w14:textId="48528B29" w:rsidR="0042460C" w:rsidRDefault="0042460C" w:rsidP="00843CCF">
      <w:r>
        <w:t>In the University of Illinois Hospital sample, neighborhood concentrated disadvantage was not associated with cancer stage at diagnosis, regardless of when it was measured. Neighborhood concentrated disadvantage did predict cancer-specific mortality risk. However, the effect was strongest when the neighborhood environment was measured around the time of diagnosis. Reliance on commercial residential history data resulted in restriction of the study sample without adding new prognostic information.</w:t>
      </w:r>
    </w:p>
    <w:p w14:paraId="31CC9FFC" w14:textId="22DDEADC" w:rsidR="0042460C" w:rsidRDefault="0042460C" w:rsidP="00843CCF">
      <w:r>
        <w:t xml:space="preserve">This study concludes with </w:t>
      </w:r>
      <w:r w:rsidR="00F340C5">
        <w:t>a comparison</w:t>
      </w:r>
      <w:r>
        <w:t xml:space="preserve"> of the quality, availability, and limitations of residential history data for researchers interested in the relationship between socioeconomic conditions and health.</w:t>
      </w:r>
    </w:p>
    <w:p w14:paraId="633A6BD5" w14:textId="77777777" w:rsidR="00843CCF" w:rsidRPr="00843CCF" w:rsidRDefault="00843CCF" w:rsidP="00843CCF"/>
    <w:p w14:paraId="6934816C" w14:textId="77777777" w:rsidR="00843CCF" w:rsidRDefault="00843CCF">
      <w:pPr>
        <w:sectPr w:rsidR="00843CCF" w:rsidSect="0042460C">
          <w:headerReference w:type="default" r:id="rId20"/>
          <w:headerReference w:type="first" r:id="rId21"/>
          <w:pgSz w:w="12240" w:h="15840"/>
          <w:pgMar w:top="1440" w:right="1440" w:bottom="1440" w:left="1440" w:header="720" w:footer="720" w:gutter="0"/>
          <w:pgNumType w:fmt="lowerRoman"/>
          <w:cols w:space="720"/>
          <w:titlePg/>
          <w:docGrid w:linePitch="360"/>
        </w:sectPr>
      </w:pPr>
      <w:r>
        <w:br w:type="page"/>
      </w:r>
    </w:p>
    <w:p w14:paraId="4D7C5FFA" w14:textId="077E35A9" w:rsidR="00843CCF" w:rsidRDefault="00C270FD" w:rsidP="00C270FD">
      <w:pPr>
        <w:pStyle w:val="Heading1"/>
        <w:numPr>
          <w:ilvl w:val="0"/>
          <w:numId w:val="2"/>
        </w:numPr>
      </w:pPr>
      <w:bookmarkStart w:id="4" w:name="_Toc145757026"/>
      <w:bookmarkStart w:id="5" w:name="_Toc145757261"/>
      <w:bookmarkStart w:id="6" w:name="_Toc145757468"/>
      <w:bookmarkStart w:id="7" w:name="_Toc145771903"/>
      <w:bookmarkStart w:id="8" w:name="_Toc148375743"/>
      <w:r>
        <w:lastRenderedPageBreak/>
        <w:t>Introduction</w:t>
      </w:r>
      <w:bookmarkEnd w:id="4"/>
      <w:bookmarkEnd w:id="5"/>
      <w:bookmarkEnd w:id="6"/>
      <w:bookmarkEnd w:id="7"/>
      <w:bookmarkEnd w:id="8"/>
    </w:p>
    <w:p w14:paraId="09FB8870" w14:textId="2EAA65C3" w:rsidR="00CC647D" w:rsidRDefault="00CC647D" w:rsidP="00CC647D">
      <w:pPr>
        <w:pStyle w:val="Heading2"/>
      </w:pPr>
      <w:bookmarkStart w:id="9" w:name="_Toc145757027"/>
      <w:bookmarkStart w:id="10" w:name="_Toc145757262"/>
      <w:bookmarkStart w:id="11" w:name="_Toc145757469"/>
      <w:bookmarkStart w:id="12" w:name="_Toc148375744"/>
      <w:bookmarkStart w:id="13" w:name="_Hlk145172369"/>
      <w:r>
        <w:t>Background</w:t>
      </w:r>
      <w:bookmarkEnd w:id="9"/>
      <w:bookmarkEnd w:id="10"/>
      <w:bookmarkEnd w:id="11"/>
      <w:bookmarkEnd w:id="12"/>
    </w:p>
    <w:p w14:paraId="0E3C889D" w14:textId="1B003B6B" w:rsidR="00486159" w:rsidRPr="000C3278" w:rsidRDefault="00486159" w:rsidP="00486159">
      <w:bookmarkStart w:id="14" w:name="_Hlk33174394"/>
      <w:r w:rsidRPr="000C3278">
        <w:t xml:space="preserve">Racial </w:t>
      </w:r>
      <w:r>
        <w:t>inequities</w:t>
      </w:r>
      <w:r w:rsidRPr="000C3278">
        <w:t xml:space="preserve"> in the risk of suffering and death from colorectal cancer (CRC) are preventable and caused primarily by racism. Present-day racial disparities emerged in the US within living memory: until the late 1970s, CRC-specific mortality was higher in whites </w:t>
      </w:r>
      <w:r w:rsidRPr="000C3278">
        <w:fldChar w:fldCharType="begin"/>
      </w:r>
      <w:r w:rsidR="006502FC">
        <w:instrText xml:space="preserve"> ADDIN ZOTERO_ITEM CSL_CITATION {"citationID":"0uEx8h20","properties":{"formattedCitation":"(1)","plainCitation":"(1)","noteIndex":0},"citationItems":[{"id":1018,"uris":["http://zotero.org/users/1353333/items/4ABY2HDM"],"itemData":{"id":1018,"type":"report","event-place":"Atlanta,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Society"}],"issued":{"date-parts":[["2017"]]}}}],"schema":"https://github.com/citation-style-language/schema/raw/master/csl-citation.json"} </w:instrText>
      </w:r>
      <w:r w:rsidRPr="000C3278">
        <w:fldChar w:fldCharType="separate"/>
      </w:r>
      <w:r w:rsidRPr="000C3278">
        <w:t>(1)</w:t>
      </w:r>
      <w:r w:rsidRPr="000C3278">
        <w:fldChar w:fldCharType="end"/>
      </w:r>
      <w:r w:rsidRPr="000C3278">
        <w:t xml:space="preserve">. Today, non-Hispanic </w:t>
      </w:r>
      <w:r w:rsidR="00F860C1">
        <w:t>B</w:t>
      </w:r>
      <w:r w:rsidRPr="000C3278">
        <w:t>lack Americans are burdened by CRC incidence that is 20% greater, and CRC mortality more than 40% greater, than that experienced by non-Hispanic white</w:t>
      </w:r>
      <w:r w:rsidR="00F860C1">
        <w:t xml:space="preserve"> people</w:t>
      </w:r>
      <w:r w:rsidRPr="000C3278">
        <w:t xml:space="preserve"> </w:t>
      </w:r>
      <w:r w:rsidRPr="000C3278">
        <w:fldChar w:fldCharType="begin"/>
      </w:r>
      <w:r w:rsidR="006502FC">
        <w:instrText xml:space="preserve"> ADDIN ZOTERO_ITEM CSL_CITATION {"citationID":"wTSohqrI","properties":{"formattedCitation":"(1)","plainCitation":"(1)","noteIndex":0},"citationItems":[{"id":1018,"uris":["http://zotero.org/users/1353333/items/4ABY2HDM"],"itemData":{"id":1018,"type":"report","event-place":"Atlanta,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Society"}],"issued":{"date-parts":[["2017"]]}}}],"schema":"https://github.com/citation-style-language/schema/raw/master/csl-citation.json"} </w:instrText>
      </w:r>
      <w:r w:rsidRPr="000C3278">
        <w:fldChar w:fldCharType="separate"/>
      </w:r>
      <w:r w:rsidRPr="000C3278">
        <w:t>(1)</w:t>
      </w:r>
      <w:r w:rsidRPr="000C3278">
        <w:fldChar w:fldCharType="end"/>
      </w:r>
      <w:r w:rsidRPr="000C3278">
        <w:t xml:space="preserve">. These disparities occur across the cancer continuum and reflect differences in stress and discrimination, exposures, access to resources, attitudes, and beliefs across the life course. In the US, non-Hispanic </w:t>
      </w:r>
      <w:r w:rsidR="00F860C1">
        <w:t>Black people</w:t>
      </w:r>
      <w:r w:rsidRPr="000C3278">
        <w:t xml:space="preserve"> are also more segregated than other groups regardless of individual socioeconomic status (SES). As a result, segregation, and the conditions of segregated neighborhoods, may be more important to the health of non-Hispanic </w:t>
      </w:r>
      <w:r w:rsidR="00F860C1">
        <w:t>Black people</w:t>
      </w:r>
      <w:r w:rsidRPr="000C3278">
        <w:t xml:space="preserve"> and contribute to health disparities affecting them </w:t>
      </w:r>
      <w:r w:rsidRPr="000C3278">
        <w:fldChar w:fldCharType="begin"/>
      </w:r>
      <w:r w:rsidR="00B069DD">
        <w:instrText xml:space="preserve"> ADDIN ZOTERO_ITEM CSL_CITATION {"citationID":"lTHZqpsj","properties":{"formattedCitation":"(2)","plainCitation":"(2)","noteIndex":0},"citationItems":[{"id":895,"uris":["http://zotero.org/users/1353333/items/S9NVM8K5"],"itemData":{"id":895,"type":"article-journal","abstract":"BackgroundThis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J."}],"issued":{"date-parts":[["2016",12,30]]}}}],"schema":"https://github.com/citation-style-language/schema/raw/master/csl-citation.json"} </w:instrText>
      </w:r>
      <w:r w:rsidRPr="000C3278">
        <w:fldChar w:fldCharType="separate"/>
      </w:r>
      <w:r w:rsidRPr="000C3278">
        <w:t>(2)</w:t>
      </w:r>
      <w:r w:rsidRPr="000C3278">
        <w:fldChar w:fldCharType="end"/>
      </w:r>
      <w:r w:rsidRPr="000C3278">
        <w:t xml:space="preserve">. Geographic variation in CRC burden operates at multiple scales, in patterns that reflect racial segregation </w:t>
      </w:r>
      <w:r w:rsidRPr="000C3278">
        <w:fldChar w:fldCharType="begin"/>
      </w:r>
      <w:r w:rsidR="00F85975">
        <w:instrText xml:space="preserve"> ADDIN ZOTERO_ITEM CSL_CITATION {"citationID":"PalnSSNd","properties":{"formattedCitation":"(3\\uc0\\u8211{}7)","plainCitation":"(3–7)","noteIndex":0},"citationItems":[{"id":1059,"uris":["http://zotero.org/users/1353333/items/WHHI8Y5P"],"itemData":{"id":1059,"type":"article-journal","abstract":"Colorectal cancer is one of the most common cancers worldwide. This Review provides a comprehensive summary of colorectal cancer epidemiology, with emphasis on modifiable lifestyle and nutritional factors, chemoprevention and screening.","container-title":"Nature Reviews Gastroenterology &amp; Hepatology","DOI":"10.1038/s41575-019-0189-8","ISSN":"1759-5053","journalAbbreviation":"Nat Rev Gastroenterol Hepatol","language":"en","license":"2019 Springer Nature Limited","page":"1-20","source":"www.nature.com","title":"Global burden of colorectal cancer: emerging trends, risk factors and prevention strategies","title-short":"Global burden of colorectal cancer","author":[{"family":"Keum","given":"NaNa"},{"family":"Giovannucci","given":"Edward"}],"issued":{"date-parts":[["2019",8,27]]}},"label":"page"},{"id":1058,"uris":["http://zotero.org/users/1353333/items/E2TUAI3N"],"itemData":{"id":1058,"type":"article-journal","abstract":"Objective The global burden of colorectal cancer (CRC) is expected to increase by 60% to more than 2.2 million new cases and 1.1 million deaths by 2030. In this study, we aim to describe the recent CRC incidence and mortality patterns and trends linking the findings to the prospects of reducing the burden through cancer prevention and care.\nDesign Estimates of sex-specific CRC incidence and mortality rates in 2012 were extracted from the GLOBOCAN database. Temporal patterns were assessed for 37 countries using data from Cancer Incidence in Five Continents (CI5) volumes I–X and the WHO mortality database. Trends were assessed via the annual percentage change using joinpoint regression and discussed in relation to human development levels.\nResults CRC incidence and mortality rates vary up to 10-fold worldwide, with distinct gradients across human development levels, pointing towards widening disparities and an increasing burden in countries in transition. Generally, CRC incidence and mortality rates are still rising rapidly in many low-income and middle-income countries; stabilising or decreasing trends tend to be seen in highly developed countries where rates remain among the highest in the world.\nConclusions Patterns and trends in CRC incidence and mortality correlate with present human development levels and their incremental changes might reflect the adoption of more western lifestyles. Targeted resource-dependent interventions, including primary prevention in low-income, supplemented with early detection in high-income settings, are needed to reduce the number of patients with CRC in future decades.","container-title":"Gut","DOI":"10.1136/gutjnl-2015-310912","ISSN":"0017-5749, 1468-3288","issue":"4","language":"en","license":"Published by the BMJ Publishing Group Limited. For permission to use (where not already granted under a licence) please go to http://www.bmj.com/company/products-services/rights-and-licensing/","note":"PMID: 26818619","page":"683-691","source":"gut.bmj.com","title":"Global patterns and trends in colorectal cancer incidence and mortality","volume":"66","author":[{"family":"Arnold","given":"Melina"},{"family":"Sierra","given":"Mónica S."},{"family":"Laversanne","given":"Mathieu"},{"family":"Soerjomataram","given":"Isabelle"},{"family":"Jemal","given":"Ahmedin"},{"family":"Bray","given":"Freddie"}],"issued":{"date-parts":[["2017",4,1]]}},"label":"page"},{"id":699,"uris":["http://zotero.org/users/1353333/items/HHFDUA2C"],"itemData":{"id":699,"type":"article-journal","abstract":"This paper reports a study examining the association between colorectal cancer (CRC) survival and access to healthcare in Texas using data from the Texas cancer registry. We geo-referenced the data to the census tract level and used an enhanced 2-step floating catchment area method and factor analysis to estimate people's spatial and non-spatial access to healthcare. In addition, Cox proportional hazard regression was employed to assess the influence of different factors on CRC survival, and a spatial scan statistic was used to investigate the geographic disparity of CRC survival and the influence of access to healthcare. The analyses revealed that Hispanics, non-Hispanic blacks, and residents from several regions in Texas were more likely to die from CRC than others. Disadvantaged population groups based on factors rather than spatial access had an increased risk of CRC-specific mortality. Spatial access to oncologists has a significant association with CRC survival in non-urban areas but not in urban areas. Geographic disparities of CRC survival were largely influenced by factors rather than spatial access to healthcare.","container-title":"Health &amp; Place","DOI":"10.1016/j.healthplace.2011.10.007","ISSN":"1353-8292","issue":"2","journalAbbreviation":"Health &amp; Place","page":"321-329","source":"ScienceDirect","title":"Access to healthcare and disparities in colorectal cancer survival in Texas","volume":"18","author":[{"family":"Wan","given":"Neng"},{"family":"Zhan","given":"F. Benjamin"},{"family":"Lu","given":"Yongmei"},{"family":"Tiefenbacher","given":"John P."}],"issued":{"date-parts":[["2012",3]]}},"label":"page"},{"id":500,"uris":["http://zotero.org/users/1353333/items/TPGF85ME"],"itemData":{"id":500,"type":"article-journal","abstract":"Patients diagnosed with late-stage cancer have lower survival rates than those with early-stage cancer. This paper examines possible associations between several risk factors and late-stage diagnosis for four types of cancer in Illinois: breast cancer, prostate cancer, colorectal cancer, and lung cancer. Potential risk factors are composed of spatial factors and nonspatial factors. The spatial factors include accessibility to primary healthcare and distance or travel time to the nearest cancer screening facility. A set of demographic and socioeconomic variables are consolidated into three nonspatial factors by factor analysis. The Bayesian model with convolution priors is utilised to analyse the relationship between the above risk factors and each type of late-stage cancer while controlling for spatial autocorrelation. The results for breast cancer suggest that people living in neighbourhoods with socioeconomic disadvantages and cultural barriers are more likely to be diagnosed at a late stage. In regard to prostate cancer, people in regions with low socioeconomic status are also more likely to be diagnosed at a late stage. Diagnosis of late-stage colorectal or lung cancer is not significantly associated with any of the abovementioned risk factors. The results have important implications in public policy.","container-title":"International journal of public policy","DOI":"10.1504/IJPP.2010.030606","ISSN":"1740-0600","issue":"2-3","journalAbbreviation":"Int J Public Pol","note":"PMID: 23316251\nPMCID: PMC3540777","page":"237-258","source":"PubMed Central","title":"Healthcare access, socioeconomic factors and late-stage cancer diagnosis: an exploratory spatial analysis and public policy implication","title-short":"Healthcare access, socioeconomic factors and late-stage cancer diagnosis","volume":"5","author":[{"family":"Wang","given":"Fahui"},{"family":"Luo","given":"Lan"},{"family":"McLafferty","given":"Sara"}],"issued":{"date-parts":[["2010"]]}},"label":"page"},{"id":402,"uris":["http://zotero.org/users/1353333/items/V85XKDZP"],"itemData":{"id":402,"type":"article-journal","abstract":"Background\nDifferences in late-stage cancer risk between urban and rural residents are a key component of cancer disparities. Using data from the Illinois State Cancer Registry 1998–2002, we investigate the rural-urban gradient in late-stage cancer risk for four major types of cancer: breast, colorectal, lung and prostate.\n\nMethods\nMultilevel modeling is used to evaluate the role of population composition and area-based contextual factors in accounting for rural-urban variation. Instead of a simple binary rural-urban classification, we use a finer-grained classification that differentiates the densely populated city of Chicago from its suburbs and from smaller metropolitan areas, large towns and rural settings.\n\nResults\nFor all four cancers, risk is highest in the most highly urbanized area and decreases as rurality increases, following a J-shaped progression that includes a small upturn in risk in the most isolated rural areas. For some cancers, these geographic disparities are associated with differences in population age and race; for others, the disparities remain after controlling for differences in population composition and ZIP code socioeconomic characteristics and spatial access to health care.\n\nConclusion\nThe observed pattern of urban disadvantage emphasizes the need for more extensive urban-based cancer screening and education programs.","container-title":"Cancer","DOI":"10.1002/cncr.24306","ISSN":"0008-543X","issue":"12","journalAbbreviation":"Cancer","note":"PMID: 19434667\nPMCID: PMC2774239","page":"2755-2764","source":"PubMed Central","title":"Rural Reversal? Rural-Urban Disparities in Late-stage Cancer Risk in Illinois","title-short":"Rural Reversal?","volume":"115","author":[{"family":"McLafferty","given":"Sara"},{"family":"Wang","given":"Fahui"}],"issued":{"date-parts":[["2009",6,15]]}},"label":"page"}],"schema":"https://github.com/citation-style-language/schema/raw/master/csl-citation.json"} </w:instrText>
      </w:r>
      <w:r w:rsidRPr="000C3278">
        <w:fldChar w:fldCharType="separate"/>
      </w:r>
      <w:r w:rsidRPr="000C3278">
        <w:t>(3–7)</w:t>
      </w:r>
      <w:r w:rsidRPr="000C3278">
        <w:fldChar w:fldCharType="end"/>
      </w:r>
      <w:r w:rsidRPr="000C3278">
        <w:t xml:space="preserve">. Segregation is known to contribute to racial inequities in other health conditions and behaviors, including obesity and smoking, which are related to CRC; but its effect is strongest at the local level and may be state-specific </w:t>
      </w:r>
      <w:r w:rsidRPr="000C3278">
        <w:fldChar w:fldCharType="begin"/>
      </w:r>
      <w:r w:rsidR="00B069DD">
        <w:instrText xml:space="preserve"> ADDIN ZOTERO_ITEM CSL_CITATION {"citationID":"0MCTg579","properties":{"formattedCitation":"(2)","plainCitation":"(2)","noteIndex":0},"citationItems":[{"id":895,"uris":["http://zotero.org/users/1353333/items/S9NVM8K5"],"itemData":{"id":895,"type":"article-journal","abstract":"BackgroundThis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J."}],"issued":{"date-parts":[["2016",12,30]]}}}],"schema":"https://github.com/citation-style-language/schema/raw/master/csl-citation.json"} </w:instrText>
      </w:r>
      <w:r w:rsidRPr="000C3278">
        <w:fldChar w:fldCharType="separate"/>
      </w:r>
      <w:r w:rsidRPr="000C3278">
        <w:t>(2)</w:t>
      </w:r>
      <w:r w:rsidRPr="000C3278">
        <w:fldChar w:fldCharType="end"/>
      </w:r>
      <w:r w:rsidRPr="000C3278">
        <w:t xml:space="preserve">. However, further research is needed to confirm that racial segregation contributes to CRC as it does to other common cancers; and to identify features of neighborhoods that mediate the relationship between segregation and cancer. Neighborhood-level variation in the burden of CRC and other noncommunicable diseases may be caused by social and economic disadvantage, which </w:t>
      </w:r>
      <w:r>
        <w:t xml:space="preserve">is both caused by segregation and </w:t>
      </w:r>
      <w:r w:rsidRPr="000C3278">
        <w:t xml:space="preserve">has been shown to interact with segregation in harming health </w:t>
      </w:r>
      <w:r w:rsidRPr="000C3278">
        <w:fldChar w:fldCharType="begin"/>
      </w:r>
      <w:r w:rsidR="00B069DD">
        <w:instrText xml:space="preserve"> ADDIN ZOTERO_ITEM CSL_CITATION {"citationID":"MfxF8xUW","properties":{"formattedCitation":"(2,8\\uc0\\u8211{}10)","plainCitation":"(2,8–10)","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J."}],"issued":{"date-parts":[["2016",12,30]]}},"label":"page"},{"id":949,"uris":["http://zotero.org/users/1353333/items/LRDZJSVJ"],"itemData":{"id":949,"type":"article-journal","abstract":"Much of the current health disparities literature fails to account for the fact that the nation is largely segregated, leaving racial groups exposed to different health risks and with variable access to health services based on where they live. We sought to determine if racial health disparities typically reported in national studies remain the same when black and white Americans live in integrated settings. Focusing on a racially integrated, low-income neighborhood of Southwest Baltimore, Maryland, we found that nationally reported disparities in hypertension, diabetes, obesity among women, and use of health services either vanished or substantially narrowed. The sole exception was smoking: We found that white residents were more likely than black residents to smoke, underscoring the higher rates of ill health in whites in the Baltimore sample than seen in national data. As a result, we concluded that racial differences in social environments explain a meaningful portion of disparities typically found in national data. We further concluded that when social factors are equalized, racial disparities are minimized. Policies aimed solely at health behavior change, biological differences among racial groups, or increased access to health care are limited in their ability to close racial disparities in health. Such policies must address the differing resources of neighborhoods and must aim to improve the underlying conditions of health for all.","container-title":"Health Affairs","DOI":"10.1377/hlthaff.2011.0640","ISSN":"0278-2715","issue":"10","journalAbbreviation":"Health Affairs","page":"1880-1887","source":"healthaffairs.org (Atypon)","title":"Place, Not Race: Disparities Dissipate In Southwest Baltimore When Blacks And Whites Live Under Similar Conditions","title-short":"Place, Not Race","volume":"30","author":[{"family":"LaVeist","given":"Thomas"},{"family":"Pollack","given":"Keshia"},{"family":"Thorpe","given":"Roland"},{"family":"Fesahazion","given":"Ruth"},{"family":"Gaskin","given":"Darrell"}],"issued":{"date-parts":[["2011",10,1]]}},"label":"page"},{"id":191,"uris":["http://zotero.org/users/1353333/items/58FACAUB"],"itemData":{"id":191,"type":"article-journal","abstract":"OBJECTIVE: We explore differences in the prevalence of asthma and other respiratory diseases at the neighborhood level. In addition to traditional metrics of neighborhood structure (e.g., concentrated disadvantage, residential stability), we incorporate residents' evaluations of neighborhood context. We examine the extent to which indicators such as disorder (observable signs of physical and social decay) and collective efficacy (trust and shared expectations for beneficial community action) account for differences in the prevalence of asthma and other respiratory diseases.\nMETHODS: We examine 338 Chicago neighborhoods, combining 3 data sources from the 1990s: 1) the Metropolitan Chicago Information Center Metro Survey; 2) the Decennial Census; and 3) the Project on Human Development in Chicago Neighborhoods Community Survey. We use a multilevel statistical approach to disentangle neighborhood- from individual-level effects.\nMEASUREMENTS: A survey-based response to whether a physician has diagnosed asthma, bronchitis, emphysema, or other breathing problems.\nRESULTS: Findings indicate that individual- and neighborhood-level factors are associated with asthma/breathing problems. At the individual level, female gender, smoking, and a weight problem are positively associated with asthma/breathing problems, while Latino ethnicity is protective. At the neighborhood level, collective efficacy is protective against asthma/breathing problems. Residential stability is positively associated only when levels of collective efficacy are controlled.\nCONCLUSIONS: Neighborhood context, particularly collective efficacy, may be an underlying factor that reduces vulnerability to asthma and other respiratory diseases. Collective efficacy may enhance the ability to garner health-relevant resources, eliminate environmental hazards that trigger asthma, and promote communication among residents which, in turn, enables dissemination of information relevant to respiratory ailments.","container-title":"Journal of General Internal Medicine","ISSN":"0884-8734","issue":"3","journalAbbreviation":"J Gen Intern Med","language":"eng","note":"PMID: 15009777\nPMCID: PMC1492148","page":"229-236","source":"PubMed","title":"Exploring neighborhood-level variation in asthma and other respiratory diseases: the contribution of neighborhood social context","title-short":"Exploring neighborhood-level variation in asthma and other respiratory diseases","volume":"19","author":[{"family":"Cagney","given":"Kathleen A."},{"family":"Browning","given":"Christopher R."}],"issued":{"date-parts":[["2004",3]]}},"label":"page"},{"id":192,"uris":["http://zotero.org/users/1353333/items/STVKBBZB"],"itemData":{"id":192,"type":"article-journal","abstract":"Our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A."}],"issued":{"date-parts":[["2002",12]]}},"label":"page"}],"schema":"https://github.com/citation-style-language/schema/raw/master/csl-citation.json"} </w:instrText>
      </w:r>
      <w:r w:rsidRPr="000C3278">
        <w:fldChar w:fldCharType="separate"/>
      </w:r>
      <w:r w:rsidRPr="000C3278">
        <w:t>(2,8–10)</w:t>
      </w:r>
      <w:r w:rsidRPr="000C3278">
        <w:fldChar w:fldCharType="end"/>
      </w:r>
      <w:r w:rsidRPr="000C3278">
        <w:t xml:space="preserve">. A major obstacle to this research is that, typically, epidemiologists do not know where people with cancer lived before diagnosis. As a result, racial disparities in cancer burden have not been definitively linked to neighborhood </w:t>
      </w:r>
      <w:r w:rsidRPr="000C3278">
        <w:lastRenderedPageBreak/>
        <w:t>conditions at the time the disease began to develop. We also do not know if there is a critical time period or dose at which segregation and its effects are especially harmful.</w:t>
      </w:r>
    </w:p>
    <w:p w14:paraId="5821B5E8" w14:textId="29BD4F2E" w:rsidR="00486159" w:rsidRDefault="00486159" w:rsidP="00486159">
      <w:pPr>
        <w:pStyle w:val="Heading2"/>
      </w:pPr>
      <w:bookmarkStart w:id="15" w:name="_Toc145757028"/>
      <w:bookmarkStart w:id="16" w:name="_Toc145757263"/>
      <w:bookmarkStart w:id="17" w:name="_Toc145757470"/>
      <w:bookmarkStart w:id="18" w:name="_Toc148375745"/>
      <w:bookmarkEnd w:id="13"/>
      <w:r>
        <w:t>Research Objective</w:t>
      </w:r>
      <w:bookmarkEnd w:id="15"/>
      <w:bookmarkEnd w:id="16"/>
      <w:bookmarkEnd w:id="17"/>
      <w:bookmarkEnd w:id="18"/>
    </w:p>
    <w:p w14:paraId="65BA519A" w14:textId="51F07E12" w:rsidR="00486159" w:rsidRDefault="00486159" w:rsidP="00486159">
      <w:r w:rsidRPr="00486159">
        <w:t xml:space="preserve">To address this need, </w:t>
      </w:r>
      <w:r>
        <w:t xml:space="preserve">this research </w:t>
      </w:r>
      <w:r w:rsidR="00F860C1">
        <w:t>evaluates</w:t>
      </w:r>
      <w:r w:rsidRPr="00486159">
        <w:t xml:space="preserve"> the relationship between neighborhood disadvantage experienced across the life course and CRC outcomes.</w:t>
      </w:r>
      <w:r w:rsidRPr="000C3278">
        <w:t xml:space="preserve"> </w:t>
      </w:r>
      <w:r>
        <w:t>This research addresses</w:t>
      </w:r>
      <w:r w:rsidRPr="000C3278">
        <w:t xml:space="preserve"> CRC and residential history in two settings: the Panel Study of Income Dynamics (PSID), and the UI Health tumor registry. The PSID is a longitudinal, nationally representative study that has collected data on individuals and households since 1968. The PSID includes rich information about participants’ income, education, and reasons for moving; can be linked to Census data; and is linked to the National Death Index (NDI). Residential data in the PSID w</w:t>
      </w:r>
      <w:r>
        <w:t>ere</w:t>
      </w:r>
      <w:r w:rsidRPr="000C3278">
        <w:t xml:space="preserve"> collected prospectively and used to contact participants, avoiding concerns about data quality and bias that may affect residential histories collected from electronic health records (EHRs) and commercial data sources </w:t>
      </w:r>
      <w:r>
        <w:fldChar w:fldCharType="begin"/>
      </w:r>
      <w:r w:rsidR="00F85975">
        <w:instrText xml:space="preserve"> ADDIN ZOTERO_ITEM CSL_CITATION {"citationID":"yxj5bR95","properties":{"formattedCitation":"(11\\uc0\\u8211{}14)","plainCitation":"(11–14)","noteIndex":0},"citationItems":[{"id":1065,"uris":["http://zotero.org/users/1353333/items/B7LLG2XK"],"itemData":{"id":1065,"type":"article-journal","abstract":"Background: Social disadvantage predicts colorectal cancer (CRC) outcomes across the cancer care continuum for many populations and places. For medically underserved populations, social disadvantage is likely intersectional- affecting individuals at multiple levels and through membership in multiple disadvantaged groups. However, most measures of social disadvantage are cross-sectional and limited to race, ethnicity, and income. Linkages between electronic health records (EHRs) and external datasets offer rich, multilevel measures that may be more informative. Methods: We identified urban safety-net patients eligible and due for CRC screening from the Parkland-UT Southwestern PROSPR cohort. We assessed one-time screening receipt (via colonoscopy or fecal immunochemical test) in the 18 months following cohort entry via the EHR. We linked EHR data to housing and Census data to generate measures of social disadvantage at the parcel- and block-group level. We evaluated the association of these measures with screening using multilevel logistic regression models controlling for sociodemographics, comorbidity, and healthcare utilization. Results: Among 32,965 patients, 45.1% received screening. In adjusted models, residential mobility, residence type, and neighborhood majority race were associated with CRC screening. Nearly all measures of patient-level social disadvantage and healthcare utilization were significant. Conclusions: Address-based linkage of EHRs to external datasets may have the potential to expand meaningful measurement of multilevel social disadvantage. Researchers should strive to use granular, specific data in investigations of social disadvantage. Impact: Generating multilevel measures of social disadvantage through address-based linkages efficiently uses existing EHR data for applied, population-level research.","container-title":"Cancer Epidemiology and Prevention Biomarkers","DOI":"10.1158/1055-9965.EPI-18-0446","ISSN":"1055-9965, 1538-7755","journalAbbreviation":"Cancer Epidemiol Biomarkers Prev","language":"en","license":"Copyright ©2018, American Association for Cancer Research.","note":"PMID: 30135072","page":"cebp.0446.2018","source":"cebp.aacrjournals.org","title":"Social disadvantage, healthcare utilization, and colorectal cancer screening: Leveraging longitudinal patient address and electronic health records data","title-short":"Social disadvantage, healthcare utilization, and colorectal cancer screening","author":[{"family":"Hughes","given":"Amy E."},{"family":"Tiro","given":"Jasmin A."},{"family":"Balasubramanian","given":"Bijal A."},{"family":"Skinner","given":"Celette Sugg"},{"family":"Pruitt","given":"Sandi L."}],"issued":{"date-parts":[["2018",1,1]]}},"label":"page"},{"id":1064,"uris":["http://zotero.org/users/1353333/items/KRA8KAMJ"],"itemData":{"id":1064,"type":"article-journal","abstract":"Purpose\nElectronic medical records (EMR) include residential address\nhistories, which may alleviate exposure misclassification caused by\nexclusion of patient spatiotemporal location. EMR data are increasingly\navailable but rarely leveraged as a measure of cumulative environmental\nexposure, in part due to limited understanding of the validity of\nEMR-derived address histories.\n\nMethods\nWe compared EMR address histories to self-reported histories among\n100 patients of a safety-net healthcare system completing a telephone\nsurvey. We assessed agreement and compared 7 neighborhood-level\nenvironmental exposures as assessed using both data sources.\n\nResults\nWhile 17.1% of respondents did not live at the most recent\nEMR-derived address during the survey, nearly all (98%) lived there\nat some point. For respondents with &gt;1 EMR-derived address\n(N=64), 87.5% had once lived at the previous EMR address. Of\nthese, 30.4% lived at ≥1 additional residences between the\ntwo most recent EMR address. For all measures, neighborhood-level\nenvironmental exposures did not differ when using EMR-derived vs.\nself-report addresses.\n\nConclusions\nMore recent EMR-derived addresses are more accurate and differences\ncompared to self-reported addresses in neighborhood-level exposures are\nnegligible. EMR-derived address histories are incomplete and likely suffer\nfrom collection bias; future research should further assess their validity\nand reliability.","container-title":"Annals of epidemiology","DOI":"10.1016/j.annepidem.2016.07.016","ISSN":"1047-2797","issue":"1","journalAbbreviation":"Ann Epidemiol","note":"PMID: 27663209\nPMCID: PMC5482357","page":"20-26","source":"PubMed Central","title":"The Utility of EMR Address Histories for Assessing Neighborhood Exposures","volume":"27","author":[{"family":"Hughes","given":"Amy E."},{"family":"Pruitt","given":"Sandi L."}],"issued":{"date-parts":[["2017",1]]}},"label":"page"},{"id":98,"uris":["http://zotero.org/users/1353333/items/C4YD7RMK"],"itemData":{"id":98,"type":"report","collection-title":"Data Point","language":"en","page":"37","publisher":"Consumer Financial Protection Bureau Office of Research","source":"Zotero","title":"Credit Invisibles","author":[{"family":"Brevoort","given":"Kenneth P."},{"family":"Grimm","given":"Philipp"},{"family":"Kambara","given":"Michelle"}],"issued":{"date-parts":[["2015",5]]}},"label":"page"},{"id":99,"uris":["http://zotero.org/users/1353333/items/LKD6DCR3"],"itemData":{"id":99,"type":"article-newspaper","abstract":"Credit reports and scores reflect existing racial inequities in our credit system and economy","container-title":"The Guardian","ISSN":"0261-3077","language":"en-GB","section":"Opinion","source":"www.theguardian.com","title":"Credit scores in America perpetuate racial injustice. Here's how","URL":"https://www.theguardian.com/commentisfree/2015/oct/13/your-credit-score-is-racist-heres-why","author":[{"family":"Ludwig","given":"Sarah"}],"accessed":{"date-parts":[["2020",1,24]]},"issued":{"date-parts":[["2015",10,13]]}},"label":"page"}],"schema":"https://github.com/citation-style-language/schema/raw/master/csl-citation.json"} </w:instrText>
      </w:r>
      <w:r>
        <w:fldChar w:fldCharType="separate"/>
      </w:r>
      <w:r w:rsidRPr="000C3278">
        <w:rPr>
          <w:szCs w:val="24"/>
        </w:rPr>
        <w:t>(11–14)</w:t>
      </w:r>
      <w:r>
        <w:fldChar w:fldCharType="end"/>
      </w:r>
      <w:r>
        <w:t xml:space="preserve">. </w:t>
      </w:r>
      <w:r w:rsidRPr="000C3278">
        <w:t xml:space="preserve">Disease prevalence estimates in the PSID cohort are comparable to those obtained from national public health surveys </w:t>
      </w:r>
      <w:r w:rsidRPr="000C3278">
        <w:fldChar w:fldCharType="begin"/>
      </w:r>
      <w:r w:rsidR="00F85975">
        <w:instrText xml:space="preserve"> ADDIN ZOTERO_ITEM CSL_CITATION {"citationID":"xqhfNPSD","properties":{"formattedCitation":"(15,16)","plainCitation":"(15,16)","noteIndex":0},"citationItems":[{"id":1167,"uris":["http://zotero.org/users/1353333/items/3P4XKW3I"],"itemData":{"id":1167,"type":"report","collection-title":"Technical Series","event-place":"Ann Arbor, MI","language":"en","number":"17-01","page":"13","publisher":"Panel Study of Income Dynamics, University of Michigan Institute for Social Research","publisher-place":"Ann Arbor, MI","source":"Zotero","title":"Comparing Health Estimates in the PSID and NHIS, 2001-2015","author":[{"family":"Insolera","given":"Noura E"},{"family":"Freedman","given":"Vicki A"}],"issued":{"date-parts":[["2017",5,6]]}},"label":"page"},{"id":94,"uris":["http://zotero.org/users/1353333/items/JE9Z7IFF"],"itemData":{"id":94,"type":"article-journal","language":"en","page":"18","source":"Zotero","title":"An Analysis of the Quality of the Health Data in the Panel Study of Income Dynamics","author":[{"family":"Andreski","given":"Patricia"},{"family":"McGonagle","given":"Katherine"},{"family":"Schoeni","given":"Bob"}],"issued":{"date-parts":[["2009",9,15]]}},"label":"page"}],"schema":"https://github.com/citation-style-language/schema/raw/master/csl-citation.json"} </w:instrText>
      </w:r>
      <w:r w:rsidRPr="000C3278">
        <w:fldChar w:fldCharType="separate"/>
      </w:r>
      <w:r w:rsidRPr="000C3278">
        <w:t>(15,16)</w:t>
      </w:r>
      <w:r w:rsidRPr="000C3278">
        <w:fldChar w:fldCharType="end"/>
      </w:r>
      <w:r w:rsidRPr="000C3278">
        <w:t xml:space="preserve">. However, the PSID data have not </w:t>
      </w:r>
      <w:r>
        <w:t xml:space="preserve">previously </w:t>
      </w:r>
      <w:r w:rsidRPr="000C3278">
        <w:t xml:space="preserve">been used to study determinants of cancer incidence and outcomes. People treated at UI Health are overwhelmingly residents of Chicago and greater Cook County, IL. This study </w:t>
      </w:r>
      <w:r>
        <w:t>uses</w:t>
      </w:r>
      <w:r w:rsidRPr="000C3278">
        <w:t xml:space="preserve"> a measure of neighborhood disadvantage that was developed in Chicago and that has been shown to both predict outcomes and explain racial disparities</w:t>
      </w:r>
      <w:r>
        <w:t xml:space="preserve"> in other health conditions</w:t>
      </w:r>
      <w:r w:rsidRPr="000C3278">
        <w:t xml:space="preserve"> </w:t>
      </w:r>
      <w:r w:rsidRPr="000C3278">
        <w:fldChar w:fldCharType="begin"/>
      </w:r>
      <w:r w:rsidR="00F85975">
        <w:instrText xml:space="preserve"> ADDIN ZOTERO_ITEM CSL_CITATION {"citationID":"5q550N7Z","properties":{"formattedCitation":"(9,10,17,18)","plainCitation":"(9,10,17,18)","noteIndex":0},"citationItems":[{"id":191,"uris":["http://zotero.org/users/1353333/items/58FACAUB"],"itemData":{"id":191,"type":"article-journal","abstract":"OBJECTIVE: We explore differences in the prevalence of asthma and other respiratory diseases at the neighborhood level. In addition to traditional metrics of neighborhood structure (e.g., concentrated disadvantage, residential stability), we incorporate residents' evaluations of neighborhood context. We examine the extent to which indicators such as disorder (observable signs of physical and social decay) and collective efficacy (trust and shared expectations for beneficial community action) account for differences in the prevalence of asthma and other respiratory diseases.\nMETHODS: We examine 338 Chicago neighborhoods, combining 3 data sources from the 1990s: 1) the Metropolitan Chicago Information Center Metro Survey; 2) the Decennial Census; and 3) the Project on Human Development in Chicago Neighborhoods Community Survey. We use a multilevel statistical approach to disentangle neighborhood- from individual-level effects.\nMEASUREMENTS: A survey-based response to whether a physician has diagnosed asthma, bronchitis, emphysema, or other breathing problems.\nRESULTS: Findings indicate that individual- and neighborhood-level factors are associated with asthma/breathing problems. At the individual level, female gender, smoking, and a weight problem are positively associated with asthma/breathing problems, while Latino ethnicity is protective. At the neighborhood level, collective efficacy is protective against asthma/breathing problems. Residential stability is positively associated only when levels of collective efficacy are controlled.\nCONCLUSIONS: Neighborhood context, particularly collective efficacy, may be an underlying factor that reduces vulnerability to asthma and other respiratory diseases. Collective efficacy may enhance the ability to garner health-relevant resources, eliminate environmental hazards that trigger asthma, and promote communication among residents which, in turn, enables dissemination of information relevant to respiratory ailments.","container-title":"Journal of General Internal Medicine","ISSN":"0884-8734","issue":"3","journalAbbreviation":"J Gen Intern Med","language":"eng","note":"PMID: 15009777\nPMCID: PMC1492148","page":"229-236","source":"PubMed","title":"Exploring neighborhood-level variation in asthma and other respiratory diseases: the contribution of neighborhood social context","title-short":"Exploring neighborhood-level variation in asthma and other respiratory diseases","volume":"19","author":[{"family":"Cagney","given":"Kathleen A."},{"family":"Browning","given":"Christopher R."}],"issued":{"date-parts":[["2004",3]]}},"label":"page"},{"id":192,"uris":["http://zotero.org/users/1353333/items/STVKBBZB"],"itemData":{"id":192,"type":"article-journal","abstract":"Our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B."}],"issued":{"date-parts":[["2011",10]]}},"label":"page"},{"id":1166,"uris":["http://zotero.org/users/1353333/items/9696ULHB"],"itemData":{"id":1166,"type":"article-journal","abstract":"This paper examines the effect of neighborhood disadvantage on racial disparities in ovarian cancer-specific survival. Despite treatment advances for ovarian cancer, survival remains shorter for African-American compared to White women. Neighborhood disadvantage is implicated in racial disparities across a variety of health outcomes and may contribute to racial disparities in ovarian cancer-specific survival. Data were obtained from 581 women (100 African-American and 481 White) diagnosed with epithelial ovarian cancer between June 1, 1994, and December 31, 1998 in Cook County, Illinois, which includes the city of Chicago. Neighborhood disadvantage score at the time of diagnosis was calculated for each woman based on Browning and Cagney’s index of concentrated disadvantage. Cox proportional hazard models measured the association of self-identified African-American race with ovarian cancer-specific survival after adjusting for age, tumor characteristics, surgical debulking, and neighborhood disadvantage. There was a statistically significant negative association (-0.645) between ovarian cancer-specific survival and neighborhood disadvantage (p = 0.008). After adjusting for age and tumor characteristics, African-American women were more likely than Whites to die of ovarian cancer (HR = 1.59, p = 0.003). After accounting for neighborhood disadvantage, this risk was attenuated (HR = 1.32, p = 0.10). These findings demonstrate that neighborhood disadvantage is associated with ovarian cancer-specific survival and may contribute to the racial disparity in survival.","container-title":"Frontiers in Public Health","DOI":"10.3389/fpubh.2015.00008","ISSN":"2296-2565","journalAbbreviation":"Front. Public Health","language":"English","note":"https://www.frontiersin.org/articles/10.3389/fpubh.2015.00008/full","source":"Frontiers","title":"The Effect of Neighborhood Disadvantage on the Racial Disparity in Ovarian Cancer-Specific Survival in a Large Hospital-Based Study in Cook County, Illinois","volume":"3","author":[{"family":"Peterson","given":"Caryn E."},{"family":"Rauscher","given":"Garth H."},{"family":"Johnson","given":"Timothy P."},{"family":"Kirschner","given":"Carolyn V."},{"family":"Freels","given":"Sally"},{"family":"Barrett","given":"Richard E."},{"family":"Kim","given":"Seijeoung"},{"family":"Fitzgibbon","given":"Marian L."},{"family":"Joslin","given":"Charlotte E."},{"family":"Davis","given":"Faith G."}],"accessed":{"date-parts":[["2019",12,6]]},"issued":{"date-parts":[["2015"]]}},"label":"page"}],"schema":"https://github.com/citation-style-language/schema/raw/master/csl-citation.json"} </w:instrText>
      </w:r>
      <w:r w:rsidRPr="000C3278">
        <w:fldChar w:fldCharType="separate"/>
      </w:r>
      <w:r w:rsidRPr="000C3278">
        <w:t>(9,10,17,18)</w:t>
      </w:r>
      <w:r w:rsidRPr="000C3278">
        <w:fldChar w:fldCharType="end"/>
      </w:r>
      <w:r w:rsidRPr="000C3278">
        <w:t>.</w:t>
      </w:r>
    </w:p>
    <w:p w14:paraId="2AE3C704" w14:textId="19237227" w:rsidR="00486159" w:rsidRDefault="00486159" w:rsidP="00486159">
      <w:pPr>
        <w:pStyle w:val="Heading2"/>
      </w:pPr>
      <w:bookmarkStart w:id="19" w:name="_Toc145757029"/>
      <w:bookmarkStart w:id="20" w:name="_Toc145757264"/>
      <w:bookmarkStart w:id="21" w:name="_Toc145757471"/>
      <w:bookmarkStart w:id="22" w:name="_Toc148375746"/>
      <w:r>
        <w:t>Hypothesis</w:t>
      </w:r>
      <w:bookmarkEnd w:id="19"/>
      <w:bookmarkEnd w:id="20"/>
      <w:bookmarkEnd w:id="21"/>
      <w:bookmarkEnd w:id="22"/>
    </w:p>
    <w:p w14:paraId="435195FF" w14:textId="37D96AD2" w:rsidR="00486159" w:rsidRPr="000C3278" w:rsidRDefault="00486159" w:rsidP="00486159">
      <w:r w:rsidRPr="00486159">
        <w:t>I hypothesize that having been exposed to neighborhood disadvantage in the past will explain a significant portion of variation in CRC prognosis and mortality.</w:t>
      </w:r>
      <w:r w:rsidRPr="000C3278">
        <w:t xml:space="preserve"> I also expect to find that the effect of past neighborhood environment is partially mediated by the neighborhood environment at diagnosis, because many individuals will live in similar environments across the life course due to segregation. This study will provide information about how </w:t>
      </w:r>
      <w:r>
        <w:t xml:space="preserve">exposure to </w:t>
      </w:r>
      <w:r w:rsidRPr="000C3278">
        <w:lastRenderedPageBreak/>
        <w:t>neighborhood disadvantage at the time cancer is developing may influence present-day outcomes in a large nationally representative sample.</w:t>
      </w:r>
    </w:p>
    <w:p w14:paraId="53FBA95A" w14:textId="3FA8B185" w:rsidR="00CC647D" w:rsidRDefault="00CC647D" w:rsidP="00CC647D">
      <w:pPr>
        <w:pStyle w:val="Heading2"/>
      </w:pPr>
      <w:bookmarkStart w:id="23" w:name="_Toc145757030"/>
      <w:bookmarkStart w:id="24" w:name="_Toc145757265"/>
      <w:bookmarkStart w:id="25" w:name="_Toc145757472"/>
      <w:bookmarkStart w:id="26" w:name="_Toc148375747"/>
      <w:bookmarkEnd w:id="14"/>
      <w:r>
        <w:t>Study Aims</w:t>
      </w:r>
      <w:bookmarkEnd w:id="23"/>
      <w:bookmarkEnd w:id="24"/>
      <w:bookmarkEnd w:id="25"/>
      <w:bookmarkEnd w:id="26"/>
    </w:p>
    <w:p w14:paraId="45AF07D1" w14:textId="4EEC576D" w:rsidR="00CC647D" w:rsidRDefault="00486159" w:rsidP="00486159">
      <w:pPr>
        <w:pStyle w:val="Heading3"/>
      </w:pPr>
      <w:bookmarkStart w:id="27" w:name="_Toc145757031"/>
      <w:bookmarkStart w:id="28" w:name="_Toc145757266"/>
      <w:bookmarkStart w:id="29" w:name="_Toc145757473"/>
      <w:bookmarkStart w:id="30" w:name="_Toc148375748"/>
      <w:r>
        <w:t>Aim 1</w:t>
      </w:r>
      <w:bookmarkEnd w:id="27"/>
      <w:bookmarkEnd w:id="28"/>
      <w:bookmarkEnd w:id="29"/>
      <w:bookmarkEnd w:id="30"/>
    </w:p>
    <w:p w14:paraId="5BE2CFE8" w14:textId="002A2C9F" w:rsidR="00486159" w:rsidRDefault="00971D21" w:rsidP="00486159">
      <w:r w:rsidRPr="00971D21">
        <w:t>Evaluate the association between past neighborhood disadvantage and all cause mortality among people with cancer in the PSID cohort. Using PSID data will eliminate likely ascertainment bias from financial data sources, while providing rich supplementary information about residential histories including whether moves were voluntary.</w:t>
      </w:r>
    </w:p>
    <w:p w14:paraId="7F9479EF" w14:textId="57023ED6" w:rsidR="001C596E" w:rsidRDefault="001C596E" w:rsidP="001C596E">
      <w:pPr>
        <w:pStyle w:val="Heading3"/>
      </w:pPr>
      <w:bookmarkStart w:id="31" w:name="_Toc145757032"/>
      <w:bookmarkStart w:id="32" w:name="_Toc145757267"/>
      <w:bookmarkStart w:id="33" w:name="_Toc145757474"/>
      <w:bookmarkStart w:id="34" w:name="_Toc148375749"/>
      <w:r>
        <w:t>Aim 2</w:t>
      </w:r>
      <w:bookmarkEnd w:id="31"/>
      <w:bookmarkEnd w:id="32"/>
      <w:bookmarkEnd w:id="33"/>
      <w:bookmarkEnd w:id="34"/>
    </w:p>
    <w:p w14:paraId="0C318E95" w14:textId="01515C63" w:rsidR="001C596E" w:rsidRDefault="00971D21" w:rsidP="001C596E">
      <w:r w:rsidRPr="00971D21">
        <w:t>Conduct a mediation analysis to determine whether neighborhood disadvantage at diagnosis mediates the relationship between past neighborhood disadvantage and all cause mortality among people with cancer in the PSID cohort. This analysis will provide an initial estimate of whether residences in the distant past can affect present-day cancer outcomes; and if so, how much of their effect is contained in the address at diagnosis.</w:t>
      </w:r>
    </w:p>
    <w:p w14:paraId="2D7F8B17" w14:textId="44761FB6" w:rsidR="001C596E" w:rsidRDefault="001C596E" w:rsidP="001C596E">
      <w:pPr>
        <w:pStyle w:val="Heading3"/>
      </w:pPr>
      <w:bookmarkStart w:id="35" w:name="_Toc145757033"/>
      <w:bookmarkStart w:id="36" w:name="_Toc145757268"/>
      <w:bookmarkStart w:id="37" w:name="_Toc145757475"/>
      <w:bookmarkStart w:id="38" w:name="_Toc148375750"/>
      <w:r>
        <w:t>Aim 3</w:t>
      </w:r>
      <w:bookmarkEnd w:id="35"/>
      <w:bookmarkEnd w:id="36"/>
      <w:bookmarkEnd w:id="37"/>
      <w:bookmarkEnd w:id="38"/>
    </w:p>
    <w:p w14:paraId="02AB674E" w14:textId="1034E0AB" w:rsidR="001C596E" w:rsidRPr="001C596E" w:rsidRDefault="001C596E" w:rsidP="001C596E">
      <w:r>
        <w:t>Evaluate the association between neighborhood disadvantage in the past and CRC stage at diagnosis in a cohort of cases treated at UI Health. Conduct an exploratory mediation analysis to assess whether residential CD at diagnosis mediates this relationship.</w:t>
      </w:r>
    </w:p>
    <w:p w14:paraId="65F92DD6" w14:textId="56DDB912" w:rsidR="00CC647D" w:rsidRDefault="00CC647D" w:rsidP="00CC647D">
      <w:pPr>
        <w:pStyle w:val="Heading2"/>
      </w:pPr>
      <w:bookmarkStart w:id="39" w:name="_Toc145757034"/>
      <w:bookmarkStart w:id="40" w:name="_Toc145757269"/>
      <w:bookmarkStart w:id="41" w:name="_Toc145757476"/>
      <w:bookmarkStart w:id="42" w:name="_Toc148375751"/>
      <w:r>
        <w:t>Evidence Linking Segregation and Racial Cancer Inequities</w:t>
      </w:r>
      <w:bookmarkEnd w:id="39"/>
      <w:bookmarkEnd w:id="40"/>
      <w:bookmarkEnd w:id="41"/>
      <w:bookmarkEnd w:id="42"/>
    </w:p>
    <w:p w14:paraId="3FEF1AA9" w14:textId="2B8D845E" w:rsidR="008F4DD5" w:rsidRDefault="008F4DD5" w:rsidP="008F4DD5">
      <w:r w:rsidRPr="00EF4C6C">
        <w:t xml:space="preserve">Available evidence strongly suggests that unequal suffering and death due to CRC is preventable. In the US and globally, CRC burden varies both geographically and by economic development </w:t>
      </w:r>
      <w:r w:rsidRPr="00EF4C6C">
        <w:fldChar w:fldCharType="begin"/>
      </w:r>
      <w:r w:rsidR="00F85975">
        <w:instrText xml:space="preserve"> ADDIN ZOTERO_ITEM CSL_CITATION {"citationID":"7XkOcvvI","properties":{"formattedCitation":"(3,4)","plainCitation":"(3,4)","noteIndex":0},"citationItems":[{"id":1059,"uris":["http://zotero.org/users/1353333/items/WHHI8Y5P"],"itemData":{"id":1059,"type":"article-journal","abstract":"Colorectal cancer is one of the most common cancers worldwide. This Review provides a comprehensive summary of colorectal cancer epidemiology, with emphasis on modifiable lifestyle and nutritional factors, chemoprevention and screening.","container-title":"Nature Reviews Gastroenterology &amp; Hepatology","DOI":"10.1038/s41575-019-0189-8","ISSN":"1759-5053","journalAbbreviation":"Nat Rev Gastroenterol Hepatol","language":"en","license":"2019 Springer Nature Limited","page":"1-20","source":"www.nature.com","title":"Global burden of colorectal cancer: emerging trends, risk factors and prevention strategies","title-short":"Global burden of colorectal cancer","author":[{"family":"Keum","given":"NaNa"},{"family":"Giovannucci","given":"Edward"}],"issued":{"date-parts":[["2019",8,27]]}},"label":"page"},{"id":1058,"uris":["http://zotero.org/users/1353333/items/E2TUAI3N"],"itemData":{"id":1058,"type":"article-journal","abstract":"Objective The global burden of colorectal cancer (CRC) is expected to increase by 60% to more than 2.2 million new cases and 1.1 million deaths by 2030. In this study, we aim to describe the recent CRC incidence and mortality patterns and trends linking the findings to the prospects of reducing the burden through cancer prevention and care.\nDesign Estimates of sex-specific CRC incidence and mortality rates in 2012 were extracted from the GLOBOCAN database. Temporal patterns were assessed for 37 countries using data from Cancer Incidence in Five Continents (CI5) volumes I–X and the WHO mortality database. Trends were assessed via the annual percentage change using joinpoint regression and discussed in relation to human development levels.\nResults CRC incidence and mortality rates vary up to 10-fold worldwide, with distinct gradients across human development levels, pointing towards widening disparities and an increasing burden in countries in transition. Generally, CRC incidence and mortality rates are still rising rapidly in many low-income and middle-income countries; stabilising or decreasing trends tend to be seen in highly developed countries where rates remain among the highest in the world.\nConclusions Patterns and trends in CRC incidence and mortality correlate with present human development levels and their incremental changes might reflect the adoption of more western lifestyles. Targeted resource-dependent interventions, including primary prevention in low-income, supplemented with early detection in high-income settings, are needed to reduce the number of patients with CRC in future decades.","container-title":"Gut","DOI":"10.1136/gutjnl-2015-310912","ISSN":"0017-5749, 1468-3288","issue":"4","language":"en","license":"Published by the BMJ Publishing Group Limited. For permission to use (where not already granted under a licence) please go to http://www.bmj.com/company/products-services/rights-and-licensing/","note":"PMID: 26818619","page":"683-691","source":"gut.bmj.com","title":"Global patterns and trends in colorectal cancer incidence and mortality","volume":"66","author":[{"family":"Arnold","given":"Melina"},{"family":"Sierra","given":"Mónica S."},{"family":"Laversanne","given":"Mathieu"},{"family":"Soerjomataram","given":"Isabelle"},{"family":"Jemal","given":"Ahmedin"},{"family":"Bray","given":"Freddie"}],"issued":{"date-parts":[["2017",4,1]]}},"label":"page"}],"schema":"https://github.com/citation-style-language/schema/raw/master/csl-citation.json"} </w:instrText>
      </w:r>
      <w:r w:rsidRPr="00EF4C6C">
        <w:fldChar w:fldCharType="separate"/>
      </w:r>
      <w:r w:rsidRPr="00EF4C6C">
        <w:t>(3,4)</w:t>
      </w:r>
      <w:r w:rsidRPr="00EF4C6C">
        <w:fldChar w:fldCharType="end"/>
      </w:r>
      <w:r w:rsidRPr="00EF4C6C">
        <w:t>.</w:t>
      </w:r>
      <w:r>
        <w:t xml:space="preserve"> Non-Hispanic </w:t>
      </w:r>
      <w:r w:rsidR="00F350B7">
        <w:t>B</w:t>
      </w:r>
      <w:r>
        <w:t>lack</w:t>
      </w:r>
      <w:r w:rsidR="00F860C1">
        <w:t xml:space="preserve"> people</w:t>
      </w:r>
      <w:r>
        <w:t xml:space="preserve"> are unfairly burdened at every stage of the cancer continuum: they experience higher incidence than white</w:t>
      </w:r>
      <w:r w:rsidR="00F350B7">
        <w:t xml:space="preserve"> people</w:t>
      </w:r>
      <w:r>
        <w:t xml:space="preserve">, are less likely to be screened or referred for screening, are diagnosed at later stages, are less likely to be referred for appropriate </w:t>
      </w:r>
      <w:r>
        <w:lastRenderedPageBreak/>
        <w:t xml:space="preserve">treatment, and are more likely to die from their cancer </w:t>
      </w:r>
      <w:r>
        <w:fldChar w:fldCharType="begin"/>
      </w:r>
      <w:r w:rsidR="006502FC">
        <w:instrText xml:space="preserve"> ADDIN ZOTERO_ITEM CSL_CITATION {"citationID":"hU5cRxnw","properties":{"formattedCitation":"(1,19\\uc0\\u8211{}26)","plainCitation":"(1,19–26)","noteIndex":0},"citationItems":[{"id":1018,"uris":["http://zotero.org/users/1353333/items/4ABY2HDM"],"itemData":{"id":1018,"type":"report","event-place":"Atlanta,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Society"}],"issued":{"date-parts":[["2017"]]}},"label":"page"},{"id":572,"uris":["http://zotero.org/users/1353333/items/2N24HM36"],"itemData":{"id":572,"type":"article-journal","abstract":"African Americans are disproportionately burdened with colorectal cancer. Although incidence and mortality rates have declined in the past two decades, the disparity in health outcomes has progressively increased. This comprehensive review examines the existing literature regarding racial disparities in colorectal cancer screening, stage at diagnosis, and treatment to determine if differences exist in the quality of care delivered to African Americans. A comprehensive review of relevant literature was performed. Two databases (EBSCOHOST Academic Search Premier and Scopus) were searched from 2000 to 2007. Articles that assessed racial disparities in colorectal cancer screening, stage of disease at diagnosis, and treatment were selected. The majority of studies identified examined colorectal cancer screening outcomes. Although racial disparities in screening have diminished in recent years, African American men and women continue to have higher colorectal cancer incidence and mortality rates and are diagnosed at more advanced stages. Several studies regarding stage of disease at diagnosis identified socioeconomic status (SES) and health insurance status as major determinants of disparity. However, some studies found significant racial disparities even after controlling for these factors. Racial disparities in treatment were also found at various diagnostic stages. Many factors affecting disparities between African Americans and Whites in colorectal cancer incidence and mortality remain unexplained. Although the importance of tumor biology, genetics, and lifestyle risk factors have been established, prime sociodemographic factors need further examination to understand variances in the care of African Americans diagnosed with colorectal cancer.","container-title":"Journal of Psychosocial Oncology","DOI":"10.1080/07347330802614840","ISSN":"1540-7586","issue":"1","journalAbbreviation":"J Psychosoc Oncol","language":"eng","note":"PMID: 19197679","page":"59-83","source":"PubMed","title":"Examining racial disparities in colorectal cancer care","volume":"27","author":[{"family":"Berry","given":"Jamillah"},{"family":"Bumpers","given":"Kevin"},{"family":"Ogunlade","given":"Vickie"},{"family":"Glover","given":"Roni"},{"family":"Davis","given":"Sharon"},{"family":"Counts-Spriggs","given":"Margaret"},{"family":"Kauh","given":"John"},{"family":"Flowers","given":"Christopher"}],"issued":{"date-parts":[["2009"]]}},"label":"page"},{"id":1057,"uris":["http://zotero.org/users/1353333/items/593GRS2J"],"itemData":{"id":1057,"type":"article-journal","abstract":"INTRODUCTION: Although African Americans have the highest incidence and mortality from colorectal cancer (CRC), they are less likely than other racial groups to undergo CRC screening. Previous research has identified barriers to CRC screening among African Americans. However we lack a systematic review that synthesizes contributing factors and informs interventions to address persistent disparities.\nMETHODS: We conducted a systematic review to evaluate barriers to colonoscopic CRC screening in African Americans. We developed a conceptual model to summarize the patient-, provider-, and system-level barriers and suggest strategies to address these barriers.\nRESULTS: Nineteen studies met inclusion criteria. Patient barriers to colonoscopy included fear, poor knowledge of CRC risk, and low perceived benefit of colonoscopy. Provider-level factors included failure to recommend screening and knowledge deficits about guidelines and barriers to screening. System barriers included financial obstacles, lack of insurance and access to care, and intermittent primary care visits.\nCONCLUSIONS: There are modifiable barriers to colonoscopic CRC screening among African Americans. Future interventions should confront patient fear, patient and physician knowledge about barriers, and access to healthcare services. As the Affordable Care Act aims to improve uptake of preventive services, focused interventions to increase CRC screening in African Americans are essential and timely.","container-title":"Preventive Medicine","DOI":"10.1016/j.ypmed.2014.11.022","ISSN":"1096-0260","journalAbbreviation":"Prev Med","language":"eng","note":"PMID: 25481094\nPMCID: PMC4329030","page":"40-48","source":"PubMed","title":"Explaining persistent under-use of colonoscopic cancer screening in African Americans: a systematic review","title-short":"Explaining persistent under-use of colonoscopic cancer screening in African Americans","volume":"71","author":[{"family":"Bromley","given":"Erica G."},{"family":"May","given":"Folasade P."},{"family":"Federer","given":"Lisa"},{"family":"Spiegel","given":"Brennan M. R."},{"family":"Oijen","given":"Martijn G. H.","non-dropping-particle":"van"}],"issued":{"date-parts":[["2015",2]]}},"label":"page"},{"id":89,"uris":["http://zotero.org/users/1353333/items/2SIXPGS2"],"itemData":{"id":89,"type":"article-journal","abstract":"Background \nAvailable cancer statistics pertain primarily to white and African American populations. This study describes racial or ethnic patterns of cancer-specific survival and relative risks (RRs) of cancer death for all cancers combined and for cancers of the colon and rectum, lung and bronchus, prostate, and female breast for the 6 major US racial or ethnic groups.Methods\nCancer-specific survival rates were analyzed for more than 1.78 million patients who resided in the 9 SEER (Surveillance, Epidemiology, and End Results) Program geographic areas and were diagnosed between 1975 and 1997 as having an incident invasive cancer, by 6 racial or ethnic groups (non-Hispanic whites, Hispanic whites, African Americans, Asian Americans, Hawaiian natives, and American Indians and Alaskan natives).Results\nSurvival rates improved between 1988 to 1997 for virtually all racial or ethnic groups. However, racial or ethnic differences in RRs of cancer death persisted after controlling for age for all cancers combined and for age and stage for specific cancer sites (P&lt;.01). African American, American Indian and Alaskan native, and Hawaiian native patients tended to have higher RRs of cancer death than the other groups. American Indians and Alaskan natives generally exhibited the highest RRs of cancer death, except for colorectal cancer in males.Conclusions\nSurvival rates in patients with cancer have improved in recent years, but racial or ethnic differences in survival rates and in RRs of cancer death persist. Additional studies are needed to clarify the socioeconomic, medical, biological, cultural, and other determinants of these findings.","container-title":"Archives of Internal Medicine","DOI":"10.1001/archinte.162.17.1985","ISSN":"0003-9926","issue":"17","journalAbbreviation":"Arch Intern Med","page":"1985-1993","source":"Silverchair","title":"Cancer survival among us whites and minorities: A seer (surveillance, epidemiology, and end results) program population-based study","title-short":"Cancer survival among us whites and minorities","volume":"162","author":[{"family":"Clegg","given":"LX"},{"family":"Li","given":"FP"},{"family":"Hankey","given":"BF"},{"family":"Chu","given":"K"},{"family":"Edwards","given":"BK"}],"issued":{"date-parts":[["2002",9,23]]}},"label":"page"},{"id":565,"uris":["http://zotero.org/users/1353333/items/NBWCMGSX"],"itemData":{"id":565,"type":"article-journal","abstract":"This study examined surgery for colorectal cancer among Medicare beneficiaries 65 years of age or older with an initial diagnosis in 1987 (n = 81 579). Black patients were less likely than White to undergo surgical resection (68% vs 78%), even after age, comorbidity, and location and extent of tumor were controlled for. Among those who underwent resection, Black patients were more likely to die (a 2-year mortality rate of 40.0% vs 33.5% in White patients); this disparity also remained after confounders had been controlled. The disparities were similar in teaching and nonteaching hospitals and in private and public hospitals. These data may indicate racially based differences among Medicare beneficiaries in access to and quality of care for colorectal cancer.","container-title":"American Journal of Public Health","ISSN":"0090-0036","issue":"4","journalAbbreviation":"Am J Public Health","note":"PMID: 8604797\nPMCID: PMC1380567","page":"582-586","source":"PubMed Central","title":"Surgery for colorectal cancer: Race-related differences in rates and survival among Medicare beneficiaries.","title-short":"Surgery for colorectal cancer","volume":"86","author":[{"family":"Cooper","given":"G S"},{"family":"Yuan","given":"Z"},{"family":"Landefeld","given":"C S"},{"family":"Rimm","given":"A A"}],"issued":{"date-parts":[["1996",4]]}},"label":"page"},{"id":569,"uris":["http://zotero.org/users/1353333/items/K5I28DCZ"],"itemData":{"id":569,"type":"article-journal","abstract":"Purpose\nTo evaluate black to white differences in treatment for colorectal cancer.\nMethods\nOnly whites or blacks diagnosed with colon or rectal cancer between 1988 and 1997 were identified from SEER database.\nResults\nA total of 106,377 (91.3% white, 50.5% male) patients formed the study population. The vast majority of these patients received standard cancer treatment. Although the number of subjects who did not receive such treatment was small, their proportion was higher among blacks than among whites. The odds of non-receipt of surgical treatment was higher among blacks than whites for stage I (OR = 2.08, 95% CI, 1.41, 3.03 among males; OR = 2.38, 95% CI, 1.69, 3.45 among females) and stage IV colon cancer (OR = 1.25, 95% CI, 1.01, 1.56 among males; OR = 1.41; 95% CI, 1.14, 1.72 among females). A similar pattern was also seen for most stages of rectal cancer.\nConclusions\nMost black and white colorectal cancer patients received standard treatment. Although the number of subjects without standard treatment was small, their proportion was higher among blacks than among whites. Blacks were also more likely to refuse recommended treatment. Efforts in educating black patients about the benefits of treatment may help to eliminate the remaining racial disparity.","container-title":"Annals of Epidemiology","DOI":"10.1016/j.annepidem.2003.08.002","ISSN":"1047-2797","issue":"3","journalAbbreviation":"Annals of Epidemiology","page":"215-221","source":"ScienceDirect","title":"Racial differences in the treatment of colorectal cancer: a comparison of surgical and radiation therapy between Whites and Blacks","title-short":"Racial differences in the treatment of colorectal cancer","volume":"14","author":[{"family":"Demissie","given":"Kitaw"},{"family":"Oluwole","given":"Olalekan O"},{"family":"Balasubramanian","given":"Bijal A"},{"family":"Osinubi","given":"Omowunmi O"},{"family":"August","given":"David"},{"family":"Rhoads","given":"George G"}],"issued":{"date-parts":[["2004",3]]}},"label":"page"},{"id":578,"uris":["http://zotero.org/users/1353333/items/HN7AAACT"],"itemData":{"id":578,"type":"article-journal","abstract":"BACKGROUND\nAfrican-American (AA) patients with colorectal carcinoma have a worse prognosis compared with Caucasians. To analyze the causes of this disparity in survival, a retrospective study of patients with colorectal carcinoma was undertaken. The impact of treatments received and the role of socioeconomic factors such as income, education, and poverty levels were studied.\nMETHODS\nA retrospective analysis of patients with colorectal carcinoma at a single institution was conducted. The overall survival of AA and Caucasians, stage at presentation, treatment received, and socioeconomic factors were analyzed using the institutional tumor registry and 1990 census data.\nRESULTS\nThe overall survival of AA patients was worse compared with Caucasians, both due to all causes (P &lt; 0.001) and cancer-related deaths (P &lt; 0.001). The relative risk of death due to all causes was 1.4 (95% confidence interval [CI] 1.2–1.8) for AA, 4.3 for patients with Stage IV disease (95% CI 3.2–5.7), and 2.3 for patients not undergoing surgery (95% CI 1.7–3.1). After multivariate adjustment for gender, site, socioeconomic factors, and therapeutic modalities, the relative risks for death were 1.5 (95% CI 1.2) for AA, 1.4 (95% CI 1.1–1.7) for patients 60 years of age or older, and 4.2 (95% CI 3.4–5.2) for Stage IV disease. The survival difference between AA and Caucasians was not influenced by income, poverty level, and education. African Americans were treated less frequently with chemotherapy and radiation therapy compared with their Caucasian counterparts.\nCONCLUSIONS\nAfrican American patients with colorectal carcinoma have a poorer prognosis compared with Caucasians. This discrepancy may be due to decreased utilization of chemotherapy and radiation therapy. Socioeconomic factors and lack of access to health care do not entirely explain the worse prognosis of AA. These factors should be identified and dealt with to improve the health care of AA patients with various malignant disorders. Cancer 2003;97:493–8. © 2003 American Cancer Society.DOI 10.1002/cncr.11067","container-title":"Cancer","DOI":"10.1002/cncr.11067","ISSN":"1097-0142","issue":"2","journalAbbreviation":"Cancer","language":"en","license":"Copyright © 2003 American Cancer Society","page":"493-498","source":"Wiley Online Library","title":"Racial differences in the outcome of patients with colorectal carcinoma","volume":"97","author":[{"family":"Govindarajan","given":"Rangaswamy"},{"family":"Shah","given":"Rajesh V."},{"family":"Erkman","given":"Linda G."},{"family":"Hutchins","given":"Laura F."}],"issued":{"date-parts":[["2003",1,15]]}},"label":"page"},{"id":359,"uris":["http://zotero.org/users/1353333/items/JZB4G6SQ"],"itemData":{"id":359,"type":"article-journal","abstract":"Background\nRacial difference in cancer-related mortality has been described in epidemiological studies and evidence points towards higher mortalities in the minorities. To determine the magnitude of racial disparities and sex differences in GI cancer-related mortalities in the US population, we analyzed the data using the third National Health and Nutrition Examination Survey (NHANES III) and related mortality data files.\n\nMethods\nNHANES III and its related public linked mortality files were used for this study. Our study cohort included subjects who were ≥18 years and were part of the longitudinal mortality follow-up database. The overall GI cancers related mortality was calculated using combined mortality from malignant neoplasm of esophagus, stomach, colon, liver and pancreas. The evaluation of independent predictors of overall GI cancer-related mortality and of each individual GI cancer was carried out using the Cox proportional hazards model.\n\nResults\nA total of 13,221 individuals were included in the analyses with the average person year follow-up of 13.9 years. During the follow-up period, 4,146 subjects died. Of these, 199 were from GI-related cancers. Non-Hispanic black (NHB) had significantly higher overall GI-cancer related mortality compared to non-Hispanic white (NHW, adjusted hazard ratio, aHR: 2.31, 95 % CI 1.57–3.38, p &lt; 0.001). Subgroup analyses by sex demonstrated higher mortality from gastric, colorectal and primary liver cancer related mortality in NHB men compared to NHW men. Esophageal and pancreatic cancer mortalities were higher in NHB women compared to NHW women.\n\nConclusion\nOverall GI cancer-related mortality is significantly higher among NHB compared to NHW in the US population.","container-title":"Digestive diseases and sciences","DOI":"10.1007/s10620-012-2312-3","ISSN":"0163-2116","issue":"1","journalAbbreviation":"Dig Dis Sci","note":"PMID: 22797822\nPMCID: PMC3632293","page":"236-243","source":"PubMed Central","title":"Racial Disparities in Gastrointestinal Cancers-Related Mortality in the US Population","volume":"58","author":[{"family":"Jinjuvadia","given":"Raxitkumar"},{"family":"Jinjuvadia","given":"Kartikkumar"},{"family":"Liangpunsakul","given":"Suthat"}],"issued":{"date-parts":[["2013",1]]}},"label":"page"},{"id":361,"uris":["http://zotero.org/users/1353333/items/T9P7CRPX"],"itemData":{"id":361,"type":"article-journal","abstract":"Background: African-Americans are more likely than Caucasians to be diagnosed at an advanced stage of colorectal, lung, breast, cervical, and prostate cancers. This study explores if racial differences in stage at diagnosis can be explained by socioeconomic status (SES) differences. Previous studies investigating this association have used aggregate SES indicators from census tract of residence; we used census block-group data, representing a smaller, potentially more homogenous group. Methods: We included all African-American and Caucasian invasive cancers of the colon and rectum, lung and bronchus, female breast, cervix uteri, and prostate that were diagnosed between January 1, 1988 and December 31, 1992 in the Detroit area. Stage of disease at diagnosis was grouped as local or non-local. An SES value was calculated for each case using aggregate 1990 US Census data for education, poverty status, and occupation specific to each case's census block-group. Logistic regression analysis was used to model the probability of non-local stage using SES, race, age group, and sex as covariates. Results: SES was an independent predictor of stage at diagnosis for each cancer site, with cases from the highest SES block-group more likely to present with local stage disease than those from the lowest SES group. Race independently predicted stage only for breast and prostate cancers; African-Americans presented with more advanced stage than Caucasians. Conclusions: Based on census block-group aggregate data, SES is an important predictor of stage at diagnosis, most likely accounting for much of the disparity in stage between African-Americans and Caucasians for colorectal, lung, and cervical cancers. Biological factors may play a role in racial disparities for breast and prostate cancer stage at diagnosis.","container-title":"Cancer Causes &amp; Control","DOI":"10.1023/A:1026321923883","ISSN":"0957-5243, 1573-7225","issue":"8","journalAbbreviation":"Cancer Causes Control","language":"en","page":"761-766","source":"link.springer.com.proxy.cc.uic.edu","title":"Race, socioeconomic status and stage at diagnosis for five common malignancies","volume":"14","author":[{"family":"Schwartz","given":"Kendra L."},{"family":"Crossley-May","given":"Heather"},{"family":"Vigneau","given":"Fawn D."},{"family":"Brown","given":"Karl"},{"family":"Banerjee","given":"Mousumi"}],"issued":{"date-parts":[["2003",10,1]]}},"label":"page"}],"schema":"https://github.com/citation-style-language/schema/raw/master/csl-citation.json"} </w:instrText>
      </w:r>
      <w:r>
        <w:fldChar w:fldCharType="separate"/>
      </w:r>
      <w:r w:rsidRPr="00EC17A0">
        <w:rPr>
          <w:szCs w:val="24"/>
        </w:rPr>
        <w:t>(1,19–26)</w:t>
      </w:r>
      <w:r>
        <w:fldChar w:fldCharType="end"/>
      </w:r>
      <w:r>
        <w:t xml:space="preserve">. No genetic or biological factor can explain the severity of today’s inequities, which are only about 40 years old. Once diagnosed with CRC, non-Hispanic </w:t>
      </w:r>
      <w:r w:rsidR="00F350B7">
        <w:t>B</w:t>
      </w:r>
      <w:r>
        <w:t xml:space="preserve">lack and white patients respond similarly to appropriate treatment </w:t>
      </w:r>
      <w:r>
        <w:fldChar w:fldCharType="begin"/>
      </w:r>
      <w:r w:rsidR="006502FC">
        <w:instrText xml:space="preserve"> ADDIN ZOTERO_ITEM CSL_CITATION {"citationID":"Qfb8wrqS","properties":{"formattedCitation":"(1)","plainCitation":"(1)","noteIndex":0},"citationItems":[{"id":1018,"uris":["http://zotero.org/users/1353333/items/4ABY2HDM"],"itemData":{"id":1018,"type":"report","event-place":"Atlanta,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Society"}],"issued":{"date-parts":[["2017"]]}}}],"schema":"https://github.com/citation-style-language/schema/raw/master/csl-citation.json"} </w:instrText>
      </w:r>
      <w:r>
        <w:fldChar w:fldCharType="separate"/>
      </w:r>
      <w:r w:rsidRPr="00EC17A0">
        <w:t>(1)</w:t>
      </w:r>
      <w:r>
        <w:fldChar w:fldCharType="end"/>
      </w:r>
      <w:r>
        <w:t xml:space="preserve">. In equal access health systems, racial disparities in screening, treatment, and survival are reduced or eliminated </w:t>
      </w:r>
      <w:r>
        <w:fldChar w:fldCharType="begin"/>
      </w:r>
      <w:r w:rsidR="00F85975">
        <w:instrText xml:space="preserve"> ADDIN ZOTERO_ITEM CSL_CITATION {"citationID":"T4OSKVlN","properties":{"formattedCitation":"(27\\uc0\\u8211{}31)","plainCitation":"(27–31)","noteIndex":0},"citationItems":[{"id":502,"uris":["http://zotero.org/users/1353333/items/DPFBD7SN"],"itemData":{"id":502,"type":"article-journal","abstract":"Background\nPopulation-based studies from Medicare and privately insured individuals have consistently identified lower rates of colorectal cancer-screening tests among African-American versus white individuals. The purpose of this study was to evaluate whether, at a Veterans Affairs (VA) medical center, similar racial/ethnic differences in colorectal cancer screening could be identified.\nMethods\nStudy participants were male veterans, aged ≥50, attending a general medicine clinic in a VA hospital, who had not had either a fecal occult blood test (FOBT) within the past year or a flexible sigmoidoscopy/colonoscopy within the past 5 years. Based on review of electronic medical records, rates of physician recommendation for FOBT, flexible sigmoidoscopy, or colonoscopy, and patient completion of these tests were obtained and compared by race/ethnicity.\nResults\nSixty percent of 1599 veterans had not undergone recent colorectal cancer screening. Physicians recommended colorectal screening tests equally among African-American and white patients (71.0% vs 68.2%, p=0.44). African-American patients were 1.3 times more likely than white patients to receive colorectal screening procedures (36.3% vs 28.9%, p=0.03).\nConclusions\nIn contrast to other settings, in a general medicine clinic at a VA hospital, rates of colorectal cancer-screening tests were not lower for African-American patients compared to white patients.","container-title":"American Journal of Preventive Medicine","DOI":"10.1016/j.amepre.2005.02.002","ISSN":"0749-3797","issue":"5","journalAbbreviation":"American Journal of Preventive Medicine","page":"479-482","source":"ScienceDirect","title":"Colorectal Cancer Screening Among African-American and White Male Veterans","volume":"28","author":[{"family":"Dolan","given":"Nancy C."},{"family":"Ferreira","given":"M. Rosario"},{"family":"Fitzgibbon","given":"Marian L."},{"family":"Davis","given":"Terry C."},{"family":"Rademaker","given":"Alfred W."},{"family":"Liu","given":"Dachao"},{"family":"Lee","given":"June"},{"family":"Wolf","given":"Michael"},{"family":"Schmitt","given":"Brian P."},{"family":"Bennett","given":"Charles L."}],"issued":{"date-parts":[["2005",6]]}},"label":"page"},{"id":505,"uris":["http://zotero.org/users/1353333/items/9ZXBM6UQ"],"itemData":{"id":505,"type":"article-journal","abstract":"BACKGROUND\nThe aim of this study was to assess the influence of race on the treatment and survival of patients with colorectal carcinoma.\nMETHODS\nThis retrospective cohort study included all white or black male veterans given a new diagnosis of colorectal carcinoma in 1989 at Veterans Affairs Medical Centers nationwide. After adjusting for patient demographics, comorbidity, distant metastases, and tumor location, the authors determined the likelihood of surgical resection, chemotherapy, radiation therapy, and death in each case.\nRESULTS\nOf the 3176 veterans identified, 569 (17.9%) were black. Bivariate analyses and logistic regression revealed no significant differences in the proportions of patients undergoing surgical resection (70% vs. 73%, odds ratio 0.92, 95% confidence interval 0.74-1.15), chemotherapy (23% vs. 23%, odds ratio 0.99, 95% confidence interval 0.78-1.24), or radiation therapy (17% vs. 16%, odds ratio 1.10, 95% confidence interval 0.85-1.43) for black versus white patients. Five-year relative survival rates were similar for black and white patients (42% vs. 39%, respectively; P = 0.16), though the adjusted mortality risk ratio was modestly increased (risk ratio 1.13, 95% confidence interval 1.01-1.28).\nCONCLUSIONS\nOverall, race was not associated with the use of surgery, chemotherapy, or radiation therapy in the treatment of colorectal carcinoma among veterans seeking health care at Veterans Affairs Medical Centers. Although mortality from all causes was higher among black veterans with colorectal carcinoma, this finding may be attributed to underlying racial differences associated with survival. This study suggests that when there is equal access to care, there are no differences with regard to race.  Cancer 1998;82:2312-2320. © 1998 American Cancer Society.","container-title":"Cancer","DOI":"10.1002/(SICI)1097-0142(19980615)82:12&lt;2312::AID-CNCR3&gt;3.0.CO;2-U","ISSN":"1097-0142","issue":"12","journalAbbreviation":"Cancer","language":"en","license":"Copyright © 1998 American Cancer Society","page":"2312-2320","source":"Wiley Online Library","title":"Race, treatment, and survival among colorectal carcinoma patients in an equal-access medical system","volume":"82","author":[{"family":"Dominitz","given":"Jason A."},{"family":"Samsa","given":"Gregory P."},{"family":"Landsman","given":"Pamela"},{"family":"Provenzale","given":"Dawn"}],"issued":{"date-parts":[["1998",6,15]]}},"label":"page"},{"id":574,"uris":["http://zotero.org/users/1353333/items/GE6PQG5U"],"itemData":{"id":574,"type":"article-journal","abstract":"Background\nEthnicity is implicated as a factor for disparate outcomes in colorectal cancer. We sought to evaluate this relationship at a military medical center organized to deliver equitable health care.\nMethods\nRetrospective analysis of colorectal cancer patients comparing demographics, grade, American Joint Committee on Cancer (AJCC) stage, and adjuvant therapy.\nResults\nFrom January 1994 to January 2004, 398 patients were treated with colorectal cancer (74 [19%] nonwhites). Comparatively, nonwhites were younger and had fewer stage II tumors with a increased proportion of stage III tumors (P &amp;lt; .01). With a median follow-up period of 52 (0–151) months, there were no disparities in surgical resection, adjuvant therapy, or disease recurrence. Kaplan-Meier analysis revealed no disparity in disease-free and cancer-specific survival (P = .585 and P = .132); Cox regression revealed increased age and AJCC stage III as the only independent predictors of lower survival (P &amp;lt; .05).\nConclusions\nEthnicity was associated with differences in age and AJCC stage at presentation. In an equitable health care system, these differences did not impact patients' treatment or survival.","container-title":"The American Journal of Surgery","DOI":"10.1016/j.amjsurg.2008.01.017","ISSN":"0002-9610","issue":"4","journalAbbreviation":"The American Journal of Surgery","page":"485-490","source":"ScienceDirect","title":"Race does not impact colorectal cancer treatment or outcomes with equal access","volume":"197","author":[{"family":"Hassan","given":"Monique O."},{"family":"Arthurs","given":"Zachary"},{"family":"Sohn","given":"Vance Y."},{"family":"Steele","given":"Scott R."}],"issued":{"date-parts":[["2009",4]]}},"label":"page"},{"id":744,"uris":["http://zotero.org/users/1353333/items/N8XH3KEU"],"itemData":{"id":744,"type":"article-journal","abstract":"Background\nIn the general US population, blacks and whites have been shown to undergo colon cancer treatment at disproportionate rates. Accessibility to medical care may be the most important factor influencing differences in colon cancer treatment among whites and blacks.\n\nObjective\nThis study assessed whether racial disparities in colon cancer surgery and chemotherapy existed in an equal-access healthcare system. Additionally, we sought to examine whether racial differences varied by demographic and tumor characteristics.\n\nDesign and Setting\nDatabase research using the United States Department of Defense’s (DoD) Military Health System.\n\nPatients\nPatients included 2,560 Non-Hispanic Whites (NHW) and Non-Hispanic Blacks (NHB) with colon cancer diagnosed from 1998 to 2007.\n\nMain Outcome Measures\nLogistic regression was used to assess the associations between race and the receipt of colon cancer surgery or chemotherapy, while controlling for available potential confounders, both overall and stratified by age at diagnosis, sex, and tumor stage.\n\nResults\nAfter multivariate adjustment, the odds of receiving colon cancer surgery or chemotherapy NHBs versus NHWs were similar (OR: 0.75, 95% CI: 0.37–1.53; OR: 0.79, 95% CI: 0.59–1.04; respectively). Additionally, no effect modification by age at diagnosis, sex, and tumor stage were observed.\n\nLimitations\nTreatment data might not be complete for beneficiaries who also had non-DoD health insurance.\n\nConclusions\nWhen access to medical care is equal, racial disparities in the provision of colon cancer surgery and chemotherapy were not apparent. Thus, it is possible that the inequalities in access to care play a major role in the racial disparities seen in colon cancer treatment in the general population.","container-title":"Diseases of the colon and rectum","DOI":"10.1097/DCR.0000000000000177","ISSN":"0012-3706","issue":"9","journalAbbreviation":"Dis Colon Rectum","note":"PMID: 25101601\nPMCID: PMC4126203","page":"1059-1065","source":"PubMed Central","title":"Colon cancer treatment: Are there racial disparities in an equal-access healthcare system?","title-short":"Colon cancer treatment","volume":"57","author":[{"family":"Gill","given":"Abegail A."},{"family":"Enewold","given":"Lindsey"},{"family":"Zahm","given":"Shelia H."},{"family":"Shriver","given":"Craig D."},{"family":"Stojadinovic","given":"Alexander"},{"family":"McGlynn","given":"Katherine A."},{"family":"Zhu","given":"Kangmin"}],"issued":{"date-parts":[["2014",9]]}},"label":"page"},{"id":501,"uris":["http://zotero.org/users/1353333/items/TCAFIPVQ"],"itemData":{"id":501,"type":"article-journal","abstract":"OBJECTIVES: A recent analysis based on data from the Surveillance, Epidemiology, and End Results (SEER) Program of the National Cancer Institute indicates that no survival benefit occurred, for white or for black individuals, in colorectal cancer diagnosed during 1986-1997, and that blacks fared worse than whites. The objective of this research was to evaluate recent temporal trends in the survival of patients with colorectal cancer admitted to hospitals in the Veterans Affairs (VA) system, which offers equal access to care and facilitates systemwide implementation of prevention and treatment services.\nMETHODS: This research was a cohort study of patients admitted to all VA hospitals with a new diagnosis of colorectal cancer between October, 1987, and September, 1998, and followed through September, 2001. Temporal changes in observed 5-yr survival were evaluated for the periods 1987-1989, 1990-1992, 1993-1995, and 1996-1998. Cumulative survival was obtained from Kaplan-Meier estimates, whereas adjusted risk of death was calculated using a Cox proportional hazards model. Adjustment was made for differences in patient characteristics, including comorbidity.\nRESULTS: We identified 46,044 individuals with colorectal cancer in VA hospitals during 1987-1998, 98.5% of whom were men. The mean age was 67.7 yr, and the two largest racial/ethnic groups were whites (76.5%) and blacks (17.1%). Significant differences in survival were seen over time (p &lt; 0.001, log rank test) with longer survival in patients diagnosed in the more recent time periods. In the multivariable Cox model, survival showed an 18% increase over time (1987-1998) after adjusting for differences in age, race, comorbidity, cancer site, and extent of disease. There was a small but statistically significant decrease in chance of survival in blacks compared with whites (adjusted relative survival 0.96, 95% CI = 0.92-0.99).\nCONCLUSIONS: Recent non-VA studies have shown stable survival for colorectal cancer patients over time, coupled with significantly decreased survival for blacks compared with whites. In contrast, in the VA system, survival has improved for both white and black patients; in addition, the racial discrepancy in survival is markedly attenuated. These results suggest that the benefits of prevention and treatment advances may be more readily achieved in the VA's equal access, integrated health care system.","container-title":"The American Journal of Gastroenterology","DOI":"10.1111/j.1572-0241.2003.07448.x","ISSN":"0002-9270","issue":"5","journalAbbreviation":"Am. J. Gastroenterol.","language":"eng","note":"PMID: 12809847","page":"1186-1192","source":"PubMed","title":"Survival of colorectal cancer patients hospitalized in the Veterans Affairs Health Care System","volume":"98","author":[{"family":"Rabeneck","given":"Linda"},{"family":"Souchek","given":"Julianne"},{"family":"El-Serag","given":"Hashem B."}],"issued":{"date-parts":[["2003",5]]}},"label":"page"}],"schema":"https://github.com/citation-style-language/schema/raw/master/csl-citation.json"} </w:instrText>
      </w:r>
      <w:r>
        <w:fldChar w:fldCharType="separate"/>
      </w:r>
      <w:r w:rsidRPr="00EC17A0">
        <w:rPr>
          <w:szCs w:val="24"/>
        </w:rPr>
        <w:t>(27–31)</w:t>
      </w:r>
      <w:r>
        <w:fldChar w:fldCharType="end"/>
      </w:r>
      <w:r>
        <w:t>.</w:t>
      </w:r>
      <w:r w:rsidRPr="003C3D11">
        <w:t xml:space="preserve"> This pattern has also been observed in use of screening and in other cancer sites </w:t>
      </w:r>
      <w:r w:rsidRPr="003C3D11">
        <w:fldChar w:fldCharType="begin"/>
      </w:r>
      <w:r w:rsidR="00F85975">
        <w:instrText xml:space="preserve"> ADDIN ZOTERO_ITEM CSL_CITATION {"citationID":"WzBktcaF","properties":{"formattedCitation":"(27,32)","plainCitation":"(27,32)","noteIndex":0},"citationItems":[{"id":502,"uris":["http://zotero.org/users/1353333/items/DPFBD7SN"],"itemData":{"id":502,"type":"article-journal","abstract":"Background\nPopulation-based studies from Medicare and privately insured individuals have consistently identified lower rates of colorectal cancer-screening tests among African-American versus white individuals. The purpose of this study was to evaluate whether, at a Veterans Affairs (VA) medical center, similar racial/ethnic differences in colorectal cancer screening could be identified.\nMethods\nStudy participants were male veterans, aged ≥50, attending a general medicine clinic in a VA hospital, who had not had either a fecal occult blood test (FOBT) within the past year or a flexible sigmoidoscopy/colonoscopy within the past 5 years. Based on review of electronic medical records, rates of physician recommendation for FOBT, flexible sigmoidoscopy, or colonoscopy, and patient completion of these tests were obtained and compared by race/ethnicity.\nResults\nSixty percent of 1599 veterans had not undergone recent colorectal cancer screening. Physicians recommended colorectal screening tests equally among African-American and white patients (71.0% vs 68.2%, p=0.44). African-American patients were 1.3 times more likely than white patients to receive colorectal screening procedures (36.3% vs 28.9%, p=0.03).\nConclusions\nIn contrast to other settings, in a general medicine clinic at a VA hospital, rates of colorectal cancer-screening tests were not lower for African-American patients compared to white patients.","container-title":"American Journal of Preventive Medicine","DOI":"10.1016/j.amepre.2005.02.002","ISSN":"0749-3797","issue":"5","journalAbbreviation":"American Journal of Preventive Medicine","page":"479-482","source":"ScienceDirect","title":"Colorectal Cancer Screening Among African-American and White Male Veterans","volume":"28","author":[{"family":"Dolan","given":"Nancy C."},{"family":"Ferreira","given":"M. Rosario"},{"family":"Fitzgibbon","given":"Marian L."},{"family":"Davis","given":"Terry C."},{"family":"Rademaker","given":"Alfred W."},{"family":"Liu","given":"Dachao"},{"family":"Lee","given":"June"},{"family":"Wolf","given":"Michael"},{"family":"Schmitt","given":"Brian P."},{"family":"Bennett","given":"Charles L."}],"issued":{"date-parts":[["2005",6]]}},"label":"page"},{"id":259,"uris":["http://zotero.org/users/1353333/items/QGEV6PCU"],"itemData":{"id":259,"type":"article-journal","container-title":"Annals of Surgical Oncology","DOI":"10.1245/s10434-013-3130-3","ISSN":"1068-9265, 1534-4681","issue":"13","language":"en","page":"4073-4079","source":"CrossRef","title":"Race Does Not Impact Pancreatic Cancer Treatment and Survival in an Equal Access Federal Health Care System","volume":"20","author":[{"family":"Lee","given":"Sukhyung"},{"family":"Reha","given":"Jeffrey L."},{"family":"Tzeng","given":"Ching-Wei D."},{"family":"Massarweh","given":"Nader N."},{"family":"Chang","given":"George J."},{"family":"Hetz","given":"Stephen P."},{"family":"Fleming","given":"Jason B."},{"family":"Lee","given":"Jeffrey E."},{"family":"Katz","given":"Matthew H."}],"issued":{"date-parts":[["2013",12]]}},"label":"page"}],"schema":"https://github.com/citation-style-language/schema/raw/master/csl-citation.json"} </w:instrText>
      </w:r>
      <w:r w:rsidRPr="003C3D11">
        <w:fldChar w:fldCharType="separate"/>
      </w:r>
      <w:r w:rsidRPr="003C3D11">
        <w:t>(27,32)</w:t>
      </w:r>
      <w:r w:rsidRPr="003C3D11">
        <w:fldChar w:fldCharType="end"/>
      </w:r>
      <w:r w:rsidRPr="003C3D11">
        <w:t xml:space="preserve">. In addition, racial and ethnic disparities reflect the fact that CRC itself is highly preventable. Diet, body composition, smoking, and physical activity all affect individual risk of CRC </w:t>
      </w:r>
      <w:r w:rsidRPr="003C3D11">
        <w:fldChar w:fldCharType="begin"/>
      </w:r>
      <w:r w:rsidR="006502FC">
        <w:instrText xml:space="preserve"> ADDIN ZOTERO_ITEM CSL_CITATION {"citationID":"i9qgQk5H","properties":{"formattedCitation":"(1)","plainCitation":"(1)","noteIndex":0},"citationItems":[{"id":1018,"uris":["http://zotero.org/users/1353333/items/4ABY2HDM"],"itemData":{"id":1018,"type":"report","event-place":"Atlanta,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Society"}],"issued":{"date-parts":[["2017"]]}}}],"schema":"https://github.com/citation-style-language/schema/raw/master/csl-citation.json"} </w:instrText>
      </w:r>
      <w:r w:rsidRPr="003C3D11">
        <w:fldChar w:fldCharType="separate"/>
      </w:r>
      <w:r w:rsidRPr="003C3D11">
        <w:t>(1)</w:t>
      </w:r>
      <w:r w:rsidRPr="003C3D11">
        <w:fldChar w:fldCharType="end"/>
      </w:r>
      <w:r w:rsidRPr="003C3D11">
        <w:t xml:space="preserve">. Screening colonoscopy also has the potential to prevent CRC via removal of precancerous polyps; more than 90% of CRCs are adenocarcinomas that arise via this pathway </w:t>
      </w:r>
      <w:r w:rsidRPr="003C3D11">
        <w:fldChar w:fldCharType="begin"/>
      </w:r>
      <w:r w:rsidR="006502FC">
        <w:instrText xml:space="preserve"> ADDIN ZOTERO_ITEM CSL_CITATION {"citationID":"5dWHB4Bi","properties":{"formattedCitation":"(1,33)","plainCitation":"(1,33)","noteIndex":0},"citationItems":[{"id":1018,"uris":["http://zotero.org/users/1353333/items/4ABY2HDM"],"itemData":{"id":1018,"type":"report","event-place":"Atlanta,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Society"}],"issued":{"date-parts":[["2017"]]}},"label":"page"},{"id":153,"uris":["http://zotero.org/users/1353333/items/H3HPFKCF"],"itemData":{"id":153,"type":"article-journal","abstract":"OBJECTIVES: Observational studies have shown that colonoscopy reduces colorectal cancer (CRC) incidence and mortality in the general population. We aimed to conduct a meta-analysis quantifying the magnitude of protection by colonoscopy, with screening and diagnostic indications, against CRC in patients with non-malignant findings and demonstrating the potentially more marked effect of screening over diagnostic colonoscopy.\nMETHODS: PubMed, EMBASE, and conference abstracts were searched through 30 April 2015. The primary outcomes were overall CRC incidence and mortality. Pooled relative risks (RRs) and 95% confidence intervals (CIs) were calculated using random-effect models.\nRESULTS: Eleven observational studies with a total of 1,499,521 individuals were included. Pooled analysis showed that colonoscopy was associated with a 61% RR reduction in CRC incidence (RR: 0.39; 95% CI: 0.26–0.60; I2=93.6%) and a 61% reduction in CRC mortality (RR: 0.39; 95% CI: 0.35–0.43; I2=12.0%) in patients with non-malignant findings, although there was high heterogeneity for the outcome of CRC incidence. After excluding one outlier study, there was low heterogeneity for the outcome of incidence (I2=44.7%). Subgroup analysis showed that the effect of screening colonoscopy was more prominent, corresponding to an 89% reduction in CRC incidence (RR: 0.11; 95% CI: 0.08–0.15), in comparison with settings involving diagnostic colonoscopy (RR: 0.51; 95% CI: 0.43–0.59; P&lt;0.001).\nCONCLUSIONS: On the basis of this meta-analysis of observational studies, CRC incidence and mortality in patients with non-malignant findings are significantly reduced after colonoscopy. The effect of screening colonoscopy on CRC incidence is more marked than diagnostic colonoscopy.","container-title":"The American Journal of Gastroenterology","DOI":"10.1038/ajg.2015.418","ISSN":"0002-9270","issue":"3","journalAbbreviation":"Am J Gastroenterol","license":"© 2016 Nature Publishing Group","page":"355-365","source":"www.nature.com.proxy.cc.uic.edu","title":"Colonoscopy Reduces Colorectal Cancer Incidence and Mortality in Patients With Non-Malignant Findings: A Meta-Analysis","title-short":"Colonoscopy Reduces Colorectal Cancer Incidence and Mortality in Patients With Non-Malignant Findings","volume":"111","author":[{"family":"Pan","given":"Jun"},{"family":"Xin","given":"Lei"},{"family":"Ma","given":"Yi-Fei"},{"family":"Hu","given":"Liang-Hao"},{"family":"Li","given":"Zhao-Shen"}],"issued":{"date-parts":[["2016",3]]}},"label":"page"}],"schema":"https://github.com/citation-style-language/schema/raw/master/csl-citation.json"} </w:instrText>
      </w:r>
      <w:r w:rsidRPr="003C3D11">
        <w:fldChar w:fldCharType="separate"/>
      </w:r>
      <w:r w:rsidRPr="003C3D11">
        <w:t>(1,33)</w:t>
      </w:r>
      <w:r w:rsidRPr="003C3D11">
        <w:fldChar w:fldCharType="end"/>
      </w:r>
      <w:r w:rsidRPr="003C3D11">
        <w:t xml:space="preserve">. </w:t>
      </w:r>
      <w:r w:rsidR="007F1C7D">
        <w:t xml:space="preserve">The burden of </w:t>
      </w:r>
      <w:r w:rsidRPr="003C3D11">
        <w:t xml:space="preserve">CRC and its associated health behaviors vary geographically across the US and in Chicago </w:t>
      </w:r>
      <w:r w:rsidRPr="003C3D11">
        <w:fldChar w:fldCharType="begin"/>
      </w:r>
      <w:r w:rsidR="006502FC">
        <w:instrText xml:space="preserve"> ADDIN ZOTERO_ITEM CSL_CITATION {"citationID":"1zjT6Vpa","properties":{"formattedCitation":"(1,34\\uc0\\u8211{}36)","plainCitation":"(1,34–36)","noteIndex":0},"citationItems":[{"id":1018,"uris":["http://zotero.org/users/1353333/items/4ABY2HDM"],"itemData":{"id":1018,"type":"report","event-place":"Atlanta,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Society"}],"issued":{"date-parts":[["2017"]]}},"label":"page"},{"id":1021,"uris":["http://zotero.org/users/1353333/items/S9UNCDKG"],"itemData":{"id":1021,"type":"webpage","container-title":"Chicago Health Atlas","title":"Colorectal Cancer Screening","URL":"https://www.chicagohealthatlas.org/indicators/colorectal-cancer-screening","author":[{"literal":"Chicago Department of Public Health"}],"accessed":{"date-parts":[["2019",11,26]]},"issued":{"date-parts":[["2018",8,27]]}},"label":"page"},{"id":1019,"uris":["http://zotero.org/users/1353333/items/QH9ML4DM"],"itemData":{"id":1019,"type":"webpage","container-title":"Chicago Health Atlas","title":"Colorectal Cancer Incidence","URL":"https://www.chicagohealthatlas.org/indicators/colorectal-cancer-incidence","author":[{"literal":"Chicago Department of Public Health"}],"accessed":{"date-parts":[["2019",11,26]]},"issued":{"date-parts":[["2019",9,9]]}},"label":"page"},{"id":1020,"uris":["http://zotero.org/users/1353333/items/BQ84ARNW"],"itemData":{"id":1020,"type":"webpage","container-title":"Chicago Health Atlas","title":"Colorectal Cancer Deaths","URL":"https://www.chicagohealthatlas.org/indicators/colorectal-cancer-deaths","author":[{"literal":"Chicago Department of Public Health"}],"accessed":{"date-parts":[["2019",11,26]]},"issued":{"date-parts":[["2019",4,4]]}},"label":"page"}],"schema":"https://github.com/citation-style-language/schema/raw/master/csl-citation.json"} </w:instrText>
      </w:r>
      <w:r w:rsidRPr="003C3D11">
        <w:fldChar w:fldCharType="separate"/>
      </w:r>
      <w:r w:rsidRPr="003C3D11">
        <w:rPr>
          <w:szCs w:val="24"/>
        </w:rPr>
        <w:t>(1,34–36)</w:t>
      </w:r>
      <w:r w:rsidRPr="003C3D11">
        <w:fldChar w:fldCharType="end"/>
      </w:r>
      <w:r w:rsidRPr="003C3D11">
        <w:t>.</w:t>
      </w:r>
      <w:r>
        <w:t xml:space="preserve"> These patterns reflect racial segregation and the disproportionate cancer burden that is borne by non-Hispanic </w:t>
      </w:r>
      <w:r w:rsidR="00F350B7">
        <w:t>Black people</w:t>
      </w:r>
      <w:r>
        <w:t xml:space="preserve"> as a result.</w:t>
      </w:r>
    </w:p>
    <w:p w14:paraId="52DE9172" w14:textId="0A9D39D1" w:rsidR="008F4DD5" w:rsidRDefault="008F4DD5" w:rsidP="008F4DD5">
      <w:r>
        <w:t xml:space="preserve">Racial segregation is a fundamental cause of health disparities because it causes individual- and area-level poverty, and physical and social isolation </w:t>
      </w:r>
      <w:r>
        <w:fldChar w:fldCharType="begin"/>
      </w:r>
      <w:r w:rsidR="00F85975">
        <w:instrText xml:space="preserve"> ADDIN ZOTERO_ITEM CSL_CITATION {"citationID":"SvwDQTmo","properties":{"formattedCitation":"(37,38)","plainCitation":"(37,38)","noteIndex":0},"citationItems":[{"id":86,"uris":["http://zotero.org/users/1353333/items/TP64RD2L"],"itemData":{"id":86,"type":"article-journal","container-title":"Public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R"},{"family":"Collins","given":"Chiquita"}],"issued":{"date-parts":[["2001"]]}},"label":"page"},{"id":344,"uris":["http://zotero.org/users/1353333/items/RH33T2JA"],"itemData":{"id":344,"type":"article-journal","abstract":"Over the last several decades, epidemiological studies have been enormously successful in identifying risk factors for major diseases. However, most of this research has focused attention on risk factors that are relatively proximal causes of disease such as diet, cholesterol level, exercise and the like. We question the emphasis on such individually-based risk factors and argue that greater attention must be paid to basic social conditions if health reform is to have its maximum effect in the time ahead. There are two reasons for this claim. First we argue that individually-based risk factors must be contextualized, by examining what puts people at risk of risks, if we are to craft effective interventions and improve the nation's health. Second, we argue that social factors such as socioeconomic status and social support are likely \"fundamental causes\" of disease that, because they embody access to important resources, affect multiple disease outcomes through multiple mechanisms, and consequently maintain an association with disease even when intervening mechanisms change. Without careful attention to these possibilities, we run the risk of imposing individually-based intervention strategies that are ineffective and of missing opportunities to adopt broad-based societal interventions that could produce substantial health benefits for our citizens.","container-title":"Journal of Health and Social Behavior","ISSN":"0022-1465","journalAbbreviation":"J Health Soc Behav","language":"eng","note":"PMID: 7560851","page":"80-94","source":"NCBI PubMed","title":"Social conditions as fundamental causes of disease","volume":"Spec No","author":[{"family":"Link","given":"B. G."},{"family":"Phelan","given":"J."}],"issued":{"date-parts":[["1995"]]}},"label":"page"}],"schema":"https://github.com/citation-style-language/schema/raw/master/csl-citation.json"} </w:instrText>
      </w:r>
      <w:r>
        <w:fldChar w:fldCharType="separate"/>
      </w:r>
      <w:r w:rsidRPr="00D07F8D">
        <w:t>(37,38)</w:t>
      </w:r>
      <w:r>
        <w:fldChar w:fldCharType="end"/>
      </w:r>
      <w:r>
        <w:t xml:space="preserve">. Segregation results in isolation from job opportunities and institutional resources such as health care. Employers and service providers may avoid areas where many </w:t>
      </w:r>
      <w:r w:rsidR="00F350B7">
        <w:t>Black people</w:t>
      </w:r>
      <w:r>
        <w:t xml:space="preserve"> live, effectively denying access to many people based on their race. Even when made without an explicit racial motivation, these decisions are informed by racist stereotypes to which segregation contributes. In the case of public institutions like schools, which must serve segregated areas, segregation enables separate but unequal and inferior treatment </w:t>
      </w:r>
      <w:r>
        <w:fldChar w:fldCharType="begin"/>
      </w:r>
      <w:r w:rsidR="00F85975">
        <w:instrText xml:space="preserve"> ADDIN ZOTERO_ITEM CSL_CITATION {"citationID":"1xVTjcIj","properties":{"formattedCitation":"(37)","plainCitation":"(37)","noteIndex":0},"citationItems":[{"id":86,"uris":["http://zotero.org/users/1353333/items/TP64RD2L"],"itemData":{"id":86,"type":"article-journal","container-title":"Public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R"},{"family":"Collins","given":"Chiquita"}],"issued":{"date-parts":[["2001"]]}}}],"schema":"https://github.com/citation-style-language/schema/raw/master/csl-citation.json"} </w:instrText>
      </w:r>
      <w:r>
        <w:fldChar w:fldCharType="separate"/>
      </w:r>
      <w:r w:rsidRPr="00D07F8D">
        <w:t>(37)</w:t>
      </w:r>
      <w:r>
        <w:fldChar w:fldCharType="end"/>
      </w:r>
      <w:r>
        <w:t xml:space="preserve">. Historic segregation has reduced </w:t>
      </w:r>
      <w:r w:rsidR="00F350B7">
        <w:t>B</w:t>
      </w:r>
      <w:r>
        <w:t xml:space="preserve">lack families’ access to wealth through homeownership and continues to contribute to disparities in net worth today. Ongoing processes of segregation widen the gap, causing present-day black homeowners to realize inferior returns to their purchase of a home </w:t>
      </w:r>
      <w:r>
        <w:fldChar w:fldCharType="begin"/>
      </w:r>
      <w:r w:rsidR="00F85975">
        <w:instrText xml:space="preserve"> ADDIN ZOTERO_ITEM CSL_CITATION {"citationID":"v4S2oPge","properties":{"formattedCitation":"(13,37)","plainCitation":"(13,37)","noteIndex":0},"citationItems":[{"id":98,"uris":["http://zotero.org/users/1353333/items/C4YD7RMK"],"itemData":{"id":98,"type":"report","collection-title":"Data Point","language":"en","page":"37","publisher":"Consumer Financial Protection Bureau Office of Research","source":"Zotero","title":"Credit Invisibles","author":[{"family":"Brevoort","given":"Kenneth P."},{"family":"Grimm","given":"Philipp"},{"family":"Kambara","given":"Michelle"}],"issued":{"date-parts":[["2015",5]]}},"label":"page"},{"id":86,"uris":["http://zotero.org/users/1353333/items/TP64RD2L"],"itemData":{"id":86,"type":"article-journal","container-title":"Public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R"},{"family":"Collins","given":"Chiquita"}],"issued":{"date-parts":[["2001"]]}},"label":"page"}],"schema":"https://github.com/citation-style-language/schema/raw/master/csl-citation.json"} </w:instrText>
      </w:r>
      <w:r>
        <w:fldChar w:fldCharType="separate"/>
      </w:r>
      <w:r w:rsidRPr="00D07F8D">
        <w:t>(13,37)</w:t>
      </w:r>
      <w:r>
        <w:fldChar w:fldCharType="end"/>
      </w:r>
      <w:r>
        <w:t>. By causing socioeconomic disadvantage in individuals, segregation contributes to a circumstance that powerfully influences people’s health behavior, environmental exposures, access to health care, and chance to live a full and healthy life.</w:t>
      </w:r>
    </w:p>
    <w:p w14:paraId="3F7EAA44" w14:textId="661E0AD6" w:rsidR="008F4DD5" w:rsidRDefault="008F4DD5" w:rsidP="008F4DD5">
      <w:r>
        <w:lastRenderedPageBreak/>
        <w:t xml:space="preserve">Segregation also affects health behavior more directly, by damaging the environments in which people must live. </w:t>
      </w:r>
      <w:r w:rsidRPr="00131A18">
        <w:t>In recent years, public health researchers have demonstrated the effects of neighborhood environments on factors that affect cancer risk including physical activity, access to healthy food and health care, and other health resources and behaviors</w:t>
      </w:r>
      <w:r>
        <w:t xml:space="preserve"> </w:t>
      </w:r>
      <w:r>
        <w:fldChar w:fldCharType="begin"/>
      </w:r>
      <w:r w:rsidR="00B069DD">
        <w:instrText xml:space="preserve"> ADDIN ZOTERO_ITEM CSL_CITATION {"citationID":"1JNmJpz4","properties":{"formattedCitation":"(2,39)","plainCitation":"(2,39)","noteIndex":0},"citationItems":[{"id":895,"uris":["http://zotero.org/users/1353333/items/S9NVM8K5"],"itemData":{"id":895,"type":"article-journal","abstract":"BackgroundThis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J."}],"issued":{"date-parts":[["2016",12,30]]}},"label":"page"},{"id":1263,"uris":["http://zotero.org/users/1353333/items/ZBJUPXS3"],"itemData":{"id":1263,"type":"article-journal","abstract":"In recent years there has been an explosion of interest in neighborhood health effects. Most existing work has relied on secondary data analyses and has used administrative areas and aggregate census data to characterize neighborhoods. Important questions remain regarding whether the associations reported by these studies reflect causal processes. This paper reviews the major limitations of existing work and discusses areas for future development including (1) definition and measurement of area or ecologic attributes (2) consideration of spatial scale (3) cumulative exposures and lagged effects and (4) the complementary nature of observational, quasi-experimental, and experimental evidence. As is usually the case with complex research questions, consensus regarding the presence and magnitude of neighborhood health effects will emerge from the work of multiple disciplines, often with diverse methodological approaches, each with its strengths and its limitations. Partnership across disciplines, as well as among health researchers, communities, urban planners, and policy experts will be key.","container-title":"Revue d'epidemiologie et de sante publique","DOI":"10.1016/j.respe.2006.12.003","ISSN":"0398-7620","issue":"1","journalAbbreviation":"Rev Epidemiol Sante Publique","note":"PMID: 17320330\nPMCID: PMC1906739","page":"13-21","source":"PubMed Central","title":"Neighborhoods and health: where are we and were do we go from here?","title-short":"Neighborhoods and health","volume":"55","author":[{"family":"Diez-Roux","given":"A. V."}],"issued":{"date-parts":[["2007",2]]}},"label":"page"}],"schema":"https://github.com/citation-style-language/schema/raw/master/csl-citation.json"} </w:instrText>
      </w:r>
      <w:r>
        <w:fldChar w:fldCharType="separate"/>
      </w:r>
      <w:r w:rsidRPr="00D07F8D">
        <w:t>(2,39)</w:t>
      </w:r>
      <w:r>
        <w:fldChar w:fldCharType="end"/>
      </w:r>
      <w:r w:rsidRPr="00131A18">
        <w:t>.</w:t>
      </w:r>
      <w:r>
        <w:t xml:space="preserve"> People living in highly segregated neighborhoods are exposed to more advertising for alcohol and tobacco, more crime, poorer infrastructure, and fewer healthy food options </w:t>
      </w:r>
      <w:r>
        <w:fldChar w:fldCharType="begin"/>
      </w:r>
      <w:r w:rsidR="00B069DD">
        <w:instrText xml:space="preserve"> ADDIN ZOTERO_ITEM CSL_CITATION {"citationID":"AmRcAHwv","properties":{"formattedCitation":"(2,40)","plainCitation":"(2,40)","noteIndex":0},"citationItems":[{"id":895,"uris":["http://zotero.org/users/1353333/items/S9NVM8K5"],"itemData":{"id":895,"type":"article-journal","abstract":"BackgroundThis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J."}],"issued":{"date-parts":[["2016",12,30]]}},"label":"page"},{"id":69,"uris":["http://zotero.org/users/1353333/items/2ZUJVKDX"],"itemData":{"id":69,"type":"article-journal","abstract":"We investigated changes in supermarket access in Chicago between 2007 and 2014, spanning The Great Recession, which we hypothesized worsened local food inequity. We mapped the average street network distance to the nearest supermarket across census tracts in 2007, 2011, and 2014, and identified spatial clusters of persistently low, high or changing access over time. Although the total number of supermarkets increased city-wide, extremely low food access areas in segregated, low income regions did not benefit. Among black and socioeconomically disadvantaged residents of Chicago, access to healthy food is persistently poor and worsened in some areas following recent economic shocks.","container-title":"Health &amp; Place","DOI":"10.1016/j.healthplace.2018.06.003","ISSN":"1353-8292","journalAbbreviation":"Health &amp; Place","language":"en","page":"231-239","source":"ScienceDirect","title":"Urban foodscape trends: Disparities in healthy food access in Chicago, 2007–2014","title-short":"Urban foodscape trends","volume":"52","author":[{"family":"Kolak","given":"Marynia"},{"family":"Bradley","given":"Michelle"},{"family":"Block","given":"Daniel R."},{"family":"Pool","given":"Lindsay"},{"family":"Garg","given":"Gaurang"},{"family":"Toman","given":"Chrissy Kelly"},{"family":"Boatright","given":"Kyle"},{"family":"Lipiszko","given":"Dawid"},{"family":"Koschinsky","given":"Julia"},{"family":"Kershaw","given":"Kiarri"},{"family":"Carnethon","given":"Mercedes"},{"family":"Isakova","given":"Tamara"},{"family":"Wolf","given":"Myles"}],"issued":{"date-parts":[["2018",7,1]]}},"label":"page"}],"schema":"https://github.com/citation-style-language/schema/raw/master/csl-citation.json"} </w:instrText>
      </w:r>
      <w:r>
        <w:fldChar w:fldCharType="separate"/>
      </w:r>
      <w:r w:rsidRPr="002220E7">
        <w:t>(2,40)</w:t>
      </w:r>
      <w:r>
        <w:fldChar w:fldCharType="end"/>
      </w:r>
      <w:r>
        <w:t xml:space="preserve">. As Williams and Collins point out, risky health behaviors such as tobacco use “are coping strategies that are frequently employed to obtain escape and relief from the personal suffering and deprivation that characterizes many disadvantaged environments” </w:t>
      </w:r>
      <w:r>
        <w:fldChar w:fldCharType="begin"/>
      </w:r>
      <w:r w:rsidR="00F85975">
        <w:instrText xml:space="preserve"> ADDIN ZOTERO_ITEM CSL_CITATION {"citationID":"asSn1WiX","properties":{"formattedCitation":"(37)","plainCitation":"(37)","noteIndex":0},"citationItems":[{"id":86,"uris":["http://zotero.org/users/1353333/items/TP64RD2L"],"itemData":{"id":86,"type":"article-journal","container-title":"Public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R"},{"family":"Collins","given":"Chiquita"}],"issued":{"date-parts":[["2001"]]}}}],"schema":"https://github.com/citation-style-language/schema/raw/master/csl-citation.json"} </w:instrText>
      </w:r>
      <w:r>
        <w:fldChar w:fldCharType="separate"/>
      </w:r>
      <w:r w:rsidRPr="00D07F8D">
        <w:t>(37)</w:t>
      </w:r>
      <w:r>
        <w:fldChar w:fldCharType="end"/>
      </w:r>
      <w:r>
        <w:t xml:space="preserve">. Meanwhile, people in segregated neighborhoods face greater barriers to adopting healthy behaviors due to lack of access to resources. No wonder segregation is associated with racial disparities in both chronic and infectious diseases, self-rated health, and all-cause mortality </w:t>
      </w:r>
      <w:r>
        <w:fldChar w:fldCharType="begin"/>
      </w:r>
      <w:r w:rsidR="00B069DD">
        <w:instrText xml:space="preserve"> ADDIN ZOTERO_ITEM CSL_CITATION {"citationID":"l8RQSNx4","properties":{"formattedCitation":"(2)","plainCitation":"(2)","noteIndex":0},"citationItems":[{"id":895,"uris":["http://zotero.org/users/1353333/items/S9NVM8K5"],"itemData":{"id":895,"type":"article-journal","abstract":"BackgroundThis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J."}],"issued":{"date-parts":[["2016",12,30]]}}}],"schema":"https://github.com/citation-style-language/schema/raw/master/csl-citation.json"} </w:instrText>
      </w:r>
      <w:r>
        <w:fldChar w:fldCharType="separate"/>
      </w:r>
      <w:r w:rsidRPr="00985F23">
        <w:t>(2)</w:t>
      </w:r>
      <w:r>
        <w:fldChar w:fldCharType="end"/>
      </w:r>
      <w:r>
        <w:t>.</w:t>
      </w:r>
    </w:p>
    <w:p w14:paraId="7956C319" w14:textId="51FEA091" w:rsidR="008F4DD5" w:rsidRDefault="008F4DD5" w:rsidP="008F4DD5">
      <w:r w:rsidRPr="00131A18">
        <w:t>One important measure of the neighborhood environment is concentrated disadvantage</w:t>
      </w:r>
      <w:r>
        <w:t xml:space="preserve"> (CD)</w:t>
      </w:r>
      <w:r w:rsidRPr="00131A18">
        <w:t xml:space="preserve">, an index of multiple Census measures related to </w:t>
      </w:r>
      <w:r>
        <w:t xml:space="preserve">area </w:t>
      </w:r>
      <w:r w:rsidRPr="00131A18">
        <w:t xml:space="preserve">socioeconomic status (SES) such as employment, education, and share of people living in poverty </w:t>
      </w:r>
      <w:r w:rsidRPr="00131A18">
        <w:fldChar w:fldCharType="begin"/>
      </w:r>
      <w:r w:rsidR="00F85975">
        <w:instrText xml:space="preserve"> ADDIN ZOTERO_ITEM CSL_CITATION {"citationID":"SG80WXS3","properties":{"unsorted":false,"formattedCitation":"(9,10)","plainCitation":"(9,10)","noteIndex":0},"citationItems":[{"id":192,"uris":["http://zotero.org/users/1353333/items/STVKBBZB"],"itemData":{"id":192,"type":"article-journal","abstract":"Our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A."}],"issued":{"date-parts":[["2002",12]]}},"label":"page"},{"id":191,"uris":["http://zotero.org/users/1353333/items/58FACAUB"],"itemData":{"id":191,"type":"article-journal","abstract":"OBJECTIVE: We explore differences in the prevalence of asthma and other respiratory diseases at the neighborhood level. In addition to traditional metrics of neighborhood structure (e.g., concentrated disadvantage, residential stability), we incorporate residents' evaluations of neighborhood context. We examine the extent to which indicators such as disorder (observable signs of physical and social decay) and collective efficacy (trust and shared expectations for beneficial community action) account for differences in the prevalence of asthma and other respiratory diseases.\nMETHODS: We examine 338 Chicago neighborhoods, combining 3 data sources from the 1990s: 1) the Metropolitan Chicago Information Center Metro Survey; 2) the Decennial Census; and 3) the Project on Human Development in Chicago Neighborhoods Community Survey. We use a multilevel statistical approach to disentangle neighborhood- from individual-level effects.\nMEASUREMENTS: A survey-based response to whether a physician has diagnosed asthma, bronchitis, emphysema, or other breathing problems.\nRESULTS: Findings indicate that individual- and neighborhood-level factors are associated with asthma/breathing problems. At the individual level, female gender, smoking, and a weight problem are positively associated with asthma/breathing problems, while Latino ethnicity is protective. At the neighborhood level, collective efficacy is protective against asthma/breathing problems. Residential stability is positively associated only when levels of collective efficacy are controlled.\nCONCLUSIONS: Neighborhood context, particularly collective efficacy, may be an underlying factor that reduces vulnerability to asthma and other respiratory diseases. Collective efficacy may enhance the ability to garner health-relevant resources, eliminate environmental hazards that trigger asthma, and promote communication among residents which, in turn, enables dissemination of information relevant to respiratory ailments.","container-title":"Journal of General Internal Medicine","ISSN":"0884-8734","issue":"3","journalAbbreviation":"J Gen Intern Med","language":"eng","note":"PMID: 15009777\nPMCID: PMC1492148","page":"229-236","source":"PubMed","title":"Exploring neighborhood-level variation in asthma and other respiratory diseases: the contribution of neighborhood social context","title-short":"Exploring neighborhood-level variation in asthma and other respiratory diseases","volume":"19","author":[{"family":"Cagney","given":"Kathleen A."},{"family":"Browning","given":"Christopher R."}],"issued":{"date-parts":[["2004",3]]}},"label":"page"}],"schema":"https://github.com/citation-style-language/schema/raw/master/csl-citation.json"} </w:instrText>
      </w:r>
      <w:r w:rsidRPr="00131A18">
        <w:fldChar w:fldCharType="separate"/>
      </w:r>
      <w:r w:rsidRPr="007163DF">
        <w:t>(9,10)</w:t>
      </w:r>
      <w:r w:rsidRPr="00131A18">
        <w:fldChar w:fldCharType="end"/>
      </w:r>
      <w:r w:rsidRPr="00131A18">
        <w:t xml:space="preserve">. People who live in more socioeconomically disadvantaged neighborhoods in Chicago have lower self-rated health, are more likely to be diagnosed with HIV, and have </w:t>
      </w:r>
      <w:r>
        <w:t>low</w:t>
      </w:r>
      <w:r w:rsidRPr="00131A18">
        <w:t xml:space="preserve">er life expectancy </w:t>
      </w:r>
      <w:r w:rsidRPr="00131A18">
        <w:fldChar w:fldCharType="begin"/>
      </w:r>
      <w:r w:rsidR="00F85975">
        <w:instrText xml:space="preserve"> ADDIN ZOTERO_ITEM CSL_CITATION {"citationID":"lLlzfU4L","properties":{"formattedCitation":"(9,10,17,18,41)","plainCitation":"(9,10,17,18,41)","noteIndex":0},"citationItems":[{"id":192,"uris":["http://zotero.org/users/1353333/items/STVKBBZB"],"itemData":{"id":192,"type":"article-journal","abstract":"Our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A."}],"issued":{"date-parts":[["2002",12]]}},"label":"page"},{"id":191,"uris":["http://zotero.org/users/1353333/items/58FACAUB"],"itemData":{"id":191,"type":"article-journal","abstract":"OBJECTIVE: We explore differences in the prevalence of asthma and other respiratory diseases at the neighborhood level. In addition to traditional metrics of neighborhood structure (e.g., concentrated disadvantage, residential stability), we incorporate residents' evaluations of neighborhood context. We examine the extent to which indicators such as disorder (observable signs of physical and social decay) and collective efficacy (trust and shared expectations for beneficial community action) account for differences in the prevalence of asthma and other respiratory diseases.\nMETHODS: We examine 338 Chicago neighborhoods, combining 3 data sources from the 1990s: 1) the Metropolitan Chicago Information Center Metro Survey; 2) the Decennial Census; and 3) the Project on Human Development in Chicago Neighborhoods Community Survey. We use a multilevel statistical approach to disentangle neighborhood- from individual-level effects.\nMEASUREMENTS: A survey-based response to whether a physician has diagnosed asthma, bronchitis, emphysema, or other breathing problems.\nRESULTS: Findings indicate that individual- and neighborhood-level factors are associated with asthma/breathing problems. At the individual level, female gender, smoking, and a weight problem are positively associated with asthma/breathing problems, while Latino ethnicity is protective. At the neighborhood level, collective efficacy is protective against asthma/breathing problems. Residential stability is positively associated only when levels of collective efficacy are controlled.\nCONCLUSIONS: Neighborhood context, particularly collective efficacy, may be an underlying factor that reduces vulnerability to asthma and other respiratory diseases. Collective efficacy may enhance the ability to garner health-relevant resources, eliminate environmental hazards that trigger asthma, and promote communication among residents which, in turn, enables dissemination of information relevant to respiratory ailments.","container-title":"Journal of General Internal Medicine","ISSN":"0884-8734","issue":"3","journalAbbreviation":"J Gen Intern Med","language":"eng","note":"PMID: 15009777\nPMCID: PMC1492148","page":"229-236","source":"PubMed","title":"Exploring neighborhood-level variation in asthma and other respiratory diseases: the contribution of neighborhood social context","title-short":"Exploring neighborhood-level variation in asthma and other respiratory diseases","volume":"19","author":[{"family":"Cagney","given":"Kathleen A."},{"family":"Browning","given":"Christopher R."}],"issued":{"date-parts":[["2004",3]]}},"label":"page"},{"id":1017,"uris":["http://zotero.org/users/1353333/items/ZN9REB3H"],"itemData":{"id":1017,"type":"article-journal","abstract":"BACKGROUND: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B."}],"issued":{"date-parts":[["2011",10]]}},"label":"page"},{"id":1166,"uris":["http://zotero.org/users/1353333/items/9696ULHB"],"itemData":{"id":1166,"type":"article-journal","abstract":"This paper examines the effect of neighborhood disadvantage on racial disparities in ovarian cancer-specific survival. Despite treatment advances for ovarian cancer, survival remains shorter for African-American compared to White women. Neighborhood disadvantage is implicated in racial disparities across a variety of health outcomes and may contribute to racial disparities in ovarian cancer-specific survival. Data were obtained from 581 women (100 African-American and 481 White) diagnosed with epithelial ovarian cancer between June 1, 1994, and December 31, 1998 in Cook County, Illinois, which includes the city of Chicago. Neighborhood disadvantage score at the time of diagnosis was calculated for each woman based on Browning and Cagney’s index of concentrated disadvantage. Cox proportional hazard models measured the association of self-identified African-American race with ovarian cancer-specific survival after adjusting for age, tumor characteristics, surgical debulking, and neighborhood disadvantage. There was a statistically significant negative association (-0.645) between ovarian cancer-specific survival and neighborhood disadvantage (p = 0.008). After adjusting for age and tumor characteristics, African-American women were more likely than Whites to die of ovarian cancer (HR = 1.59, p = 0.003). After accounting for neighborhood disadvantage, this risk was attenuated (HR = 1.32, p = 0.10). These findings demonstrate that neighborhood disadvantage is associated with ovarian cancer-specific survival and may contribute to the racial disparity in survival.","container-title":"Frontiers in Public Health","DOI":"10.3389/fpubh.2015.00008","ISSN":"2296-2565","journalAbbreviation":"Front. Public Health","language":"English","note":"https://www.frontiersin.org/articles/10.3389/fpubh.2015.00008/full","source":"Frontiers","title":"The Effect of Neighborhood Disadvantage on the Racial Disparity in Ovarian Cancer-Specific Survival in a Large Hospital-Based Study in Cook County, Illinois","volume":"3","author":[{"family":"Peterson","given":"Caryn E."},{"family":"Rauscher","given":"Garth H."},{"family":"Johnson","given":"Timothy P."},{"family":"Kirschner","given":"Carolyn V."},{"family":"Freels","given":"Sally"},{"family":"Barrett","given":"Richard E."},{"family":"Kim","given":"Seijeoung"},{"family":"Fitzgibbon","given":"Marian L."},{"family":"Joslin","given":"Charlotte E."},{"family":"Davis","given":"Faith G."}],"accessed":{"date-parts":[["2019",12,6]]},"issued":{"date-parts":[["2015"]]}},"label":"page"},{"id":95,"uris":["http://zotero.org/users/1353333/items/6RWP4UEH"],"itemData":{"id":95,"type":"report","event-place":"Chicago, IL","publisher-place":"Chicago, IL","title":"Chicago-Area Unified HIV Plan for HIV Prevention, Care, Housing and Essential Services 2014-2016","URL":"https://www.chicago.gov/content/dam/city/depts/cdph/HIV_STI/Chicago_Area_HIV_Unified_Plan.pdf","author":[{"family":"Chicago Area HIV Integrated Services Council","given":""}],"accessed":{"date-parts":[["2020",2,4]]},"issued":{"date-parts":[["2014"]]}},"label":"page"}],"schema":"https://github.com/citation-style-language/schema/raw/master/csl-citation.json"} </w:instrText>
      </w:r>
      <w:r w:rsidRPr="00131A18">
        <w:fldChar w:fldCharType="separate"/>
      </w:r>
      <w:r w:rsidRPr="002220E7">
        <w:t>(9,10,17,18,41)</w:t>
      </w:r>
      <w:r w:rsidRPr="00131A18">
        <w:fldChar w:fldCharType="end"/>
      </w:r>
      <w:r w:rsidRPr="00131A18">
        <w:t xml:space="preserve">. In highly segregated urban areas, like Chicago, African Americans are disproportionately exposed to neighborhood disadvantage. As a result, neighborhood </w:t>
      </w:r>
      <w:r>
        <w:t xml:space="preserve">concentrated disadvantage </w:t>
      </w:r>
      <w:r w:rsidRPr="00131A18">
        <w:t>contributes to racial disparities in cancer burden and death. Deprivation, enabled by segregation and represented by concentrated disadvantage, is one way that racism kills.</w:t>
      </w:r>
    </w:p>
    <w:p w14:paraId="10879277" w14:textId="65546EBD" w:rsidR="008F4DD5" w:rsidRDefault="008F4DD5" w:rsidP="008F4DD5">
      <w:r>
        <w:t xml:space="preserve">While measures of area-level SES and environmental quality can capture this injustice in the aggregate, they are much more than ecological substitutes for individual deprivation. Segregation causes inequities in neighborhood quality that are independent of individual SES, and these inequities disproportionately affect </w:t>
      </w:r>
      <w:r w:rsidR="00F350B7">
        <w:t>Black</w:t>
      </w:r>
      <w:r>
        <w:t xml:space="preserve"> people regardless of their individual resources. This is </w:t>
      </w:r>
      <w:r>
        <w:lastRenderedPageBreak/>
        <w:t xml:space="preserve">because, in the US, segregation of </w:t>
      </w:r>
      <w:r w:rsidR="00F350B7">
        <w:t>Black people</w:t>
      </w:r>
      <w:r>
        <w:t xml:space="preserve"> is severe and distinctive. Non-Hispanic </w:t>
      </w:r>
      <w:r w:rsidR="00F350B7">
        <w:t>Black people</w:t>
      </w:r>
      <w:r>
        <w:t xml:space="preserve"> are more concentrated and isolated by racial segregation than other groups that live or have lived in ethnic enclaves </w:t>
      </w:r>
      <w:r>
        <w:fldChar w:fldCharType="begin"/>
      </w:r>
      <w:r w:rsidR="00F85975">
        <w:instrText xml:space="preserve"> ADDIN ZOTERO_ITEM CSL_CITATION {"citationID":"TTy5Oj6K","properties":{"formattedCitation":"(37)","plainCitation":"(37)","noteIndex":0},"citationItems":[{"id":86,"uris":["http://zotero.org/users/1353333/items/TP64RD2L"],"itemData":{"id":86,"type":"article-journal","container-title":"Public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R"},{"family":"Collins","given":"Chiquita"}],"issued":{"date-parts":[["2001"]]}}}],"schema":"https://github.com/citation-style-language/schema/raw/master/csl-citation.json"} </w:instrText>
      </w:r>
      <w:r>
        <w:fldChar w:fldCharType="separate"/>
      </w:r>
      <w:r w:rsidRPr="00D07F8D">
        <w:t>(37)</w:t>
      </w:r>
      <w:r>
        <w:fldChar w:fldCharType="end"/>
      </w:r>
      <w:r>
        <w:t xml:space="preserve">. Racial segregation does not reflect the preferences of </w:t>
      </w:r>
      <w:r w:rsidR="00F350B7">
        <w:t>B</w:t>
      </w:r>
      <w:r>
        <w:t xml:space="preserve">lack people, who express support for integrated neighborhoods and search for homes in neighborhoods that match their stated preferences </w:t>
      </w:r>
      <w:r>
        <w:fldChar w:fldCharType="begin"/>
      </w:r>
      <w:r w:rsidR="00B069DD">
        <w:instrText xml:space="preserve"> ADDIN ZOTERO_ITEM CSL_CITATION {"citationID":"PpWNAZH0","properties":{"formattedCitation":"(2,37,42)","plainCitation":"(2,37,42)","noteIndex":0},"citationItems":[{"id":895,"uris":["http://zotero.org/users/1353333/items/S9NVM8K5"],"itemData":{"id":895,"type":"article-journal","abstract":"BackgroundThis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J."}],"issued":{"date-parts":[["2016",12,30]]}},"label":"page"},{"id":86,"uris":["http://zotero.org/users/1353333/items/TP64RD2L"],"itemData":{"id":86,"type":"article-journal","container-title":"Public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R"},{"family":"Collins","given":"Chiquita"}],"issued":{"date-parts":[["2001"]]}},"label":"page"},{"id":74,"uris":["http://zotero.org/users/1353333/items/FSJEHWII"],"itemData":{"id":74,"type":"article-journal","abstract":"The housing search process is an overlooked mechanism in the scholarly research that seeks to understand the causes of persistent racial residential segregation in the United States. Past research has explored in detail the preferences people hold in terms of the racial and ethnic composition of their neighborhoods, and more recently some have also examined the correspondence between racial and ethnic neighborhood preferences and current neighborhood racial/ethnic composition. But an intermediate stage—the racial/ethnic composition of where people search—has not been investigated. We analyze a subsample (n = 382) from the 2004–2005 Chicago Area Study to demonstrate the value of systematically studying the matches—or mismatches—between preferences, search locations, and neighborhood outcomes. We find that for whites, not only their current neighborhoods but also the neighborhoods in which they search for housing have larger percentages of whites than they say they prefer. In contrast, blacks—and to a lesser extent Latinos—search in neighborhoods that correspond to their preferences, but reside in neighborhoods with a larger percentage own group. Logistic regression analyses reveal that mismatches are associated with both a lack of information and inadequate finances, but also may be due to socially desirable responding for whites in particular. Our results provide suggestive evidence of the importance of unpacking the search process more generally and draw attention to what are likely to be productive new future data collection efforts as well as an area potentially ripe for policy interventions.","container-title":"Population Research and Policy Review","DOI":"10.1007/s11113-015-9369-6","ISSN":"1573-7829","issue":"1","journalAbbreviation":"Popul Res Policy Rev","language":"en","page":"101-126","source":"Springer Link","title":"Realizing Racial and Ethnic Neighborhood Preferences? Exploring the Mismatches Between What People Want, Where They Search, and Where They Live","title-short":"Realizing Racial and Ethnic Neighborhood Preferences?","volume":"35","author":[{"family":"Havekes","given":"Esther"},{"family":"Bader","given":"Michael"},{"family":"Krysan","given":"Maria"}],"issued":{"date-parts":[["2016",2,1]]}},"label":"page"}],"schema":"https://github.com/citation-style-language/schema/raw/master/csl-citation.json"} </w:instrText>
      </w:r>
      <w:r>
        <w:fldChar w:fldCharType="separate"/>
      </w:r>
      <w:r w:rsidRPr="002220E7">
        <w:t>(2,37,42)</w:t>
      </w:r>
      <w:r>
        <w:fldChar w:fldCharType="end"/>
      </w:r>
      <w:r>
        <w:t xml:space="preserve">. Nor are patterns of segregation simply an artifact of disparities in individual SES. Even when holding income, education, and wealth equal, non-Hispanic </w:t>
      </w:r>
      <w:r w:rsidR="00F350B7">
        <w:t>Black people</w:t>
      </w:r>
      <w:r>
        <w:t xml:space="preserve"> are housed in poorer and less integrated neighborhoods than other racial and ethnic groups through a process called locational attainment </w:t>
      </w:r>
      <w:r>
        <w:fldChar w:fldCharType="begin"/>
      </w:r>
      <w:r w:rsidR="00F85975">
        <w:instrText xml:space="preserve"> ADDIN ZOTERO_ITEM CSL_CITATION {"citationID":"nyOCnpW7","properties":{"formattedCitation":"(43,44)","plainCitation":"(43,44)","noteIndex":0},"citationItems":[{"id":1001,"uris":["http://zotero.org/users/1353333/items/ZACPB9RN"],"itemData":{"id":1001,"type":"article-journal","container-title":"Demography","DOI":"10.2307/2061779","ISSN":"00703370","issue":"4","language":"en","page":"443","source":"Crossref","title":"Making a Place in the Metropolis: Locational Attainment in Cities and Suburbs","title-short":"Making a Place in the Metropolis","volume":"33","author":[{"family":"Logan","given":"John R."},{"family":"Alba","given":"Richard D."},{"family":"Mcnulty","given":"Tom"},{"family":"Fisher","given":"Brian"}],"issued":{"date-parts":[["1996",11]]}},"label":"page"},{"id":1002,"uris":["http://zotero.org/users/1353333/items/SUKE8Z24"],"itemData":{"id":1002,"type":"article-journal","abstract":"This is a US investigation of the relationship between individuals’ neighbourhood characteristics and their familial and socioeconomic resources—with special emphasis on wealth. Spatial assimilation theorists propose that racial/ethnic differences in where people live can be explained by the demographic, economic and familial characteristics of individuals, while place stratiﬁcation theorists argue that group differences in neighbourhood characteristics are not fully explained by personal resources. There is evidence for the persisting effects of race/ethnicity on locational attainment, but support is also found for wealth inﬂuences on locational attainment. In addition, there is evidence of an interaction effect between race and wealth in predicting neighbourhood racial composition and neighbourhood SES, but the nature of the interaction varies by group and outcome.","container-title":"Urban Studies","DOI":"10.1177/0042098007087334","ISSN":"0042-0980, 1360-063X","issue":"3","language":"en","page":"527-551","source":"Crossref","title":"Wealth, Human Capital and Family across Racial/Ethnic Groups: Integrating Models of Wealth and Locational Attainment","title-short":"Wealth, Human Capital and Family across Racial/Ethnic Groups","volume":"45","author":[{"family":"Woldoff","given":"Rachael A."}],"issued":{"date-parts":[["2008",3]]}},"label":"page"}],"schema":"https://github.com/citation-style-language/schema/raw/master/csl-citation.json"} </w:instrText>
      </w:r>
      <w:r>
        <w:fldChar w:fldCharType="separate"/>
      </w:r>
      <w:r w:rsidRPr="002220E7">
        <w:t>(43,44)</w:t>
      </w:r>
      <w:r>
        <w:fldChar w:fldCharType="end"/>
      </w:r>
      <w:r>
        <w:t>.</w:t>
      </w:r>
    </w:p>
    <w:p w14:paraId="66E5F727" w14:textId="39330768" w:rsidR="00CC647D" w:rsidRDefault="008F4DD5" w:rsidP="00CC647D">
      <w:r w:rsidRPr="00131A18">
        <w:t xml:space="preserve">Locational attainment refers to how individuals’ characteristics, such as race, nationality, education, </w:t>
      </w:r>
      <w:r>
        <w:t xml:space="preserve">language, </w:t>
      </w:r>
      <w:r w:rsidRPr="00131A18">
        <w:t>income, or wealth, result in their being able to live in neighborhoods with more resources. Locational attainment theories explain how neighborhood concentrated disadvantage can produce racial health disparities</w:t>
      </w:r>
      <w:r>
        <w:t xml:space="preserve"> that are not fully accounted for by individual SES</w:t>
      </w:r>
      <w:r w:rsidRPr="00131A18">
        <w:t xml:space="preserve">: race </w:t>
      </w:r>
      <w:r>
        <w:t>and</w:t>
      </w:r>
      <w:r w:rsidRPr="00131A18">
        <w:t xml:space="preserve"> ethnicity influence where</w:t>
      </w:r>
      <w:r>
        <w:t xml:space="preserve"> people</w:t>
      </w:r>
      <w:r w:rsidRPr="00131A18">
        <w:t xml:space="preserve"> are able to live, even after </w:t>
      </w:r>
      <w:r>
        <w:t>controlling</w:t>
      </w:r>
      <w:r w:rsidRPr="00131A18">
        <w:t xml:space="preserve"> for </w:t>
      </w:r>
      <w:r>
        <w:t xml:space="preserve">their individual </w:t>
      </w:r>
      <w:r w:rsidRPr="00131A18">
        <w:t xml:space="preserve">education, income, and wealth </w:t>
      </w:r>
      <w:r w:rsidRPr="00131A18">
        <w:fldChar w:fldCharType="begin"/>
      </w:r>
      <w:r w:rsidR="00F85975">
        <w:instrText xml:space="preserve"> ADDIN ZOTERO_ITEM CSL_CITATION {"citationID":"zIkn0FEq","properties":{"formattedCitation":"(43,44)","plainCitation":"(43,44)","noteIndex":0},"citationItems":[{"id":1001,"uris":["http://zotero.org/users/1353333/items/ZACPB9RN"],"itemData":{"id":1001,"type":"article-journal","container-title":"Demography","DOI":"10.2307/2061779","ISSN":"00703370","issue":"4","language":"en","page":"443","source":"Crossref","title":"Making a Place in the Metropolis: Locational Attainment in Cities and Suburbs","title-short":"Making a Place in the Metropolis","volume":"33","author":[{"family":"Logan","given":"John R."},{"family":"Alba","given":"Richard D."},{"family":"Mcnulty","given":"Tom"},{"family":"Fisher","given":"Brian"}],"issued":{"date-parts":[["1996",11]]}},"label":"page"},{"id":1002,"uris":["http://zotero.org/users/1353333/items/SUKE8Z24"],"itemData":{"id":1002,"type":"article-journal","abstract":"This is a US investigation of the relationship between individuals’ neighbourhood characteristics and their familial and socioeconomic resources—with special emphasis on wealth. Spatial assimilation theorists propose that racial/ethnic differences in where people live can be explained by the demographic, economic and familial characteristics of individuals, while place stratiﬁcation theorists argue that group differences in neighbourhood characteristics are not fully explained by personal resources. There is evidence for the persisting effects of race/ethnicity on locational attainment, but support is also found for wealth inﬂuences on locational attainment. In addition, there is evidence of an interaction effect between race and wealth in predicting neighbourhood racial composition and neighbourhood SES, but the nature of the interaction varies by group and outcome.","container-title":"Urban Studies","DOI":"10.1177/0042098007087334","ISSN":"0042-0980, 1360-063X","issue":"3","language":"en","page":"527-551","source":"Crossref","title":"Wealth, Human Capital and Family across Racial/Ethnic Groups: Integrating Models of Wealth and Locational Attainment","title-short":"Wealth, Human Capital and Family across Racial/Ethnic Groups","volume":"45","author":[{"family":"Woldoff","given":"Rachael A."}],"issued":{"date-parts":[["2008",3]]}},"label":"page"}],"schema":"https://github.com/citation-style-language/schema/raw/master/csl-citation.json"} </w:instrText>
      </w:r>
      <w:r w:rsidRPr="00131A18">
        <w:fldChar w:fldCharType="separate"/>
      </w:r>
      <w:r w:rsidRPr="002220E7">
        <w:t>(43,44)</w:t>
      </w:r>
      <w:r w:rsidRPr="00131A18">
        <w:fldChar w:fldCharType="end"/>
      </w:r>
      <w:r w:rsidRPr="00131A18">
        <w:t xml:space="preserve">. Furthermore, the effect of individual SES on neighborhood attainment varies by individual race and ethnicity. Regardless of their individual or household resources, African Americans are disproportionately likely to be exposed to neighborhood disadvantage. </w:t>
      </w:r>
      <w:r>
        <w:t>Therefore</w:t>
      </w:r>
      <w:r w:rsidRPr="00131A18">
        <w:t xml:space="preserve">, locational attainment research suggests that the series of neighborhood environments a person lives in are related, because each is predicted by unchangeable personal traits </w:t>
      </w:r>
      <w:r>
        <w:t>including</w:t>
      </w:r>
      <w:r w:rsidRPr="00131A18">
        <w:t xml:space="preserve"> race.</w:t>
      </w:r>
      <w:r>
        <w:t xml:space="preserve"> </w:t>
      </w:r>
      <w:r w:rsidRPr="00131A18">
        <w:t>This raises the possibility that, particularly for disparities epidemiologists, the neighborhoods people lived in when diagnosed with cancer may have a legitimate interpretation reflecting a lifetime of cumulative exposure to disadvantage. However, this possibility needs to be investigated in a cohort that does not systematically exclude the vulnerable populations we want to understand.</w:t>
      </w:r>
    </w:p>
    <w:p w14:paraId="0C8FCCA7" w14:textId="55DB8157" w:rsidR="00CC647D" w:rsidRDefault="00CC647D" w:rsidP="00CC647D">
      <w:pPr>
        <w:pStyle w:val="Heading2"/>
      </w:pPr>
      <w:bookmarkStart w:id="43" w:name="_Toc145757035"/>
      <w:bookmarkStart w:id="44" w:name="_Toc145757270"/>
      <w:bookmarkStart w:id="45" w:name="_Toc145757477"/>
      <w:bookmarkStart w:id="46" w:name="_Toc148375752"/>
      <w:r>
        <w:lastRenderedPageBreak/>
        <w:t>Barriers to Studying Fundamental Causes of Cancer Inequities</w:t>
      </w:r>
      <w:bookmarkEnd w:id="43"/>
      <w:bookmarkEnd w:id="44"/>
      <w:bookmarkEnd w:id="45"/>
      <w:bookmarkEnd w:id="46"/>
    </w:p>
    <w:p w14:paraId="480FD028" w14:textId="0B523B42" w:rsidR="009639BB" w:rsidRDefault="009639BB" w:rsidP="009639BB">
      <w:r w:rsidRPr="00131A18">
        <w:t>A significant barrier to this research has been lack of information about where people with cancer lived in the past. Knowing where a person has lived unlocks valuable information, not only about their past exposure to environmental carcinogens; but about the social, policy, and built environment</w:t>
      </w:r>
      <w:r>
        <w:t>s</w:t>
      </w:r>
      <w:r w:rsidRPr="00131A18">
        <w:t xml:space="preserve"> in which they have lived. </w:t>
      </w:r>
      <w:r>
        <w:t xml:space="preserve">Early life exposures, and exposures and behaviors specific to a person’s stage of development, are known to affect the risk of common cancers, most notably breast cancer </w:t>
      </w:r>
      <w:r>
        <w:fldChar w:fldCharType="begin"/>
      </w:r>
      <w:r w:rsidR="006502FC">
        <w:instrText xml:space="preserve"> ADDIN ZOTERO_ITEM CSL_CITATION {"citationID":"GOKkmoTj","properties":{"formattedCitation":"(45)","plainCitation":"(45)","noteIndex":0},"citationItems":[{"id":71,"uris":["http://zotero.org/users/1353333/items/CEZE6UMY"],"itemData":{"id":71,"type":"report","event-place":"Atlanta, GA","language":"en","publisher":"American Cancer Society","publisher-place":"Atlanta, GA","source":"Zotero","title":"Breast Cancer Facts &amp; Figures 2019-2020","URL":"https://www.cancer.org/research/cancer-facts-statistics.html","author":[{"literal":"American Cancer Society"}],"issued":{"date-parts":[["2019"]]}}}],"schema":"https://github.com/citation-style-language/schema/raw/master/csl-citation.json"} </w:instrText>
      </w:r>
      <w:r>
        <w:fldChar w:fldCharType="separate"/>
      </w:r>
      <w:r w:rsidRPr="008F3A24">
        <w:t>(45)</w:t>
      </w:r>
      <w:r>
        <w:fldChar w:fldCharType="end"/>
      </w:r>
      <w:r>
        <w:t xml:space="preserve">. Lack of residential history data severely limits cancer cluster investigations by inducing misclassification bias and reducing power in studies that are already technically challenging and often under-powered </w:t>
      </w:r>
      <w:r>
        <w:fldChar w:fldCharType="begin"/>
      </w:r>
      <w:r w:rsidR="00F85975">
        <w:instrText xml:space="preserve"> ADDIN ZOTERO_ITEM CSL_CITATION {"citationID":"6OmcAw0f","properties":{"formattedCitation":"(46,47)","plainCitation":"(46,47)","noteIndex":0},"citationItems":[{"id":1204,"uris":["http://zotero.org/users/1353333/items/UXEGDULH"],"itemData":{"id":1204,"type":"article-journal","abstract":"BACKGROUND: Cancer clusters garner considerable public and legislative attention, and there is often an expectation that cluster investigations in a community will reveal a causal link to an environmental exposure. At a 1989 national conference on disease clusters, it was reported that cluster studies conducted in the 1970s and 1980s rarely, if ever, produced important findings. We seek to answer the question: Have cancer cluster investigations conducted by US health agencies in the past 20 years improved our understanding of cancer etiology, or informed cancer prevention and control?\nMETHODS: We reviewed publicly available cancer cluster investigation reports since 1990, obtained from literature searches and by canvassing all 50 states and the District of Columbia. Investigations were categorized with respect to cancer type(s), hypothesized exposure, whether perceived clusters were confirmed (e.g. by elevated incidence), and conclusions about a link between cancer(s) of concern and hypothesized environmental exposure(s).\nRESULTS: We reviewed 428 investigations evaluating 567 cancers of concern. An increase in incidence was confirmed for 72 (13%) cancer categories (including the category \"all sites\"). Three of those were linked (with variable degree of certainty) to hypothesized exposures, but only one investigation revealed a clear cause.\nCONCLUSIONS: It is fair to state that extensive efforts to find causes of community cancer clusters have not been successful. There are fundamental shortcomings to our current methods of investigating community cancer clusters. We recommend a multidisciplinary national dialogue on creative, innovative approaches to understanding when and why cancer and other chronic diseases cluster in space and time.","container-title":"Critical Reviews in Toxicology","DOI":"10.3109/10408444.2012.675315","ISSN":"1547-6898","issue":"6","journalAbbreviation":"Crit. Rev. Toxicol.","language":"eng","note":"PMID: 22519802\nPMCID: PMC3408895","page":"474-490","source":"PubMed","title":"Cancer clusters in the USA: what do the last twenty years of state and federal investigations tell us?","title-short":"Cancer clusters in the USA","volume":"42","author":[{"family":"Goodman","given":"Michael"},{"family":"Naiman","given":"Joshua S."},{"family":"Goodman","given":"Dina"},{"family":"LaKind","given":"Judy S."}],"issued":{"date-parts":[["2012",7]]}},"label":"page"},{"id":1099,"uris":["http://zotero.org/users/1353333/items/JJYX9FTA"],"itemData":{"id":1099,"type":"article-journal","abstract":"Residential clusters of non-communicable diseases are a source of enduring public concern, and at times, controversy. Many clusters reported to public health agencies by concerned citizens are accompanied by expectations that investigations will uncover a cause of disease. While goals, methods and conclusions of cluster studies are debated in the scientific literature and popular press, investigations of reported residential clusters rarely provide definitive answers about disease etiology. Further, it is inherently difficult to study a cluster for diseases with complex etiology and long latency (e.g., most cancers). Regardless, cluster investigations remain an important function of local, state and federal public health agencies. Challenges limiting the ability of cluster investigations to uncover causes for disease include the need to consider long latency, low statistical power of most analyses, uncertain definitions of cluster boundaries and population of interest, and in- and out-migration. A multi-disciplinary Workshop was held to discuss innovative and/or under-explored approaches to investigate cancer clusters. Several potentially fruitful paths forward are described, including modern methods of reconstructing residential history, improved approaches to analyzing spatial data, improved utilization of electronic data sources, advances using biomarkers of carcinogenesis, novel concepts for grouping cases, investigations of infectious etiology of cancer, and “omics” approaches.","container-title":"International Journal of Environmental Research and Public Health","DOI":"10.3390/ijerph110201479","ISSN":"1661-7827","issue":"2","journalAbbreviation":"Int J Environ Res Public Health","note":"PMID: 24477211\nPMCID: PMC3945549","page":"1479-1499","source":"PubMed Central","title":"Cancer Cluster Investigations: Review of the Past and Proposals for the Future","title-short":"Cancer Cluster Investigations","volume":"11","author":[{"family":"Goodman","given":"Michael"},{"family":"LaKind","given":"Judy S."},{"family":"Fagliano","given":"Jerald A."},{"family":"Lash","given":"Timothy L."},{"family":"Wiemels","given":"Joseph L."},{"family":"Winn","given":"Deborah M."},{"family":"Patel","given":"Chirag"},{"family":"Van Eenwyk","given":"Juliet"},{"family":"Kohler","given":"Betsy A."},{"family":"Schisterman","given":"Enrique F."},{"family":"Albert","given":"Paul"},{"family":"Mattison","given":"Donald R."}],"issued":{"date-parts":[["2014",2]]}},"label":"page"}],"schema":"https://github.com/citation-style-language/schema/raw/master/csl-citation.json"} </w:instrText>
      </w:r>
      <w:r>
        <w:fldChar w:fldCharType="separate"/>
      </w:r>
      <w:r w:rsidRPr="008F3A24">
        <w:t>(46,47)</w:t>
      </w:r>
      <w:r>
        <w:fldChar w:fldCharType="end"/>
      </w:r>
      <w:r>
        <w:t xml:space="preserve">. It may also lead to exposure misclassification in studies that attempt to model residential environmental exposures, although the effect on these investigations may be less pronounced depending on the exposure of interest and the setting </w:t>
      </w:r>
      <w:r>
        <w:fldChar w:fldCharType="begin"/>
      </w:r>
      <w:r w:rsidR="00F85975">
        <w:instrText xml:space="preserve"> ADDIN ZOTERO_ITEM CSL_CITATION {"citationID":"NK0Ea9Jd","properties":{"formattedCitation":"(48)","plainCitation":"(48)","noteIndex":0},"citationItems":[{"id":1078,"uris":["http://zotero.org/users/1353333/items/MVNBEHDJ"],"itemData":{"id":1078,"type":"article-journal","abstract":"Exposure misclassification in longitudinal studies of air pollution exposure and health effects can occur due to residential mobility in a study population over followup. The aim of this study was to investigate to what extent residential mobility during followup can be expected to cause exposure misclassification in such studies, where exposure at the baseline address is used as the main exposure assessment. The addresses for each participant in a large population-based study (N &gt; 25,000) were obtained via national registers. We used a Land Use Regression model to estimate the NOx concentration for each participant's all addresses during the entire follow-up period (in average 14.6 years) and calculated an average concentration during followup. The Land Use Regression model explained 83% of the variation in measured levels. In summary, the NOx concentration at the inclusion address was similar to the average concentration over followup with a correlation coefficient of 0.80, indicating that air pollution concentration at study inclusion address could be used as indicator of average air pollution concentrations over followup. The differences between an individual's inclusion and average follow-up mean concentration were small and seemed to be nondifferential with respect to a large range of factors and disease statuses, implying that bias due to residential mobility was small.","container-title":"The Scientific World Journal","DOI":"10.1100/2012/125818","ISSN":"2356-6140","journalAbbreviation":"ScientificWorldJournal","note":"PMID: 23251098\nPMCID: PMC3515908","source":"PubMed Central","title":"Impact of Residential Mobility on Exposure Assessment in Longitudinal Air Pollution Studies: A Sensitivity Analysis within the ESCAPE Project","title-short":"Impact of Residential Mobility on Exposure Assessment in Longitudinal Air Pollution Studies","URL":"https://www.ncbi.nlm.nih.gov/pmc/articles/PMC3515908/","volume":"2012","author":[{"family":"Oudin","given":"Anna"},{"family":"Forsberg","given":"Bertil"},{"family":"Strömgren","given":"Magnus"},{"family":"Beelen","given":"Rob"},{"family":"Modig","given":"Lars"}],"accessed":{"date-parts":[["2019",8,22]]},"issued":{"date-parts":[["2012",11,28]]}}}],"schema":"https://github.com/citation-style-language/schema/raw/master/csl-citation.json"} </w:instrText>
      </w:r>
      <w:r>
        <w:fldChar w:fldCharType="separate"/>
      </w:r>
      <w:r w:rsidRPr="008F3A24">
        <w:t>(48)</w:t>
      </w:r>
      <w:r>
        <w:fldChar w:fldCharType="end"/>
      </w:r>
      <w:r>
        <w:t>.</w:t>
      </w:r>
    </w:p>
    <w:p w14:paraId="21B16141" w14:textId="6F404059" w:rsidR="009639BB" w:rsidRDefault="009639BB" w:rsidP="009639BB">
      <w:r w:rsidRPr="00131A18">
        <w:t xml:space="preserve">Recently, multiple investigators have demonstrated the feasibility of finding cases’ residential histories—where they lived and when they lived there—using either electronic health records (EHRs) or commercial </w:t>
      </w:r>
      <w:r w:rsidR="00F116E1">
        <w:t>public records</w:t>
      </w:r>
      <w:r w:rsidRPr="00131A18">
        <w:t xml:space="preserve"> data </w:t>
      </w:r>
      <w:r w:rsidRPr="00131A18">
        <w:fldChar w:fldCharType="begin"/>
      </w:r>
      <w:r w:rsidR="006502FC">
        <w:instrText xml:space="preserve"> ADDIN ZOTERO_ITEM CSL_CITATION {"citationID":"HnAaYh9V","properties":{"unsorted":true,"formattedCitation":"(12,49\\uc0\\u8211{}51)","plainCitation":"(12,49–51)","noteIndex":0},"citationItems":[{"id":1064,"uris":["http://zotero.org/users/1353333/items/KRA8KAMJ"],"itemData":{"id":1064,"type":"article-journal","abstract":"Purpose\nElectronic medical records (EMR) include residential address\nhistories, which may alleviate exposure misclassification caused by\nexclusion of patient spatiotemporal location. EMR data are increasingly\navailable but rarely leveraged as a measure of cumulative environmental\nexposure, in part due to limited understanding of the validity of\nEMR-derived address histories.\n\nMethods\nWe compared EMR address histories to self-reported histories among\n100 patients of a safety-net healthcare system completing a telephone\nsurvey. We assessed agreement and compared 7 neighborhood-level\nenvironmental exposures as assessed using both data sources.\n\nResults\nWhile 17.1% of respondents did not live at the most recent\nEMR-derived address during the survey, nearly all (98%) lived there\nat some point. For respondents with &gt;1 EMR-derived address\n(N=64), 87.5% had once lived at the previous EMR address. Of\nthese, 30.4% lived at ≥1 additional residences between the\ntwo most recent EMR address. For all measures, neighborhood-level\nenvironmental exposures did not differ when using EMR-derived vs.\nself-report addresses.\n\nConclusions\nMore recent EMR-derived addresses are more accurate and differences\ncompared to self-reported addresses in neighborhood-level exposures are\nnegligible. EMR-derived address histories are incomplete and likely suffer\nfrom collection bias; future research should further assess their validity\nand reliability.","container-title":"Annals of epidemiology","DOI":"10.1016/j.annepidem.2016.07.016","ISSN":"1047-2797","issue":"1","journalAbbreviation":"Ann Epidemiol","note":"PMID: 27663209\nPMCID: PMC5482357","page":"20-26","source":"PubMed Central","title":"The Utility of EMR Address Histories for Assessing Neighborhood Exposures","volume":"27","author":[{"family":"Hughes","given":"Amy E."},{"family":"Pruitt","given":"Sandi L."}],"issued":{"date-parts":[["2017",1]]}},"label":"page"},{"id":1284,"uris":["http://zotero.org/users/1353333/items/NRUBHZV9"],"itemData":{"id":1284,"type":"article-journal","abstract":"A key problem facing epidemiologists who wish to account for residential mobility in their analyses is the cost and difficulty of obtaining residential histories. Commercial residential history data of acceptable accuracy, cost, and coverage would be of great value. The present research evaluated the accuracy of residential histories from LexisNexis, Inc. The authors chose LexisNexis because the Michigan Cancer Registry has considered using their data, they have excellent procedures for privacy protection, and they make available residential histories at 25 cents per person. Only first and last name and address at last-known residence are required to access the residential history. The authors compared lifetime residential histories collected through the use of written surveys in a case-control study of bladder cancer in Michigan to the 3 residential addresses routinely available in the address history from LexisNexis. The LexisNexis address matches, as a whole, accounted for 71.5% of participants’ lifetime addresses. These results provided a level of accuracy that indicates routine use of residential histories from commercial vendors is feasible. More detailed residential histories are available at a higher cost but were not analyzed in this study. Although higher accuracy is desirable, LexisNexis data are a vast improvement over the assumption of immobile individuals currently used in many spatial and spatiotemporal studies.","container-title":"American Journal of Epidemiology","DOI":"10.1093/aje/kwq350","ISSN":"0002-9262","issue":"2","journalAbbreviation":"Am J Epidemiol","note":"PMID: 21084554\nPMCID: PMC3025779","page":"236-243","source":"PubMed Central","title":"Accuracy of Commercially Available Residential Histories for Epidemiologic Studies","volume":"173","author":[{"family":"Jacquez","given":"Geoffrey M."},{"family":"Slotnick","given":"Melissa J."},{"family":"Meliker","given":"Jaymie R."},{"family":"AvRuskin","given":"Gillian"},{"family":"Copeland","given":"Glenn"},{"family":"Nriagu","given":"Jerome"}],"issued":{"date-parts":[["2011",1,15]]}},"label":"page"},{"id":56,"uris":["http://zotero.org/users/1353333/items/XGW2S22H"],"itemData":{"id":56,"type":"article-journal","abstract":"Large-scale environmental epidemiologic studies often rely on exposure estimates based on linkage to residential addresses. This approach, however, is limited by the lack of residential histories typically available for study participants. Our objective was to evaluate the feasibility of using address data from LexisNexis (a division of RELX, Inc., Dayton, Ohio), a commercially available credit reporting company, to construct residential histories for participants in the California Teachers Study (CTS), a prospective cohort study initiated in 1995–1996 to study breast cancer (n = 133,479). We evaluated the degree to which LexisNexis could provide retrospective addresses prior to study enrollment, as well as the concordance with existing prospective CTS addresses ascertained at the time of the completion of 4 self-administered questionnaires. For approximately 80% of CTS participants, LexisNexis provided at least 1 retrospective address, including nearly 25,000 addresses completely encompassed by time periods prior to enrollment. This approach more than doubled the proportion of the study population for whom we had an address of residence during the childbearing years—an important window of susceptibility for breast cancer risk. While overall concordance between the prospective addresses contained in these 2 data sources was good (85%), it was diminished among black women and women under the age of 40 years.","container-title":"American Journal of Epidemiology","DOI":"10.1093/aje/kww108","ISSN":"0002-9262","issue":"3","journalAbbreviation":"Am J Epidemiol","language":"en","page":"238-246","source":"academic.oup.com","title":"Tracing a Path to the Past: Exploring the Use of Commercial Credit Reporting Data to Construct Residential Histories for Epidemiologic Studies of Environmental Exposures","title-short":"Tracing a Path to the Past","volume":"185","author":[{"family":"Hurley","given":"Susan"},{"family":"Hertz","given":"Andrew"},{"family":"Nelson","given":"David O."},{"family":"Layefsky","given":"Michael"},{"family":"Von Behren","given":"Julie"},{"family":"Bernstein","given":"Leslie"},{"family":"Deapen","given":"Dennis"},{"family":"Reynolds","given":"Peggy"}],"issued":{"date-parts":[["2017",2,1]]}},"label":"page"},{"id":1213,"uris":["http://zotero.org/users/1353333/items/BMKQHEF8"],"itemData":{"id":1213,"type":"report","event-place":"Rockville, MD","language":"en","publisher":"Westat, Inc.","publisher-place":"Rockville, MD","source":"Zotero","title":"NCI/SEER Residential History Project Technical Report","URL":"https://www.westat.com/tools-for-using-commercial-sources-of-residential-histories-for-cancer-research/","author":[{"family":"Stinchcomb","given":"Dave G."},{"family":"Roeser","given":"Allison"}],"issued":{"date-parts":[["2016"]]}},"label":"page"}],"schema":"https://github.com/citation-style-language/schema/raw/master/csl-citation.json"} </w:instrText>
      </w:r>
      <w:r w:rsidRPr="00131A18">
        <w:fldChar w:fldCharType="separate"/>
      </w:r>
      <w:r w:rsidRPr="008F3A24">
        <w:rPr>
          <w:szCs w:val="24"/>
        </w:rPr>
        <w:t>(12,49–51)</w:t>
      </w:r>
      <w:r w:rsidRPr="00131A18">
        <w:fldChar w:fldCharType="end"/>
      </w:r>
      <w:r w:rsidRPr="00131A18">
        <w:t xml:space="preserve">. These researchers have rightly pointed out that even incomplete residential history data represent a significant improvement over the typical approach epidemiologists must use: assuming that cases have always lived at their only known address </w:t>
      </w:r>
      <w:r w:rsidRPr="00131A18">
        <w:fldChar w:fldCharType="begin"/>
      </w:r>
      <w:r w:rsidR="006502FC">
        <w:instrText xml:space="preserve"> ADDIN ZOTERO_ITEM CSL_CITATION {"citationID":"B5qL30HC","properties":{"formattedCitation":"(49,51)","plainCitation":"(49,51)","noteIndex":0},"citationItems":[{"id":1284,"uris":["http://zotero.org/users/1353333/items/NRUBHZV9"],"itemData":{"id":1284,"type":"article-journal","abstract":"A key problem facing epidemiologists who wish to account for residential mobility in their analyses is the cost and difficulty of obtaining residential histories. Commercial residential history data of acceptable accuracy, cost, and coverage would be of great value. The present research evaluated the accuracy of residential histories from LexisNexis, Inc. The authors chose LexisNexis because the Michigan Cancer Registry has considered using their data, they have excellent procedures for privacy protection, and they make available residential histories at 25 cents per person. Only first and last name and address at last-known residence are required to access the residential history. The authors compared lifetime residential histories collected through the use of written surveys in a case-control study of bladder cancer in Michigan to the 3 residential addresses routinely available in the address history from LexisNexis. The LexisNexis address matches, as a whole, accounted for 71.5% of participants’ lifetime addresses. These results provided a level of accuracy that indicates routine use of residential histories from commercial vendors is feasible. More detailed residential histories are available at a higher cost but were not analyzed in this study. Although higher accuracy is desirable, LexisNexis data are a vast improvement over the assumption of immobile individuals currently used in many spatial and spatiotemporal studies.","container-title":"American Journal of Epidemiology","DOI":"10.1093/aje/kwq350","ISSN":"0002-9262","issue":"2","journalAbbreviation":"Am J Epidemiol","note":"PMID: 21084554\nPMCID: PMC3025779","page":"236-243","source":"PubMed Central","title":"Accuracy of Commercially Available Residential Histories for Epidemiologic Studies","volume":"173","author":[{"family":"Jacquez","given":"Geoffrey M."},{"family":"Slotnick","given":"Melissa J."},{"family":"Meliker","given":"Jaymie R."},{"family":"AvRuskin","given":"Gillian"},{"family":"Copeland","given":"Glenn"},{"family":"Nriagu","given":"Jerome"}],"issued":{"date-parts":[["2011",1,15]]}},"label":"page"},{"id":1213,"uris":["http://zotero.org/users/1353333/items/BMKQHEF8"],"itemData":{"id":1213,"type":"report","event-place":"Rockville, MD","language":"en","publisher":"Westat, Inc.","publisher-place":"Rockville, MD","source":"Zotero","title":"NCI/SEER Residential History Project Technical Report","URL":"https://www.westat.com/tools-for-using-commercial-sources-of-residential-histories-for-cancer-research/","author":[{"family":"Stinchcomb","given":"Dave G."},{"family":"Roeser","given":"Allison"}],"issued":{"date-parts":[["2016"]]}},"label":"page"}],"schema":"https://github.com/citation-style-language/schema/raw/master/csl-citation.json"} </w:instrText>
      </w:r>
      <w:r w:rsidRPr="00131A18">
        <w:fldChar w:fldCharType="separate"/>
      </w:r>
      <w:r w:rsidRPr="008F3A24">
        <w:t>(49,51)</w:t>
      </w:r>
      <w:r w:rsidRPr="00131A18">
        <w:fldChar w:fldCharType="end"/>
      </w:r>
      <w:r w:rsidRPr="00131A18">
        <w:t xml:space="preserve">. However, both data sources have limitations that may be particularly important to disparities researchers. EHR addresses </w:t>
      </w:r>
      <w:r>
        <w:t>may be</w:t>
      </w:r>
      <w:r w:rsidRPr="00131A18">
        <w:t xml:space="preserve"> limited to a single health care system</w:t>
      </w:r>
      <w:r>
        <w:t xml:space="preserve">, </w:t>
      </w:r>
      <w:r w:rsidRPr="00131A18">
        <w:t xml:space="preserve">and updated only when patients interact with it in some way </w:t>
      </w:r>
      <w:r w:rsidRPr="00131A18">
        <w:fldChar w:fldCharType="begin"/>
      </w:r>
      <w:r w:rsidR="00F85975">
        <w:instrText xml:space="preserve"> ADDIN ZOTERO_ITEM CSL_CITATION {"citationID":"yf6TcjRd","properties":{"formattedCitation":"(11,12)","plainCitation":"(11,12)","noteIndex":0},"citationItems":[{"id":1064,"uris":["http://zotero.org/users/1353333/items/KRA8KAMJ"],"itemData":{"id":1064,"type":"article-journal","abstract":"Purpose\nElectronic medical records (EMR) include residential address\nhistories, which may alleviate exposure misclassification caused by\nexclusion of patient spatiotemporal location. EMR data are increasingly\navailable but rarely leveraged as a measure of cumulative environmental\nexposure, in part due to limited understanding of the validity of\nEMR-derived address histories.\n\nMethods\nWe compared EMR address histories to self-reported histories among\n100 patients of a safety-net healthcare system completing a telephone\nsurvey. We assessed agreement and compared 7 neighborhood-level\nenvironmental exposures as assessed using both data sources.\n\nResults\nWhile 17.1% of respondents did not live at the most recent\nEMR-derived address during the survey, nearly all (98%) lived there\nat some point. For respondents with &gt;1 EMR-derived address\n(N=64), 87.5% had once lived at the previous EMR address. Of\nthese, 30.4% lived at ≥1 additional residences between the\ntwo most recent EMR address. For all measures, neighborhood-level\nenvironmental exposures did not differ when using EMR-derived vs.\nself-report addresses.\n\nConclusions\nMore recent EMR-derived addresses are more accurate and differences\ncompared to self-reported addresses in neighborhood-level exposures are\nnegligible. EMR-derived address histories are incomplete and likely suffer\nfrom collection bias; future research should further assess their validity\nand reliability.","container-title":"Annals of epidemiology","DOI":"10.1016/j.annepidem.2016.07.016","ISSN":"1047-2797","issue":"1","journalAbbreviation":"Ann Epidemiol","note":"PMID: 27663209\nPMCID: PMC5482357","page":"20-26","source":"PubMed Central","title":"The Utility of EMR Address Histories for Assessing Neighborhood Exposures","volume":"27","author":[{"family":"Hughes","given":"Amy E."},{"family":"Pruitt","given":"Sandi L."}],"issued":{"date-parts":[["2017",1]]}},"label":"page"},{"id":1065,"uris":["http://zotero.org/users/1353333/items/B7LLG2XK"],"itemData":{"id":1065,"type":"article-journal","abstract":"Background: Social disadvantage predicts colorectal cancer (CRC) outcomes across the cancer care continuum for many populations and places. For medically underserved populations, social disadvantage is likely intersectional- affecting individuals at multiple levels and through membership in multiple disadvantaged groups. However, most measures of social disadvantage are cross-sectional and limited to race, ethnicity, and income. Linkages between electronic health records (EHRs) and external datasets offer rich, multilevel measures that may be more informative. Methods: We identified urban safety-net patients eligible and due for CRC screening from the Parkland-UT Southwestern PROSPR cohort. We assessed one-time screening receipt (via colonoscopy or fecal immunochemical test) in the 18 months following cohort entry via the EHR. We linked EHR data to housing and Census data to generate measures of social disadvantage at the parcel- and block-group level. We evaluated the association of these measures with screening using multilevel logistic regression models controlling for sociodemographics, comorbidity, and healthcare utilization. Results: Among 32,965 patients, 45.1% received screening. In adjusted models, residential mobility, residence type, and neighborhood majority race were associated with CRC screening. Nearly all measures of patient-level social disadvantage and healthcare utilization were significant. Conclusions: Address-based linkage of EHRs to external datasets may have the potential to expand meaningful measurement of multilevel social disadvantage. Researchers should strive to use granular, specific data in investigations of social disadvantage. Impact: Generating multilevel measures of social disadvantage through address-based linkages efficiently uses existing EHR data for applied, population-level research.","container-title":"Cancer Epidemiology and Prevention Biomarkers","DOI":"10.1158/1055-9965.EPI-18-0446","ISSN":"1055-9965, 1538-7755","journalAbbreviation":"Cancer Epidemiol Biomarkers Prev","language":"en","license":"Copyright ©2018, American Association for Cancer Research.","note":"PMID: 30135072","page":"cebp.0446.2018","source":"cebp.aacrjournals.org","title":"Social disadvantage, healthcare utilization, and colorectal cancer screening: Leveraging longitudinal patient address and electronic health records data","title-short":"Social disadvantage, healthcare utilization, and colorectal cancer screening","author":[{"family":"Hughes","given":"Amy E."},{"family":"Tiro","given":"Jasmin A."},{"family":"Balasubramanian","given":"Bijal A."},{"family":"Skinner","given":"Celette Sugg"},{"family":"Pruitt","given":"Sandi L."}],"issued":{"date-parts":[["2018",1,1]]}},"label":"page"}],"schema":"https://github.com/citation-style-language/schema/raw/master/csl-citation.json"} </w:instrText>
      </w:r>
      <w:r w:rsidRPr="00131A18">
        <w:fldChar w:fldCharType="separate"/>
      </w:r>
      <w:r w:rsidRPr="000C3278">
        <w:t>(11,12)</w:t>
      </w:r>
      <w:r w:rsidRPr="00131A18">
        <w:fldChar w:fldCharType="end"/>
      </w:r>
      <w:r w:rsidRPr="00131A18">
        <w:t>. Therefore, residential histories constructed using these data may be less complete and accurate in people who are less apt to receive regular care. They are also unlikely to be relevant in registry-based studies. Commercial credit reporting data is known to be less complete in African American and Hispanic adults</w:t>
      </w:r>
      <w:r>
        <w:t>,</w:t>
      </w:r>
      <w:r w:rsidRPr="00131A18">
        <w:t xml:space="preserve"> </w:t>
      </w:r>
      <w:r w:rsidR="00F116E1">
        <w:t>as well as in</w:t>
      </w:r>
      <w:r w:rsidRPr="00131A18">
        <w:t xml:space="preserve"> people with lower incomes</w:t>
      </w:r>
      <w:r>
        <w:t xml:space="preserve"> or who live in low income neighborhoods</w:t>
      </w:r>
      <w:r w:rsidRPr="00131A18">
        <w:t xml:space="preserve"> </w:t>
      </w:r>
      <w:r w:rsidRPr="00131A18">
        <w:fldChar w:fldCharType="begin"/>
      </w:r>
      <w:r w:rsidR="00F85975">
        <w:instrText xml:space="preserve"> ADDIN ZOTERO_ITEM CSL_CITATION {"citationID":"u2x1b9bd","properties":{"formattedCitation":"(13)","plainCitation":"(13)","noteIndex":0},"citationItems":[{"id":98,"uris":["http://zotero.org/users/1353333/items/C4YD7RMK"],"itemData":{"id":98,"type":"report","collection-title":"Data Point","language":"en","page":"37","publisher":"Consumer Financial Protection Bureau Office of Research","source":"Zotero","title":"Credit Invisibles","author":[{"family":"Brevoort","given":"Kenneth P."},{"family":"Grimm","given":"Philipp"},{"family":"Kambara","given":"Michelle"}],"issued":{"date-parts":[["2015",5]]}}}],"schema":"https://github.com/citation-style-language/schema/raw/master/csl-citation.json"} </w:instrText>
      </w:r>
      <w:r w:rsidRPr="00131A18">
        <w:fldChar w:fldCharType="separate"/>
      </w:r>
      <w:r w:rsidRPr="000C3278">
        <w:t>(13)</w:t>
      </w:r>
      <w:r w:rsidRPr="00131A18">
        <w:fldChar w:fldCharType="end"/>
      </w:r>
      <w:r w:rsidRPr="00131A18">
        <w:t xml:space="preserve">. </w:t>
      </w:r>
      <w:r>
        <w:t>R</w:t>
      </w:r>
      <w:r w:rsidRPr="00131A18">
        <w:t xml:space="preserve">acial disparities in credit scores perpetuate residential discrimination and contribute to the segregation and neighborhood disadvantage that disparities researchers aim to remedy </w:t>
      </w:r>
      <w:r w:rsidRPr="00131A18">
        <w:fldChar w:fldCharType="begin"/>
      </w:r>
      <w:r w:rsidR="00F85975">
        <w:instrText xml:space="preserve"> ADDIN ZOTERO_ITEM CSL_CITATION {"citationID":"mHdlsAIm","properties":{"formattedCitation":"(13,14,52)","plainCitation":"(13,14,52)","noteIndex":0},"citationItems":[{"id":98,"uris":["http://zotero.org/users/1353333/items/C4YD7RMK"],"itemData":{"id":98,"type":"report","collection-title":"Data Point","language":"en","page":"37","publisher":"Consumer Financial Protection Bureau Office of Research","source":"Zotero","title":"Credit Invisibles","author":[{"family":"Brevoort","given":"Kenneth P."},{"family":"Grimm","given":"Philipp"},{"family":"Kambara","given":"Michelle"}],"issued":{"date-parts":[["2015",5]]}},"label":"page"},{"id":100,"uris":["http://zotero.org/users/1353333/items/6SSMKWR3"],"itemData":{"id":100,"type":"report","publisher":"Racial Justice &amp; Equal Economic Opportunity Project, National Consumer Law Center","title":"Past Imperfect: How Credit Scores and Other Analytics “Bake In” and Perpetuate Past Discrimination","URL":"https://www.nclc.org/images/pdf/credit_discrimination/Past_Imperfect050616.pdf","accessed":{"date-parts":[["2020",1,24]]},"issued":{"date-parts":[["2016",5]]}},"label":"page"},{"id":99,"uris":["http://zotero.org/users/1353333/items/LKD6DCR3"],"itemData":{"id":99,"type":"article-newspaper","abstract":"Credit reports and scores reflect existing racial inequities in our credit system and economy","container-title":"The Guardian","ISSN":"0261-3077","language":"en-GB","section":"Opinion","source":"www.theguardian.com","title":"Credit scores in America perpetuate racial injustice. Here's how","URL":"https://www.theguardian.com/commentisfree/2015/oct/13/your-credit-score-is-racist-heres-why","author":[{"family":"Ludwig","given":"Sarah"}],"accessed":{"date-parts":[["2020",1,24]]},"issued":{"date-parts":[["2015",10,13]]}},"label":"page"}],"schema":"https://github.com/citation-style-language/schema/raw/master/csl-citation.json"} </w:instrText>
      </w:r>
      <w:r w:rsidRPr="00131A18">
        <w:fldChar w:fldCharType="separate"/>
      </w:r>
      <w:r w:rsidRPr="008F3A24">
        <w:t>(13,14,52)</w:t>
      </w:r>
      <w:r w:rsidRPr="00131A18">
        <w:fldChar w:fldCharType="end"/>
      </w:r>
      <w:r w:rsidRPr="00131A18">
        <w:t xml:space="preserve">. </w:t>
      </w:r>
    </w:p>
    <w:p w14:paraId="60FDCD1B" w14:textId="5BBC4B78" w:rsidR="00CC647D" w:rsidRDefault="009639BB" w:rsidP="00CC647D">
      <w:r w:rsidRPr="00131A18">
        <w:lastRenderedPageBreak/>
        <w:t xml:space="preserve">As a result, users of the two best-known sources of residential history data are left back where we started: assuming that the residential environments we know about are representative of those we don’t. This problem is especially important for health disparities researchers, who risk mismeasuring the environments of the most disadvantaged members of the population. However, the problem is serious for environmental epidemiologists as well. Segregation and environmental racism must also be taken into account when considering who is likely to be exposed to environmental carcinogens; those at greatest risk of exposure may also be at greatest risk of having too little residential history data to analyze. This situation renews, rather than answers, a long-standing question in the field: how are most people’s present and past environments related, and how much information about past residential environments </w:t>
      </w:r>
      <w:r>
        <w:t>can be inferred from</w:t>
      </w:r>
      <w:r w:rsidRPr="00131A18">
        <w:t xml:space="preserve"> the current one? It also raises new theoretical and methodological questions</w:t>
      </w:r>
      <w:r>
        <w:t xml:space="preserve"> for epidemiologists interested in segregation and neighborhood disadvantage</w:t>
      </w:r>
      <w:r w:rsidRPr="00131A18">
        <w:t>. How should we conceptualize lifetime exposure to disadvantage—as a cumulative or time-varying dose? As salient at particular times in the human life course or along the cancer continuum?</w:t>
      </w:r>
    </w:p>
    <w:p w14:paraId="28C99CF7" w14:textId="13C9F96A" w:rsidR="00CC647D" w:rsidRDefault="00CC647D" w:rsidP="00CC647D">
      <w:pPr>
        <w:pStyle w:val="Heading2"/>
      </w:pPr>
      <w:bookmarkStart w:id="47" w:name="_Toc145757036"/>
      <w:bookmarkStart w:id="48" w:name="_Toc145757271"/>
      <w:bookmarkStart w:id="49" w:name="_Toc145757478"/>
      <w:bookmarkStart w:id="50" w:name="_Toc148375753"/>
      <w:r>
        <w:t>Research Contribution</w:t>
      </w:r>
      <w:bookmarkEnd w:id="47"/>
      <w:bookmarkEnd w:id="48"/>
      <w:bookmarkEnd w:id="49"/>
      <w:bookmarkEnd w:id="50"/>
    </w:p>
    <w:p w14:paraId="6EDA0571" w14:textId="5BCB5030" w:rsidR="009639BB" w:rsidRDefault="009639BB" w:rsidP="009639BB">
      <w:r>
        <w:t xml:space="preserve">Working with data from the PSID provides disparities researchers with a unique opportunity to learn about the effect of SES on health throughout the life course. The PSID is designed to be nationally representative, and this extends to health information collected from participants. Prevalence estimates obtained from analyses of PSID data are comparable to those from recognized public health sources such as the National Health Interview Survey (NHIS) </w:t>
      </w:r>
      <w:r>
        <w:fldChar w:fldCharType="begin"/>
      </w:r>
      <w:r w:rsidR="00F85975">
        <w:instrText xml:space="preserve"> ADDIN ZOTERO_ITEM CSL_CITATION {"citationID":"eiURxdM7","properties":{"formattedCitation":"(15,16,53)","plainCitation":"(15,16,53)","noteIndex":0},"citationItems":[{"id":1167,"uris":["http://zotero.org/users/1353333/items/3P4XKW3I"],"itemData":{"id":1167,"type":"report","collection-title":"Technical Series","event-place":"Ann Arbor, MI","language":"en","number":"17-01","page":"13","publisher":"Panel Study of Income Dynamics, University of Michigan Institute for Social Research","publisher-place":"Ann Arbor, MI","source":"Zotero","title":"Comparing Health Estimates in the PSID and NHIS, 2001-2015","author":[{"family":"Insolera","given":"Noura E"},{"family":"Freedman","given":"Vicki A"}],"issued":{"date-parts":[["2017",5,6]]}},"label":"page"},{"id":94,"uris":["http://zotero.org/users/1353333/items/JE9Z7IFF"],"itemData":{"id":94,"type":"article-journal","language":"en","page":"18","source":"Zotero","title":"An Analysis of the Quality of the Health Data in the Panel Study of Income Dynamics","author":[{"family":"Andreski","given":"Patricia"},{"family":"McGonagle","given":"Katherine"},{"family":"Schoeni","given":"Bob"}],"issued":{"date-parts":[["2009",9,15]]}},"label":"page"},{"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B."}],"issued":{"date-parts":[["2010",12]]}},"label":"page"}],"schema":"https://github.com/citation-style-language/schema/raw/master/csl-citation.json"} </w:instrText>
      </w:r>
      <w:r>
        <w:fldChar w:fldCharType="separate"/>
      </w:r>
      <w:r w:rsidRPr="008F3A24">
        <w:t>(15,16,53)</w:t>
      </w:r>
      <w:r>
        <w:fldChar w:fldCharType="end"/>
      </w:r>
      <w:r>
        <w:t xml:space="preserve">. While inconsistencies can be found in the self-reported cancer data in the PSID, these errors are random across sociodemographic groups and are expected to reduce power without inducing bias </w:t>
      </w:r>
      <w:r>
        <w:fldChar w:fldCharType="begin"/>
      </w:r>
      <w:r w:rsidR="00F85975">
        <w:instrText xml:space="preserve"> ADDIN ZOTERO_ITEM CSL_CITATION {"citationID":"EqVhaXdu","properties":{"formattedCitation":"(53)","plainCitation":"(53)","noteIndex":0},"citationItems":[{"id":1011,"uris":["http://zotero.org/users/1353333/items/WPHRIMLZ"],"itemData":{"id":1011,"type":"article-journal","abstract":"Many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B."}],"issued":{"date-parts":[["2010",12]]}}}],"schema":"https://github.com/citation-style-language/schema/raw/master/csl-citation.json"} </w:instrText>
      </w:r>
      <w:r>
        <w:fldChar w:fldCharType="separate"/>
      </w:r>
      <w:r w:rsidRPr="008F3A24">
        <w:t>(53)</w:t>
      </w:r>
      <w:r>
        <w:fldChar w:fldCharType="end"/>
      </w:r>
      <w:r>
        <w:t>.</w:t>
      </w:r>
    </w:p>
    <w:p w14:paraId="3D0FB7F0" w14:textId="78356484" w:rsidR="009639BB" w:rsidRDefault="009639BB" w:rsidP="009639BB">
      <w:r>
        <w:t xml:space="preserve">Because participants are surveyed every 1-2 years, their addresses are collected prospectively and validated by being used to conduct the survey. Some adult participants were also </w:t>
      </w:r>
      <w:r>
        <w:lastRenderedPageBreak/>
        <w:t xml:space="preserve">members of participating households as children, meaning their residential histories may be able to be reconstructed for most of their lives. For many participants who have been diagnosed with cancer, data about their neighborhoods and families is available from the time they </w:t>
      </w:r>
      <w:r w:rsidR="0035177D">
        <w:t xml:space="preserve">likely </w:t>
      </w:r>
      <w:r>
        <w:t>began to develop cancer. For almost any participant with cancer, data about their neighborhoods and families is available for part of the period of disease latency.</w:t>
      </w:r>
    </w:p>
    <w:p w14:paraId="1F103DA5" w14:textId="48BF447D" w:rsidR="009639BB" w:rsidRDefault="009639BB" w:rsidP="009639BB">
      <w:r>
        <w:t xml:space="preserve">As a result, using location data from the PSID </w:t>
      </w:r>
      <w:r w:rsidR="0035177D">
        <w:t>allows</w:t>
      </w:r>
      <w:r>
        <w:t xml:space="preserve"> evaluation of the relationship between past neighborhood disadvantage and cancer outcomes, without assuming that subjects have never moved, and without the risk of selection or information bias presented by using commercial credit </w:t>
      </w:r>
      <w:r w:rsidR="0035177D">
        <w:t>data sources</w:t>
      </w:r>
      <w:r>
        <w:t xml:space="preserve"> and EHRs </w:t>
      </w:r>
      <w:r>
        <w:fldChar w:fldCharType="begin"/>
      </w:r>
      <w:r w:rsidR="00F85975">
        <w:instrText xml:space="preserve"> ADDIN ZOTERO_ITEM CSL_CITATION {"citationID":"Uj9rA5Qk","properties":{"formattedCitation":"(13,50)","plainCitation":"(13,50)","noteIndex":0},"citationItems":[{"id":98,"uris":["http://zotero.org/users/1353333/items/C4YD7RMK"],"itemData":{"id":98,"type":"report","collection-title":"Data Point","language":"en","page":"37","publisher":"Consumer Financial Protection Bureau Office of Research","source":"Zotero","title":"Credit Invisibles","author":[{"family":"Brevoort","given":"Kenneth P."},{"family":"Grimm","given":"Philipp"},{"family":"Kambara","given":"Michelle"}],"issued":{"date-parts":[["2015",5]]}},"label":"page"},{"id":56,"uris":["http://zotero.org/users/1353333/items/XGW2S22H"],"itemData":{"id":56,"type":"article-journal","abstract":"Large-scale environmental epidemiologic studies often rely on exposure estimates based on linkage to residential addresses. This approach, however, is limited by the lack of residential histories typically available for study participants. Our objective was to evaluate the feasibility of using address data from LexisNexis (a division of RELX, Inc., Dayton, Ohio), a commercially available credit reporting company, to construct residential histories for participants in the California Teachers Study (CTS), a prospective cohort study initiated in 1995–1996 to study breast cancer (n = 133,479). We evaluated the degree to which LexisNexis could provide retrospective addresses prior to study enrollment, as well as the concordance with existing prospective CTS addresses ascertained at the time of the completion of 4 self-administered questionnaires. For approximately 80% of CTS participants, LexisNexis provided at least 1 retrospective address, including nearly 25,000 addresses completely encompassed by time periods prior to enrollment. This approach more than doubled the proportion of the study population for whom we had an address of residence during the childbearing years—an important window of susceptibility for breast cancer risk. While overall concordance between the prospective addresses contained in these 2 data sources was good (85%), it was diminished among black women and women under the age of 40 years.","container-title":"American Journal of Epidemiology","DOI":"10.1093/aje/kww108","ISSN":"0002-9262","issue":"3","journalAbbreviation":"Am J Epidemiol","language":"en","page":"238-246","source":"academic.oup.com","title":"Tracing a Path to the Past: Exploring the Use of Commercial Credit Reporting Data to Construct Residential Histories for Epidemiologic Studies of Environmental Exposures","title-short":"Tracing a Path to the Past","volume":"185","author":[{"family":"Hurley","given":"Susan"},{"family":"Hertz","given":"Andrew"},{"family":"Nelson","given":"David O."},{"family":"Layefsky","given":"Michael"},{"family":"Von Behren","given":"Julie"},{"family":"Bernstein","given":"Leslie"},{"family":"Deapen","given":"Dennis"},{"family":"Reynolds","given":"Peggy"}],"issued":{"date-parts":[["2017",2,1]]}},"label":"page"}],"schema":"https://github.com/citation-style-language/schema/raw/master/csl-citation.json"} </w:instrText>
      </w:r>
      <w:r>
        <w:fldChar w:fldCharType="separate"/>
      </w:r>
      <w:r w:rsidRPr="008F3A24">
        <w:t>(13,50)</w:t>
      </w:r>
      <w:r>
        <w:fldChar w:fldCharType="end"/>
      </w:r>
      <w:r>
        <w:t xml:space="preserve">. Because neighborhood CD can be calculated for every year that a subject participated and had a geocodable address, it </w:t>
      </w:r>
      <w:r w:rsidR="0035177D">
        <w:t>is also</w:t>
      </w:r>
      <w:r>
        <w:t xml:space="preserve"> possible to use this dataset to conduct a sensitivity analysis to explore the best formulation of disadvantage across the life course. Having full residential histories </w:t>
      </w:r>
      <w:r w:rsidR="0035177D">
        <w:t>also enables</w:t>
      </w:r>
      <w:r>
        <w:t xml:space="preserve"> the mediation analysis in Aim 2. Knowing whether and how residential environments are related across the life course in people with cancer </w:t>
      </w:r>
      <w:r w:rsidR="0035177D">
        <w:t>may also</w:t>
      </w:r>
      <w:r>
        <w:t xml:space="preserve"> inform the interpretation of results from other epidemiological studies, the vast majority of which lack access to residential histories.</w:t>
      </w:r>
    </w:p>
    <w:p w14:paraId="46720D4E" w14:textId="524A253C" w:rsidR="00CC647D" w:rsidRDefault="009639BB" w:rsidP="00CC647D">
      <w:r>
        <w:t xml:space="preserve">Aim 3 </w:t>
      </w:r>
      <w:r w:rsidR="0035177D">
        <w:t>uses</w:t>
      </w:r>
      <w:r>
        <w:t xml:space="preserve"> data from the UI Health tumor registry to address conceptual and methodological limitations of working with the PSID data. There are benefits to conducting research on the health effects of segregation and disadvantage in a single urban center. In their systematic review of the relationship between segregation and cancer disparities, </w:t>
      </w:r>
      <w:proofErr w:type="spellStart"/>
      <w:r>
        <w:t>Landrine</w:t>
      </w:r>
      <w:proofErr w:type="spellEnd"/>
      <w:r>
        <w:t xml:space="preserve">, et al. recommended that epidemiologists conduct their investigations within single states because degree of segregation, and the specific policies used to accomplish it, vary by jurisdiction </w:t>
      </w:r>
      <w:r>
        <w:fldChar w:fldCharType="begin"/>
      </w:r>
      <w:r w:rsidR="00B069DD">
        <w:instrText xml:space="preserve"> ADDIN ZOTERO_ITEM CSL_CITATION {"citationID":"XC3kiU99","properties":{"formattedCitation":"(2)","plainCitation":"(2)","noteIndex":0},"citationItems":[{"id":895,"uris":["http://zotero.org/users/1353333/items/S9NVM8K5"],"itemData":{"id":895,"type":"article-journal","abstract":"BackgroundThis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J."}],"issued":{"date-parts":[["2016",12,30]]}}}],"schema":"https://github.com/citation-style-language/schema/raw/master/csl-citation.json"} </w:instrText>
      </w:r>
      <w:r>
        <w:fldChar w:fldCharType="separate"/>
      </w:r>
      <w:r w:rsidRPr="00FB35AF">
        <w:t>(2)</w:t>
      </w:r>
      <w:r>
        <w:fldChar w:fldCharType="end"/>
      </w:r>
      <w:r>
        <w:t xml:space="preserve">. It is of particular importance, then, that the measure of neighborhood disadvantage used in this study was also developed in Chicago and has been shown to predict severity and disparities of multiple health conditions in this metropolitan region </w:t>
      </w:r>
      <w:r>
        <w:fldChar w:fldCharType="begin"/>
      </w:r>
      <w:r w:rsidR="00F85975">
        <w:instrText xml:space="preserve"> ADDIN ZOTERO_ITEM CSL_CITATION {"citationID":"ZQeeOeUc","properties":{"formattedCitation":"(9,10,17,18)","plainCitation":"(9,10,17,18)","noteIndex":0},"citationItems":[{"id":191,"uris":["http://zotero.org/users/1353333/items/58FACAUB"],"itemData":{"id":191,"type":"article-journal","abstract":"OBJECTIVE: We explore differences in the prevalence of asthma and other respiratory diseases at the neighborhood level. In addition to traditional metrics of neighborhood structure (e.g., concentrated disadvantage, residential stability), we incorporate residents' evaluations of neighborhood context. We examine the extent to which indicators such as disorder (observable signs of physical and social decay) and collective efficacy (trust and shared expectations for beneficial community action) account for differences in the prevalence of asthma and other respiratory diseases.\nMETHODS: We examine 338 Chicago neighborhoods, combining 3 data sources from the 1990s: 1) the Metropolitan Chicago Information Center Metro Survey; 2) the Decennial Census; and 3) the Project on Human Development in Chicago Neighborhoods Community Survey. We use a multilevel statistical approach to disentangle neighborhood- from individual-level effects.\nMEASUREMENTS: A survey-based response to whether a physician has diagnosed asthma, bronchitis, emphysema, or other breathing problems.\nRESULTS: Findings indicate that individual- and neighborhood-level factors are associated with asthma/breathing problems. At the individual level, female gender, smoking, and a weight problem are positively associated with asthma/breathing problems, while Latino ethnicity is protective. At the neighborhood level, collective efficacy is protective against asthma/breathing problems. Residential stability is positively associated only when levels of collective efficacy are controlled.\nCONCLUSIONS: Neighborhood context, particularly collective efficacy, may be an underlying factor that reduces vulnerability to asthma and other respiratory diseases. Collective efficacy may enhance the ability to garner health-relevant resources, eliminate environmental hazards that trigger asthma, and promote communication among residents which, in turn, enables dissemination of information relevant to respiratory ailments.","container-title":"Journal of General Internal Medicine","ISSN":"0884-8734","issue":"3","journalAbbreviation":"J Gen Intern Med","language":"eng","note":"PMID: 15009777\nPMCID: PMC1492148","page":"229-236","source":"PubMed","title":"Exploring neighborhood-level variation in asthma and other respiratory diseases: the contribution of neighborhood social context","title-short":"Exploring neighborhood-level variation in asthma and other respiratory diseases","volume":"19","author":[{"family":"Cagney","given":"Kathleen A."},{"family":"Browning","given":"Christopher R."}],"issued":{"date-parts":[["2004",3]]}},"label":"page"},{"id":192,"uris":["http://zotero.org/users/1353333/items/STVKBBZB"],"itemData":{"id":192,"type":"article-journal","abstract":"Our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B."}],"issued":{"date-parts":[["2011",10]]}},"label":"page"},{"id":1166,"uris":["http://zotero.org/users/1353333/items/9696ULHB"],"itemData":{"id":1166,"type":"article-journal","abstract":"This paper examines the effect of neighborhood disadvantage on racial disparities in ovarian cancer-specific survival. Despite treatment advances for ovarian cancer, survival remains shorter for African-American compared to White women. Neighborhood disadvantage is implicated in racial disparities across a variety of health outcomes and may contribute to racial disparities in ovarian cancer-specific survival. Data were obtained from 581 women (100 African-American and 481 White) diagnosed with epithelial ovarian cancer between June 1, 1994, and December 31, 1998 in Cook County, Illinois, which includes the city of Chicago. Neighborhood disadvantage score at the time of diagnosis was calculated for each woman based on Browning and Cagney’s index of concentrated disadvantage. Cox proportional hazard models measured the association of self-identified African-American race with ovarian cancer-specific survival after adjusting for age, tumor characteristics, surgical debulking, and neighborhood disadvantage. There was a statistically significant negative association (-0.645) between ovarian cancer-specific survival and neighborhood disadvantage (p = 0.008). After adjusting for age and tumor characteristics, African-American women were more likely than Whites to die of ovarian cancer (HR = 1.59, p = 0.003). After accounting for neighborhood disadvantage, this risk was attenuated (HR = 1.32, p = 0.10). These findings demonstrate that neighborhood disadvantage is associated with ovarian cancer-specific survival and may contribute to the racial disparity in survival.","container-title":"Frontiers in Public Health","DOI":"10.3389/fpubh.2015.00008","ISSN":"2296-2565","journalAbbreviation":"Front. Public Health","language":"English","note":"https://www.frontiersin.org/articles/10.3389/fpubh.2015.00008/full","source":"Frontiers","title":"The Effect of Neighborhood Disadvantage on the Racial Disparity in Ovarian Cancer-Specific Survival in a Large Hospital-Based Study in Cook County, Illinois","volume":"3","author":[{"family":"Peterson","given":"Caryn E."},{"family":"Rauscher","given":"Garth H."},{"family":"Johnson","given":"Timothy P."},{"family":"Kirschner","given":"Carolyn V."},{"family":"Freels","given":"Sally"},{"family":"Barrett","given":"Richard E."},{"family":"Kim","given":"Seijeoung"},{"family":"Fitzgibbon","given":"Marian L."},{"family":"Joslin","given":"Charlotte E."},{"family":"Davis","given":"Faith G."}],"accessed":{"date-parts":[["2019",12,6]]},"issued":{"date-parts":[["2015"]]}},"label":"page"}],"schema":"https://github.com/citation-style-language/schema/raw/master/csl-citation.json"} </w:instrText>
      </w:r>
      <w:r>
        <w:fldChar w:fldCharType="separate"/>
      </w:r>
      <w:r w:rsidRPr="00FB35AF">
        <w:t>(9,10,17,18)</w:t>
      </w:r>
      <w:r>
        <w:fldChar w:fldCharType="end"/>
      </w:r>
      <w:r>
        <w:t xml:space="preserve">. Diagnosis data will also be more complete and accurate in this cohort because it will come from the medical record, not from self-reports. Among </w:t>
      </w:r>
      <w:r>
        <w:lastRenderedPageBreak/>
        <w:t xml:space="preserve">PSID respondents who reported that they had been diagnosed with cancer, the date of diagnosis was the most frequent inconsistent response </w:t>
      </w:r>
      <w:r>
        <w:fldChar w:fldCharType="begin"/>
      </w:r>
      <w:r w:rsidR="00F85975">
        <w:instrText xml:space="preserve"> ADDIN ZOTERO_ITEM CSL_CITATION {"citationID":"LsP74CfH","properties":{"formattedCitation":"(53)","plainCitation":"(53)","noteIndex":0},"citationItems":[{"id":1011,"uris":["http://zotero.org/users/1353333/items/WPHRIMLZ"],"itemData":{"id":1011,"type":"article-journal","abstract":"Many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B."}],"issued":{"date-parts":[["2010",12]]}}}],"schema":"https://github.com/citation-style-language/schema/raw/master/csl-citation.json"} </w:instrText>
      </w:r>
      <w:r>
        <w:fldChar w:fldCharType="separate"/>
      </w:r>
      <w:r w:rsidRPr="008F3A24">
        <w:t>(53)</w:t>
      </w:r>
      <w:r>
        <w:fldChar w:fldCharType="end"/>
      </w:r>
      <w:r>
        <w:t>.</w:t>
      </w:r>
    </w:p>
    <w:p w14:paraId="4BCEA977" w14:textId="1BCF5E53" w:rsidR="00C270FD" w:rsidRDefault="00C270FD" w:rsidP="00CC647D">
      <w:pPr>
        <w:sectPr w:rsidR="00C270FD" w:rsidSect="006C3811">
          <w:headerReference w:type="default" r:id="rId22"/>
          <w:footerReference w:type="default" r:id="rId23"/>
          <w:pgSz w:w="12240" w:h="15840"/>
          <w:pgMar w:top="1440" w:right="1440" w:bottom="1440" w:left="1440" w:header="720" w:footer="720" w:gutter="0"/>
          <w:pgNumType w:start="1"/>
          <w:cols w:space="720"/>
          <w:docGrid w:linePitch="360"/>
        </w:sectPr>
      </w:pPr>
      <w:r>
        <w:br w:type="page"/>
      </w:r>
    </w:p>
    <w:p w14:paraId="309F9667" w14:textId="2FBDB22E" w:rsidR="00C270FD" w:rsidRDefault="00C270FD" w:rsidP="00C270FD">
      <w:pPr>
        <w:pStyle w:val="Heading1"/>
      </w:pPr>
      <w:bookmarkStart w:id="51" w:name="_Toc145757037"/>
      <w:bookmarkStart w:id="52" w:name="_Toc145757272"/>
      <w:bookmarkStart w:id="53" w:name="_Toc145757479"/>
      <w:bookmarkStart w:id="54" w:name="_Toc145771904"/>
      <w:bookmarkStart w:id="55" w:name="_Toc148375754"/>
      <w:r>
        <w:lastRenderedPageBreak/>
        <w:t>Methods</w:t>
      </w:r>
      <w:bookmarkEnd w:id="51"/>
      <w:bookmarkEnd w:id="52"/>
      <w:bookmarkEnd w:id="53"/>
      <w:bookmarkEnd w:id="54"/>
      <w:bookmarkEnd w:id="55"/>
    </w:p>
    <w:p w14:paraId="3A3B957A" w14:textId="4BC5DC14" w:rsidR="00EE0B61" w:rsidRDefault="00EE0B61" w:rsidP="00EE0B61">
      <w:pPr>
        <w:pStyle w:val="Heading2"/>
        <w:numPr>
          <w:ilvl w:val="0"/>
          <w:numId w:val="5"/>
        </w:numPr>
      </w:pPr>
      <w:bookmarkStart w:id="56" w:name="_Toc145757038"/>
      <w:bookmarkStart w:id="57" w:name="_Toc145757273"/>
      <w:bookmarkStart w:id="58" w:name="_Toc145757480"/>
      <w:bookmarkStart w:id="59" w:name="_Toc148375755"/>
      <w:r>
        <w:t>Analytic Approach</w:t>
      </w:r>
      <w:bookmarkEnd w:id="56"/>
      <w:bookmarkEnd w:id="57"/>
      <w:bookmarkEnd w:id="58"/>
      <w:bookmarkEnd w:id="59"/>
    </w:p>
    <w:p w14:paraId="0098C795" w14:textId="11D6C884" w:rsidR="00EE0B61" w:rsidRDefault="001873CF" w:rsidP="00EE0B61">
      <w:r>
        <w:t xml:space="preserve">The selection and design of the research aims for this project </w:t>
      </w:r>
      <w:r w:rsidR="000373CF">
        <w:t>we</w:t>
      </w:r>
      <w:r>
        <w:t>re intended to support one another in answering the overarching questions of whether and how past exposure to neighborhood disadvantage influences cancer survival; and how to interpret much more readily available information about neighborhood environment at diagnosis in light of this.</w:t>
      </w:r>
    </w:p>
    <w:p w14:paraId="0FFCDEC7" w14:textId="2235D156" w:rsidR="001873CF" w:rsidRDefault="001873CF" w:rsidP="00EE0B61">
      <w:r>
        <w:t>Aim 1 addresse</w:t>
      </w:r>
      <w:r w:rsidR="000373CF">
        <w:t>d</w:t>
      </w:r>
      <w:r>
        <w:t xml:space="preserve"> the effect of past neighborhood disadvantage directly by attempting to use all available information about past CD on survival after diagnosis with cancer in a nationally representative sample. </w:t>
      </w:r>
      <w:r w:rsidR="00306809">
        <w:t xml:space="preserve">In Aim 2, I </w:t>
      </w:r>
      <w:r w:rsidR="000373CF">
        <w:t xml:space="preserve">planned to </w:t>
      </w:r>
      <w:r w:rsidR="00306809">
        <w:t xml:space="preserve">explore how the relationship between past CD and survival, if any, relates to the established relationship between </w:t>
      </w:r>
      <w:r w:rsidR="000373CF">
        <w:t xml:space="preserve">cancer </w:t>
      </w:r>
      <w:r w:rsidR="00306809">
        <w:t xml:space="preserve">survival and neighborhood CD at diagnosis. Neighborhood CD at diagnosis may act as a proxy for past environments if people tend to live in similar neighborhoods over time; it may mediate the relationship between past environment and future survival because it is both the result of past life circumstances and a known determinant of cancer outcomes. If either of these situations holds, it could inform the interpretation of neighborhood CD at diagnosis in the majority of situations where </w:t>
      </w:r>
      <w:r w:rsidR="004768D7">
        <w:t>full residential histories are not available.</w:t>
      </w:r>
    </w:p>
    <w:p w14:paraId="320A3ABF" w14:textId="64577F6C" w:rsidR="000373CF" w:rsidRDefault="000373CF" w:rsidP="00EE0B61">
      <w:r>
        <w:t xml:space="preserve">After being granted access to the PSID restricted data sets, I learned that changes in the </w:t>
      </w:r>
      <w:r w:rsidR="00321573">
        <w:t>study’s contract prevented them from releasing death certificate data to outside researchers</w:t>
      </w:r>
      <w:r w:rsidR="00A9340A">
        <w:t xml:space="preserve"> (personal email from </w:t>
      </w:r>
      <w:r w:rsidR="00A9340A" w:rsidRPr="00A9340A">
        <w:t>PSIDhelp@umich.edu</w:t>
      </w:r>
      <w:r w:rsidR="00A9340A">
        <w:t>, November 2021)</w:t>
      </w:r>
      <w:r w:rsidR="00321573">
        <w:t xml:space="preserve">. </w:t>
      </w:r>
      <w:r w:rsidR="007F1C7D">
        <w:t xml:space="preserve">The staff of the </w:t>
      </w:r>
      <w:r w:rsidR="00321573">
        <w:t xml:space="preserve">PSID collect detailed information to attempt to re-contact study attritors or to submit to NDI to confirm when participants have died. This information includes </w:t>
      </w:r>
      <w:r w:rsidR="0061517E">
        <w:t>survey variables related to non-response, communications from surviving household members, and obituaries</w:t>
      </w:r>
      <w:r w:rsidR="00321573">
        <w:t xml:space="preserve"> </w:t>
      </w:r>
      <w:r w:rsidR="00321573">
        <w:fldChar w:fldCharType="begin"/>
      </w:r>
      <w:r w:rsidR="00A9340A">
        <w:instrText xml:space="preserve"> ADDIN ZOTERO_ITEM CSL_CITATION {"citationID":"Kycc9pKL","properties":{"formattedCitation":"(54)","plainCitation":"(54)","noteIndex":0},"citationItems":[{"id":3420,"uris":["http://zotero.org/users/1353333/items/NCBWLB4I"],"itemData":{"id":3420,"type":"report","number":"Release 1","publisher":"Institute for Social Research, University of Michigan","title":"Panel Study of Income Dynamics: 1968-2019 Mortality File Documentation","URL":"https://simba.isr.umich.edu/restricted/docs/Mortality/Mortality19_Introduction.pdf","accessed":{"date-parts":[["2023",2,4]]},"issued":{"date-parts":[["2021",3]]}}}],"schema":"https://github.com/citation-style-language/schema/raw/master/csl-citation.json"} </w:instrText>
      </w:r>
      <w:r w:rsidR="00321573">
        <w:fldChar w:fldCharType="separate"/>
      </w:r>
      <w:r w:rsidR="00A9340A" w:rsidRPr="00A9340A">
        <w:t>(54)</w:t>
      </w:r>
      <w:r w:rsidR="00321573">
        <w:fldChar w:fldCharType="end"/>
      </w:r>
      <w:r w:rsidR="0061517E">
        <w:t xml:space="preserve">. The mortality file available for this research included the month and year of death from these sources, which were part of the matching information sent to NDI. Available documentation indicate that the PSID was </w:t>
      </w:r>
      <w:r w:rsidR="0061517E">
        <w:lastRenderedPageBreak/>
        <w:t>able to obtain generally high quality matches using this approach. However, because this data set did not include the anticipated information about cause of death, the outcome of interest for Aims 1 and 2 was changed to all-cause mortality.</w:t>
      </w:r>
    </w:p>
    <w:p w14:paraId="4998134E" w14:textId="4230C099" w:rsidR="002E7B76" w:rsidRDefault="002E7B76" w:rsidP="00EE0B61">
      <w:r>
        <w:t>Finally, Aim 3 addresse</w:t>
      </w:r>
      <w:r w:rsidR="000373CF">
        <w:t>d</w:t>
      </w:r>
      <w:r>
        <w:t xml:space="preserve"> limitations of using a </w:t>
      </w:r>
      <w:r w:rsidR="00274AB8">
        <w:t xml:space="preserve">national and </w:t>
      </w:r>
      <w:r>
        <w:t>non-clinical dataset like the PSID for cancer epidemiology. Cancer data in the PSID are self-reported and do not include information about cancer stage at diagnosis, a critical prognostic indicator.</w:t>
      </w:r>
      <w:r w:rsidR="00274AB8">
        <w:t xml:space="preserve"> In addition, there is evidence of measurement error in self-reported dates of cancer diagnosis, although these errors are randomly distributed across social and demographic groups </w:t>
      </w:r>
      <w:r w:rsidR="00274AB8">
        <w:fldChar w:fldCharType="begin"/>
      </w:r>
      <w:r w:rsidR="00F85975">
        <w:instrText xml:space="preserve"> ADDIN ZOTERO_ITEM CSL_CITATION {"citationID":"ASythSxp","properties":{"formattedCitation":"(53)","plainCitation":"(53)","noteIndex":0},"citationItems":[{"id":1011,"uris":["http://zotero.org/users/1353333/items/WPHRIMLZ"],"itemData":{"id":1011,"type":"article-journal","abstract":"Many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B."}],"issued":{"date-parts":[["2010",12]]}}}],"schema":"https://github.com/citation-style-language/schema/raw/master/csl-citation.json"} </w:instrText>
      </w:r>
      <w:r w:rsidR="00274AB8">
        <w:fldChar w:fldCharType="separate"/>
      </w:r>
      <w:r w:rsidR="00274AB8" w:rsidRPr="00274AB8">
        <w:t>(53)</w:t>
      </w:r>
      <w:r w:rsidR="00274AB8">
        <w:fldChar w:fldCharType="end"/>
      </w:r>
      <w:r w:rsidR="00274AB8">
        <w:t xml:space="preserve">. The data source for Aim 3, the UI Health tumor registry, </w:t>
      </w:r>
      <w:r w:rsidR="00167234">
        <w:t xml:space="preserve">includes dates of diagnosis, anatomic sites, and stages at diagnosis derived from the medical records of people diagnosed with cancer. </w:t>
      </w:r>
      <w:r w:rsidR="0061517E">
        <w:t xml:space="preserve">The tumor registry study was not affected by challenges to NDI data access, allowing us to ascertain whether deaths were due to cancer. </w:t>
      </w:r>
      <w:r w:rsidR="00167234">
        <w:t xml:space="preserve">The restriction to a single geographic area inherent in this data source may also be a strength. Because patterns of local and regional segregation vary due to the different policies that contributed to them, some researchers have argued that research on the health effects of segregation should be conducted within single jurisdictions </w:t>
      </w:r>
      <w:r w:rsidR="00167234">
        <w:fldChar w:fldCharType="begin"/>
      </w:r>
      <w:r w:rsidR="00B069DD">
        <w:instrText xml:space="preserve"> ADDIN ZOTERO_ITEM CSL_CITATION {"citationID":"1KuXzWrr","properties":{"formattedCitation":"(2)","plainCitation":"(2)","noteIndex":0},"citationItems":[{"id":895,"uris":["http://zotero.org/users/1353333/items/S9NVM8K5"],"itemData":{"id":895,"type":"article-journal","abstract":"BackgroundThis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J."}],"issued":{"date-parts":[["2016",12,30]]}}}],"schema":"https://github.com/citation-style-language/schema/raw/master/csl-citation.json"} </w:instrText>
      </w:r>
      <w:r w:rsidR="00167234">
        <w:fldChar w:fldCharType="separate"/>
      </w:r>
      <w:r w:rsidR="00204BD7" w:rsidRPr="00204BD7">
        <w:t>(2)</w:t>
      </w:r>
      <w:r w:rsidR="00167234">
        <w:fldChar w:fldCharType="end"/>
      </w:r>
      <w:r w:rsidR="00204BD7">
        <w:t xml:space="preserve">. </w:t>
      </w:r>
    </w:p>
    <w:p w14:paraId="5CB7FCC8" w14:textId="04E0AEAB" w:rsidR="00EE0B61" w:rsidRDefault="00EE0B61" w:rsidP="00EE0B61">
      <w:pPr>
        <w:pStyle w:val="Heading2"/>
      </w:pPr>
      <w:bookmarkStart w:id="60" w:name="_Toc145757039"/>
      <w:bookmarkStart w:id="61" w:name="_Toc145757274"/>
      <w:bookmarkStart w:id="62" w:name="_Toc145757481"/>
      <w:bookmarkStart w:id="63" w:name="_Toc148375756"/>
      <w:r>
        <w:t>Data</w:t>
      </w:r>
      <w:bookmarkEnd w:id="60"/>
      <w:bookmarkEnd w:id="61"/>
      <w:bookmarkEnd w:id="62"/>
      <w:bookmarkEnd w:id="63"/>
    </w:p>
    <w:p w14:paraId="3A999A88" w14:textId="2DE66DA4" w:rsidR="00EE0B61" w:rsidRPr="00EE0B61" w:rsidRDefault="00EE0B61" w:rsidP="00EE0B61">
      <w:pPr>
        <w:pStyle w:val="Heading3"/>
        <w:numPr>
          <w:ilvl w:val="0"/>
          <w:numId w:val="6"/>
        </w:numPr>
      </w:pPr>
      <w:bookmarkStart w:id="64" w:name="_Toc145757040"/>
      <w:bookmarkStart w:id="65" w:name="_Toc145757275"/>
      <w:bookmarkStart w:id="66" w:name="_Toc145757482"/>
      <w:bookmarkStart w:id="67" w:name="_Toc148375757"/>
      <w:r>
        <w:t>Panel Study of Income Dynamics</w:t>
      </w:r>
      <w:bookmarkEnd w:id="64"/>
      <w:bookmarkEnd w:id="65"/>
      <w:bookmarkEnd w:id="66"/>
      <w:bookmarkEnd w:id="67"/>
    </w:p>
    <w:p w14:paraId="19DCA9FD" w14:textId="3869F36C" w:rsidR="00EE0B61" w:rsidRDefault="00EE0B61" w:rsidP="00EE0B61">
      <w:r>
        <w:t xml:space="preserve">Exposure, outcome, and covariate data for Aims 1 and 2 </w:t>
      </w:r>
      <w:r w:rsidR="0061517E">
        <w:t>were obtained</w:t>
      </w:r>
      <w:r>
        <w:t xml:space="preserve"> from the PSID and its restricted linked datasets: Census tract characteristics of participants’ residences, and </w:t>
      </w:r>
      <w:r w:rsidR="006532CF">
        <w:t>the mortality file</w:t>
      </w:r>
      <w:r>
        <w:t xml:space="preserve"> for participants who have died.</w:t>
      </w:r>
    </w:p>
    <w:p w14:paraId="3E8DB272" w14:textId="04B2A478" w:rsidR="000C53F0" w:rsidRDefault="00EE0B61" w:rsidP="000C53F0">
      <w:bookmarkStart w:id="68" w:name="_Toc42588992"/>
      <w:bookmarkStart w:id="69" w:name="_Toc53202845"/>
      <w:bookmarkStart w:id="70" w:name="_Toc224445245"/>
      <w:r w:rsidRPr="006C2F9A">
        <w:t>All PSID respondents who self-reported having been diagnosed with cancer as an adult, and have analyzable data,</w:t>
      </w:r>
      <w:r w:rsidR="006532CF">
        <w:t xml:space="preserve"> as of the 2019 data release,</w:t>
      </w:r>
      <w:r w:rsidRPr="006C2F9A">
        <w:t xml:space="preserve"> w</w:t>
      </w:r>
      <w:r w:rsidR="006532CF">
        <w:t>ere</w:t>
      </w:r>
      <w:r w:rsidRPr="006C2F9A">
        <w:t xml:space="preserve"> included. This question was asked in each survey wave since 1999</w:t>
      </w:r>
      <w:r w:rsidR="009903A9">
        <w:t>, but questions about cancer site were not added until 2005</w:t>
      </w:r>
      <w:r w:rsidRPr="006C2F9A">
        <w:t>.</w:t>
      </w:r>
      <w:r w:rsidR="009903A9">
        <w:t xml:space="preserve"> Therefore, this analysis use</w:t>
      </w:r>
      <w:r w:rsidR="0061517E">
        <w:t>d</w:t>
      </w:r>
      <w:r w:rsidR="009903A9">
        <w:t xml:space="preserve"> only reports of a previous cancer diagnosis made in the 2005 wave or later.</w:t>
      </w:r>
      <w:r w:rsidRPr="006C2F9A">
        <w:t xml:space="preserve"> </w:t>
      </w:r>
      <w:bookmarkEnd w:id="68"/>
      <w:bookmarkEnd w:id="69"/>
      <w:bookmarkEnd w:id="70"/>
      <w:r w:rsidR="009903A9">
        <w:t xml:space="preserve">Participants were asked if they had ever been diagnosed with cancer, resulting in reports of cancers </w:t>
      </w:r>
      <w:r w:rsidR="009903A9">
        <w:lastRenderedPageBreak/>
        <w:t xml:space="preserve">diagnosed before 2005. </w:t>
      </w:r>
      <w:r w:rsidR="001366E9">
        <w:t>Self-reported tumor site, approximate timing of diagnosis, and demographic information were taken from the survey wave in which each participant first reported a cancer diagnosis.</w:t>
      </w:r>
    </w:p>
    <w:p w14:paraId="332E2FF7" w14:textId="65F8BE45" w:rsidR="000C53F0" w:rsidRDefault="00CD43D2" w:rsidP="000C53F0">
      <w:r w:rsidRPr="000C53F0">
        <w:t xml:space="preserve">Relevant variables were drawn from a combination of the family and individual files in the PSID Public Data Index </w:t>
      </w:r>
      <w:r w:rsidRPr="000C53F0">
        <w:fldChar w:fldCharType="begin"/>
      </w:r>
      <w:r w:rsidR="00A9340A">
        <w:instrText xml:space="preserve"> ADDIN ZOTERO_ITEM CSL_CITATION {"citationID":"JkD0NRBE","properties":{"formattedCitation":"(55)","plainCitation":"(55)","noteIndex":0},"citationItems":[{"id":3577,"uris":["http://zotero.org/users/1353333/items/VACRWHP2"],"itemData":{"id":3577,"type":"dataset","event-place":"Ann Arbor, MI","publisher-place":"Ann Arbor, MI","title":"Panel Study of Income Dynamics, public use dataset","author":[{"literal":"Survey Research Center, Institute for Social Research, University of Michigan"}],"issued":{"date-parts":[["2019"]]}}}],"schema":"https://github.com/citation-style-language/schema/raw/master/csl-citation.json"} </w:instrText>
      </w:r>
      <w:r w:rsidRPr="000C53F0">
        <w:fldChar w:fldCharType="separate"/>
      </w:r>
      <w:r w:rsidR="00A9340A" w:rsidRPr="00A9340A">
        <w:t>(55)</w:t>
      </w:r>
      <w:r w:rsidRPr="000C53F0">
        <w:fldChar w:fldCharType="end"/>
      </w:r>
      <w:r w:rsidRPr="000C53F0">
        <w:t xml:space="preserve">. The variables selected their file locations, and the years for which they are available are shown in Table </w:t>
      </w:r>
      <w:r w:rsidR="00171A7B" w:rsidRPr="000C53F0">
        <w:t>I</w:t>
      </w:r>
      <w:r w:rsidR="000C53F0">
        <w:t>.</w:t>
      </w:r>
    </w:p>
    <w:p w14:paraId="7AFD0094" w14:textId="0C0B93B5" w:rsidR="000C53F0" w:rsidRDefault="000C53F0" w:rsidP="000C53F0">
      <w:pPr>
        <w:pStyle w:val="Heading3"/>
      </w:pPr>
      <w:bookmarkStart w:id="71" w:name="_Toc148375758"/>
      <w:r>
        <w:t>University of Illinois Cancer Center Tumor Registry</w:t>
      </w:r>
      <w:bookmarkEnd w:id="71"/>
    </w:p>
    <w:p w14:paraId="570C2D25" w14:textId="77777777" w:rsidR="000C53F0" w:rsidRDefault="000C53F0" w:rsidP="000C53F0">
      <w:r>
        <w:t>Case data for Aim 3 were obtained from the University of Illinois Cancer Center tumor registry. Included cases were those diagnosed with or treated for CRC at the Cancer Center or University of Illinois Hospital in Chicago, IL between 1995 and 2004. The majority of these cases lived in Cook County, IL at the time of diagnosis. Case information included full name, date of birth, race, ethnicity, sex, age at diagnosis, first contact date, site code, descriptive stage, full address at diagnosis, and current or last known address at the time the data were accessed.</w:t>
      </w:r>
    </w:p>
    <w:p w14:paraId="092CB631" w14:textId="77777777" w:rsidR="000C53F0" w:rsidRDefault="000C53F0" w:rsidP="000C53F0">
      <w:pPr>
        <w:pStyle w:val="Heading3"/>
      </w:pPr>
      <w:bookmarkStart w:id="72" w:name="_Toc148375759"/>
      <w:r>
        <w:t>LexisNexis Accurint</w:t>
      </w:r>
      <w:bookmarkEnd w:id="72"/>
      <w:r>
        <w:t xml:space="preserve"> </w:t>
      </w:r>
    </w:p>
    <w:p w14:paraId="2E976CCF" w14:textId="1A2562B0" w:rsidR="00CD43D2" w:rsidRDefault="000C53F0" w:rsidP="00EE0B61">
      <w:r>
        <w:t xml:space="preserve">Residential histories for Aim 3 were obtained using the LexisNexis Accurint for Government database (LexisNexis Risk Solutions, Inc., Florida) </w:t>
      </w:r>
      <w:r>
        <w:fldChar w:fldCharType="begin"/>
      </w:r>
      <w:r w:rsidR="00A9340A">
        <w:instrText xml:space="preserve"> ADDIN ZOTERO_ITEM CSL_CITATION {"citationID":"p2V9MogB","properties":{"formattedCitation":"(56)","plainCitation":"(56)","noteIndex":0},"citationItems":[{"id":3634,"uris":["http://zotero.org/users/1353333/items/2C2LPKHK"],"itemData":{"id":3634,"type":"webpage","abstract":"Government fraud solution, Accurint for Government, is an investigative solution that helps locate people, detect fraud, uncover assets &amp; verify identity.","container-title":"LexisNexis Risk Solutions","language":"en-US","title":"Accurint® for Government","URL":"https://risk.lexisnexis.com/products/accurint-for-government","accessed":{"date-parts":[["2023",9,2]]}}}],"schema":"https://github.com/citation-style-language/schema/raw/master/csl-citation.json"} </w:instrText>
      </w:r>
      <w:r>
        <w:fldChar w:fldCharType="separate"/>
      </w:r>
      <w:r w:rsidR="00A9340A" w:rsidRPr="00A9340A">
        <w:t>(56)</w:t>
      </w:r>
      <w:r>
        <w:fldChar w:fldCharType="end"/>
      </w:r>
      <w:r>
        <w:t xml:space="preserve">. Searches were conducted using full name, date of birth, and residential address at the time of diagnosis using a matching procedure that has been described previously </w:t>
      </w:r>
      <w:r>
        <w:fldChar w:fldCharType="begin"/>
      </w:r>
      <w:r w:rsidR="006502FC">
        <w:instrText xml:space="preserve"> ADDIN ZOTERO_ITEM CSL_CITATION {"citationID":"1JCUY5Zi","properties":{"formattedCitation":"(51,57)","plainCitation":"(51,57)","noteIndex":0},"citationItems":[{"id":3191,"uris":["http://zotero.org/users/1353333/items/AVGQXRJN"],"itemData":{"id":3191,"type":"article-journal","abstract":"Purpose: This study examined potential sources of selection and information biases when using residence history information from a commercial database to construct residential histories for cancer research.\nMethods: 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 Racial/ethnic minorities were less likely to match to vendor residence data compared with nonHispanic whites (odd ratios [95% conﬁdence intervals (CIs)] for non-Hispanic blacks, Hispanics, and Asian/Paciﬁc Islander were 1.66 [1.30, 2.12], 2.92 [2.18, 3.90], and 4.53 [2.72, 7.55], respectively). Being non-Hispanic black was negatively associated with years of residential history (vs. non-Hispanic whites, b coefﬁcient [95% CI] ¼ À2.57 [À3.40, À1.73]). Not matching to residence data was associated with an increased 5-year odds of death from any cause (vs. matched subjects, odd ratios [95% CI] ¼ 5.92 [4.29, 8.50]).\nConclusions: 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Epidemiology","language":"en","page":"35-40.e1","source":"DOI.org (Crossref)","title":"Sources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Y."},{"family":"Basu","given":"Sanjib"},{"family":"Kwan","given":"Mei-Po"}],"issued":{"date-parts":[["2020",11]]}},"label":"act"},{"id":1213,"uris":["http://zotero.org/users/1353333/items/BMKQHEF8"],"itemData":{"id":1213,"type":"report","event-place":"Rockville, MD","language":"en","publisher":"Westat, Inc.","publisher-place":"Rockville, MD","source":"Zotero","title":"NCI/SEER Residential History Project Technical Report","URL":"https://www.westat.com/tools-for-using-commercial-sources-of-residential-histories-for-cancer-research/","author":[{"family":"Stinchcomb","given":"Dave G."},{"family":"Roeser","given":"Allison"}],"issued":{"date-parts":[["2016"]]}},"label":"act"}],"schema":"https://github.com/citation-style-language/schema/raw/master/csl-citation.json"} </w:instrText>
      </w:r>
      <w:r>
        <w:fldChar w:fldCharType="separate"/>
      </w:r>
      <w:r w:rsidR="00A9340A" w:rsidRPr="00A9340A">
        <w:t>(51,57)</w:t>
      </w:r>
      <w:r>
        <w:fldChar w:fldCharType="end"/>
      </w:r>
      <w:r>
        <w:t>. Results included up to 15 previous addresses associated with each case, and the month and year that each address was first and last seen associated with the case’s name.</w:t>
      </w:r>
    </w:p>
    <w:p w14:paraId="3EAD4757" w14:textId="77777777" w:rsidR="00CD43D2" w:rsidRDefault="00CD43D2">
      <w:pPr>
        <w:spacing w:after="160" w:line="259" w:lineRule="auto"/>
        <w:ind w:firstLine="0"/>
      </w:pPr>
      <w:r>
        <w:br w:type="page"/>
      </w:r>
    </w:p>
    <w:p w14:paraId="787A7394" w14:textId="7B78F98F" w:rsidR="00A32767" w:rsidRDefault="00A32767" w:rsidP="00A32767">
      <w:pPr>
        <w:pStyle w:val="TableName"/>
      </w:pPr>
      <w:bookmarkStart w:id="73" w:name="_Toc148375813"/>
      <w:r>
        <w:lastRenderedPageBreak/>
        <w:t>T</w:t>
      </w:r>
      <w:r w:rsidR="00AB11E1">
        <w:t>a</w:t>
      </w:r>
      <w:r>
        <w:t xml:space="preserve">ble </w:t>
      </w:r>
      <w:r w:rsidR="00171A7B">
        <w:t>I</w:t>
      </w:r>
      <w:r>
        <w:t>. Variables from the PSID P</w:t>
      </w:r>
      <w:r w:rsidR="00AB11E1">
        <w:t>u</w:t>
      </w:r>
      <w:r>
        <w:t>blic Data Index</w:t>
      </w:r>
      <w:bookmarkEnd w:id="73"/>
    </w:p>
    <w:tbl>
      <w:tblPr>
        <w:tblStyle w:val="PlainTable3"/>
        <w:tblW w:w="0" w:type="auto"/>
        <w:tblLook w:val="0420" w:firstRow="1" w:lastRow="0" w:firstColumn="0" w:lastColumn="0" w:noHBand="0" w:noVBand="1"/>
      </w:tblPr>
      <w:tblGrid>
        <w:gridCol w:w="3091"/>
        <w:gridCol w:w="3263"/>
        <w:gridCol w:w="3006"/>
      </w:tblGrid>
      <w:tr w:rsidR="00DA59B7" w14:paraId="7A572D77" w14:textId="77777777" w:rsidTr="00CD43D2">
        <w:trPr>
          <w:cnfStyle w:val="100000000000" w:firstRow="1" w:lastRow="0" w:firstColumn="0" w:lastColumn="0" w:oddVBand="0" w:evenVBand="0" w:oddHBand="0" w:evenHBand="0" w:firstRowFirstColumn="0" w:firstRowLastColumn="0" w:lastRowFirstColumn="0" w:lastRowLastColumn="0"/>
        </w:trPr>
        <w:tc>
          <w:tcPr>
            <w:tcW w:w="3091" w:type="dxa"/>
          </w:tcPr>
          <w:p w14:paraId="07744E16" w14:textId="77777777" w:rsidR="00DA59B7" w:rsidRPr="00CD43D2" w:rsidRDefault="00DA59B7" w:rsidP="00AB11E1">
            <w:pPr>
              <w:keepNext/>
              <w:spacing w:line="240" w:lineRule="auto"/>
              <w:ind w:firstLine="0"/>
              <w:rPr>
                <w:caps w:val="0"/>
              </w:rPr>
            </w:pPr>
            <w:bookmarkStart w:id="74" w:name="_Hlk35439270"/>
            <w:r w:rsidRPr="00CD43D2">
              <w:rPr>
                <w:caps w:val="0"/>
              </w:rPr>
              <w:t>Variable</w:t>
            </w:r>
          </w:p>
        </w:tc>
        <w:tc>
          <w:tcPr>
            <w:tcW w:w="3263" w:type="dxa"/>
          </w:tcPr>
          <w:p w14:paraId="13E45745" w14:textId="77777777" w:rsidR="00DA59B7" w:rsidRPr="00CD43D2" w:rsidRDefault="00DA59B7" w:rsidP="00AB11E1">
            <w:pPr>
              <w:keepNext/>
              <w:spacing w:line="240" w:lineRule="auto"/>
              <w:ind w:firstLine="0"/>
              <w:rPr>
                <w:caps w:val="0"/>
              </w:rPr>
            </w:pPr>
            <w:r w:rsidRPr="00CD43D2">
              <w:rPr>
                <w:caps w:val="0"/>
              </w:rPr>
              <w:t>File Location</w:t>
            </w:r>
          </w:p>
        </w:tc>
        <w:tc>
          <w:tcPr>
            <w:tcW w:w="3006" w:type="dxa"/>
          </w:tcPr>
          <w:p w14:paraId="39F4AB2A" w14:textId="77777777" w:rsidR="00DA59B7" w:rsidRPr="00CD43D2" w:rsidRDefault="00DA59B7" w:rsidP="00AB11E1">
            <w:pPr>
              <w:keepNext/>
              <w:spacing w:line="240" w:lineRule="auto"/>
              <w:ind w:firstLine="0"/>
              <w:rPr>
                <w:caps w:val="0"/>
              </w:rPr>
            </w:pPr>
            <w:r w:rsidRPr="00CD43D2">
              <w:rPr>
                <w:caps w:val="0"/>
              </w:rPr>
              <w:t>Years Available</w:t>
            </w:r>
          </w:p>
        </w:tc>
      </w:tr>
      <w:tr w:rsidR="00DA59B7" w14:paraId="237BA03F" w14:textId="77777777" w:rsidTr="00CD43D2">
        <w:trPr>
          <w:cnfStyle w:val="000000100000" w:firstRow="0" w:lastRow="0" w:firstColumn="0" w:lastColumn="0" w:oddVBand="0" w:evenVBand="0" w:oddHBand="1" w:evenHBand="0" w:firstRowFirstColumn="0" w:firstRowLastColumn="0" w:lastRowFirstColumn="0" w:lastRowLastColumn="0"/>
          <w:trHeight w:val="1800"/>
        </w:trPr>
        <w:tc>
          <w:tcPr>
            <w:tcW w:w="3091" w:type="dxa"/>
          </w:tcPr>
          <w:p w14:paraId="7D782BCF" w14:textId="77777777" w:rsidR="00DA59B7" w:rsidRDefault="00DA59B7" w:rsidP="00A32767">
            <w:pPr>
              <w:spacing w:line="240" w:lineRule="auto"/>
              <w:ind w:left="150" w:hanging="180"/>
            </w:pPr>
            <w:r>
              <w:t>Ever diagnosed with cancer – head of household</w:t>
            </w:r>
          </w:p>
          <w:p w14:paraId="06358E87" w14:textId="77777777" w:rsidR="00DA59B7" w:rsidRDefault="00DA59B7" w:rsidP="00A32767">
            <w:pPr>
              <w:spacing w:line="240" w:lineRule="auto"/>
              <w:ind w:left="150" w:hanging="180"/>
            </w:pPr>
            <w:r>
              <w:t xml:space="preserve">Ever diagnosed with cancer – spouse </w:t>
            </w:r>
          </w:p>
        </w:tc>
        <w:tc>
          <w:tcPr>
            <w:tcW w:w="3263" w:type="dxa"/>
          </w:tcPr>
          <w:p w14:paraId="4FA97AED" w14:textId="77777777" w:rsidR="00DA59B7" w:rsidRDefault="00DA59B7" w:rsidP="00A32767">
            <w:pPr>
              <w:spacing w:line="240" w:lineRule="auto"/>
              <w:ind w:left="166" w:hanging="166"/>
            </w:pPr>
            <w:r w:rsidRPr="00FC3352">
              <w:t>Family Public Data Index 01&gt;HEALTH STATUS 02&gt;Physical Health 03&gt;conditions 04&gt;cancer, whether</w:t>
            </w:r>
            <w:r>
              <w:t xml:space="preserve"> 05&gt;head [OR 05&gt;spouse]</w:t>
            </w:r>
          </w:p>
        </w:tc>
        <w:tc>
          <w:tcPr>
            <w:tcW w:w="3006" w:type="dxa"/>
          </w:tcPr>
          <w:p w14:paraId="33DDC48B" w14:textId="79EBE5F4" w:rsidR="00DA59B7" w:rsidRDefault="00DA59B7" w:rsidP="00BE3CC7">
            <w:pPr>
              <w:spacing w:line="240" w:lineRule="auto"/>
              <w:ind w:firstLine="0"/>
            </w:pPr>
            <w:r>
              <w:t xml:space="preserve">Biennial </w:t>
            </w:r>
            <w:r w:rsidR="00AB11E1">
              <w:t>2005</w:t>
            </w:r>
            <w:r>
              <w:t xml:space="preserve"> – 201</w:t>
            </w:r>
            <w:r w:rsidR="00AB11E1">
              <w:t>9</w:t>
            </w:r>
            <w:r>
              <w:t xml:space="preserve"> </w:t>
            </w:r>
          </w:p>
          <w:p w14:paraId="5DC9D84B" w14:textId="77777777" w:rsidR="00DA59B7" w:rsidRDefault="00DA59B7" w:rsidP="00BE3CC7">
            <w:pPr>
              <w:spacing w:line="240" w:lineRule="auto"/>
              <w:ind w:firstLine="0"/>
            </w:pPr>
            <w:r>
              <w:t>Potential reach before 1999 due to question wording</w:t>
            </w:r>
          </w:p>
        </w:tc>
      </w:tr>
      <w:tr w:rsidR="00DA59B7" w14:paraId="7F23C4C3" w14:textId="77777777" w:rsidTr="00CD43D2">
        <w:trPr>
          <w:trHeight w:val="1980"/>
        </w:trPr>
        <w:tc>
          <w:tcPr>
            <w:tcW w:w="3091" w:type="dxa"/>
          </w:tcPr>
          <w:p w14:paraId="58BF530C" w14:textId="77777777" w:rsidR="00DA59B7" w:rsidRDefault="00DA59B7" w:rsidP="00A32767">
            <w:pPr>
              <w:spacing w:line="240" w:lineRule="auto"/>
              <w:ind w:left="150" w:hanging="180"/>
            </w:pPr>
            <w:r>
              <w:t>Cancer type – head of household</w:t>
            </w:r>
          </w:p>
          <w:p w14:paraId="3EE1DC1C" w14:textId="77777777" w:rsidR="00DA59B7" w:rsidRDefault="00DA59B7" w:rsidP="00A32767">
            <w:pPr>
              <w:spacing w:line="240" w:lineRule="auto"/>
              <w:ind w:left="150" w:hanging="180"/>
            </w:pPr>
            <w:r>
              <w:t xml:space="preserve">Cancer type – spouse </w:t>
            </w:r>
          </w:p>
        </w:tc>
        <w:tc>
          <w:tcPr>
            <w:tcW w:w="3263" w:type="dxa"/>
          </w:tcPr>
          <w:p w14:paraId="79C5F576" w14:textId="77777777" w:rsidR="00DA59B7" w:rsidRDefault="00DA59B7" w:rsidP="00A32767">
            <w:pPr>
              <w:spacing w:line="240" w:lineRule="auto"/>
              <w:ind w:left="166" w:hanging="166"/>
            </w:pPr>
            <w:r w:rsidRPr="00FC3352">
              <w:t>Family Public Data Index 01&gt;HEALTH STATUS 02&gt;Physical Health 03&gt;conditions 04&gt;cancer, whether 05&gt;head</w:t>
            </w:r>
            <w:r>
              <w:t xml:space="preserve"> [OR 05&gt;spouse]</w:t>
            </w:r>
            <w:r w:rsidRPr="00FC3352">
              <w:t>: 06&gt;type 07&gt;1st mention</w:t>
            </w:r>
          </w:p>
        </w:tc>
        <w:tc>
          <w:tcPr>
            <w:tcW w:w="3006" w:type="dxa"/>
          </w:tcPr>
          <w:p w14:paraId="3A66A129" w14:textId="77777777" w:rsidR="00DA59B7" w:rsidRDefault="00DA59B7" w:rsidP="00BE3CC7">
            <w:pPr>
              <w:spacing w:line="240" w:lineRule="auto"/>
              <w:ind w:firstLine="0"/>
            </w:pPr>
            <w:r>
              <w:t>Biennial 2005 – 2017</w:t>
            </w:r>
          </w:p>
          <w:p w14:paraId="0E416DF3" w14:textId="77777777" w:rsidR="00DA59B7" w:rsidRDefault="00DA59B7" w:rsidP="00BE3CC7">
            <w:pPr>
              <w:spacing w:line="240" w:lineRule="auto"/>
              <w:ind w:firstLine="0"/>
            </w:pPr>
            <w:r>
              <w:t>Potential reach before 2005 due to question wording</w:t>
            </w:r>
          </w:p>
        </w:tc>
      </w:tr>
      <w:tr w:rsidR="00DA59B7" w14:paraId="6167E528" w14:textId="77777777" w:rsidTr="00CD43D2">
        <w:trPr>
          <w:cnfStyle w:val="000000100000" w:firstRow="0" w:lastRow="0" w:firstColumn="0" w:lastColumn="0" w:oddVBand="0" w:evenVBand="0" w:oddHBand="1" w:evenHBand="0" w:firstRowFirstColumn="0" w:firstRowLastColumn="0" w:lastRowFirstColumn="0" w:lastRowLastColumn="0"/>
          <w:trHeight w:val="630"/>
        </w:trPr>
        <w:tc>
          <w:tcPr>
            <w:tcW w:w="3091" w:type="dxa"/>
          </w:tcPr>
          <w:p w14:paraId="1A40639B" w14:textId="77777777" w:rsidR="00DA59B7" w:rsidRDefault="00DA59B7" w:rsidP="00A32767">
            <w:pPr>
              <w:spacing w:line="240" w:lineRule="auto"/>
              <w:ind w:left="150" w:hanging="180"/>
            </w:pPr>
            <w:r>
              <w:t>Age at interview</w:t>
            </w:r>
          </w:p>
        </w:tc>
        <w:tc>
          <w:tcPr>
            <w:tcW w:w="3263" w:type="dxa"/>
          </w:tcPr>
          <w:p w14:paraId="3339E10A" w14:textId="77777777" w:rsidR="00DA59B7" w:rsidRDefault="00DA59B7" w:rsidP="00A32767">
            <w:pPr>
              <w:spacing w:line="240" w:lineRule="auto"/>
              <w:ind w:left="166" w:hanging="166"/>
            </w:pPr>
            <w:r w:rsidRPr="00FC3352">
              <w:t>Individual Data Index 01&gt;DEMOGRAPHIC 02&gt;Age</w:t>
            </w:r>
          </w:p>
        </w:tc>
        <w:tc>
          <w:tcPr>
            <w:tcW w:w="3006" w:type="dxa"/>
          </w:tcPr>
          <w:p w14:paraId="4E7B0B28" w14:textId="77777777" w:rsidR="00DA59B7" w:rsidRDefault="00DA59B7" w:rsidP="00BE3CC7">
            <w:pPr>
              <w:spacing w:line="240" w:lineRule="auto"/>
              <w:ind w:firstLine="0"/>
            </w:pPr>
            <w:r>
              <w:t xml:space="preserve">1968 – 2017 </w:t>
            </w:r>
          </w:p>
        </w:tc>
      </w:tr>
      <w:tr w:rsidR="00DA59B7" w14:paraId="34BD2827" w14:textId="77777777" w:rsidTr="00CD43D2">
        <w:trPr>
          <w:trHeight w:val="711"/>
        </w:trPr>
        <w:tc>
          <w:tcPr>
            <w:tcW w:w="3091" w:type="dxa"/>
          </w:tcPr>
          <w:p w14:paraId="69CF1163" w14:textId="77777777" w:rsidR="00DA59B7" w:rsidRDefault="00DA59B7" w:rsidP="00A32767">
            <w:pPr>
              <w:spacing w:line="240" w:lineRule="auto"/>
              <w:ind w:left="150" w:hanging="180"/>
            </w:pPr>
            <w:r>
              <w:t>Sex</w:t>
            </w:r>
          </w:p>
        </w:tc>
        <w:tc>
          <w:tcPr>
            <w:tcW w:w="3263" w:type="dxa"/>
          </w:tcPr>
          <w:p w14:paraId="47DAE558" w14:textId="77777777" w:rsidR="00DA59B7" w:rsidRDefault="00DA59B7" w:rsidP="00A32767">
            <w:pPr>
              <w:spacing w:line="240" w:lineRule="auto"/>
              <w:ind w:left="166" w:hanging="166"/>
            </w:pPr>
            <w:r w:rsidRPr="00156311">
              <w:t>Individual Data Index 01&gt;DEMOGRAPHIC 02&gt;Sex</w:t>
            </w:r>
          </w:p>
        </w:tc>
        <w:tc>
          <w:tcPr>
            <w:tcW w:w="3006" w:type="dxa"/>
          </w:tcPr>
          <w:p w14:paraId="339D4DC4" w14:textId="77777777" w:rsidR="00DA59B7" w:rsidRDefault="00DA59B7" w:rsidP="00BE3CC7">
            <w:pPr>
              <w:spacing w:line="240" w:lineRule="auto"/>
              <w:ind w:firstLine="0"/>
            </w:pPr>
            <w:r>
              <w:t>1968 - 2017</w:t>
            </w:r>
          </w:p>
        </w:tc>
      </w:tr>
      <w:tr w:rsidR="00DA59B7" w14:paraId="1B02DD8A" w14:textId="77777777" w:rsidTr="00CD43D2">
        <w:trPr>
          <w:cnfStyle w:val="000000100000" w:firstRow="0" w:lastRow="0" w:firstColumn="0" w:lastColumn="0" w:oddVBand="0" w:evenVBand="0" w:oddHBand="1" w:evenHBand="0" w:firstRowFirstColumn="0" w:firstRowLastColumn="0" w:lastRowFirstColumn="0" w:lastRowLastColumn="0"/>
          <w:trHeight w:val="1449"/>
        </w:trPr>
        <w:tc>
          <w:tcPr>
            <w:tcW w:w="3091" w:type="dxa"/>
          </w:tcPr>
          <w:p w14:paraId="57BA32BD" w14:textId="77777777" w:rsidR="00DA59B7" w:rsidRDefault="00DA59B7" w:rsidP="00A32767">
            <w:pPr>
              <w:spacing w:line="240" w:lineRule="auto"/>
              <w:ind w:left="150" w:hanging="180"/>
            </w:pPr>
            <w:r>
              <w:t>Race</w:t>
            </w:r>
          </w:p>
        </w:tc>
        <w:tc>
          <w:tcPr>
            <w:tcW w:w="3263" w:type="dxa"/>
          </w:tcPr>
          <w:p w14:paraId="1D395CF2" w14:textId="77777777" w:rsidR="00DA59B7" w:rsidRDefault="00DA59B7" w:rsidP="00A32767">
            <w:pPr>
              <w:spacing w:line="240" w:lineRule="auto"/>
              <w:ind w:left="166" w:hanging="166"/>
            </w:pPr>
            <w:r w:rsidRPr="00156311">
              <w:t xml:space="preserve">Family Public Data Index 01&gt;DEMOGRAPHIC 02&gt;Race and Ethnicity 03&gt;race 04&gt;head </w:t>
            </w:r>
            <w:r>
              <w:t xml:space="preserve">[OR 04&gt;spouse] </w:t>
            </w:r>
            <w:r w:rsidRPr="00156311">
              <w:t>05&gt;1st mention</w:t>
            </w:r>
          </w:p>
        </w:tc>
        <w:tc>
          <w:tcPr>
            <w:tcW w:w="3006" w:type="dxa"/>
          </w:tcPr>
          <w:p w14:paraId="3CAF730D" w14:textId="77777777" w:rsidR="00DA59B7" w:rsidRDefault="00DA59B7" w:rsidP="00BE3CC7">
            <w:pPr>
              <w:spacing w:line="240" w:lineRule="auto"/>
              <w:ind w:firstLine="0"/>
            </w:pPr>
            <w:r>
              <w:t>Head: 1968 – 2017</w:t>
            </w:r>
          </w:p>
          <w:p w14:paraId="31DD89F9" w14:textId="77777777" w:rsidR="00DA59B7" w:rsidRDefault="00DA59B7" w:rsidP="00BE3CC7">
            <w:pPr>
              <w:spacing w:line="240" w:lineRule="auto"/>
              <w:ind w:firstLine="0"/>
            </w:pPr>
            <w:r>
              <w:t xml:space="preserve">Spouse: 1985 – 2017 </w:t>
            </w:r>
          </w:p>
        </w:tc>
      </w:tr>
      <w:tr w:rsidR="00DA59B7" w14:paraId="6899DD4A" w14:textId="77777777" w:rsidTr="00CD43D2">
        <w:trPr>
          <w:trHeight w:val="1161"/>
        </w:trPr>
        <w:tc>
          <w:tcPr>
            <w:tcW w:w="3091" w:type="dxa"/>
          </w:tcPr>
          <w:p w14:paraId="57F9C6EE" w14:textId="77777777" w:rsidR="00DA59B7" w:rsidRDefault="00DA59B7" w:rsidP="00A32767">
            <w:pPr>
              <w:spacing w:line="240" w:lineRule="auto"/>
              <w:ind w:left="150" w:hanging="180"/>
            </w:pPr>
            <w:r>
              <w:t>Ethnicity</w:t>
            </w:r>
          </w:p>
        </w:tc>
        <w:tc>
          <w:tcPr>
            <w:tcW w:w="3263" w:type="dxa"/>
          </w:tcPr>
          <w:p w14:paraId="24518376" w14:textId="77777777" w:rsidR="00DA59B7" w:rsidRDefault="00DA59B7" w:rsidP="00A32767">
            <w:pPr>
              <w:spacing w:line="240" w:lineRule="auto"/>
              <w:ind w:left="166" w:hanging="166"/>
            </w:pPr>
            <w:r w:rsidRPr="00EE1780">
              <w:t>Family Public Data Index 01&gt;DEMOGRAPHIC 02&gt;Race and Ethnicity 03&gt;ethnicity 04&gt;head</w:t>
            </w:r>
            <w:r>
              <w:t xml:space="preserve"> [OR 04&gt;spouse]</w:t>
            </w:r>
          </w:p>
        </w:tc>
        <w:tc>
          <w:tcPr>
            <w:tcW w:w="3006" w:type="dxa"/>
          </w:tcPr>
          <w:p w14:paraId="662D0807" w14:textId="77777777" w:rsidR="00DA59B7" w:rsidRDefault="00DA59B7" w:rsidP="00BE3CC7">
            <w:pPr>
              <w:spacing w:line="240" w:lineRule="auto"/>
              <w:ind w:firstLine="0"/>
            </w:pPr>
            <w:r>
              <w:t>1997 - 2017</w:t>
            </w:r>
          </w:p>
        </w:tc>
      </w:tr>
      <w:tr w:rsidR="00DA59B7" w14:paraId="176A001E" w14:textId="77777777" w:rsidTr="00CD43D2">
        <w:trPr>
          <w:cnfStyle w:val="000000100000" w:firstRow="0" w:lastRow="0" w:firstColumn="0" w:lastColumn="0" w:oddVBand="0" w:evenVBand="0" w:oddHBand="1" w:evenHBand="0" w:firstRowFirstColumn="0" w:firstRowLastColumn="0" w:lastRowFirstColumn="0" w:lastRowLastColumn="0"/>
          <w:trHeight w:val="1440"/>
        </w:trPr>
        <w:tc>
          <w:tcPr>
            <w:tcW w:w="3091" w:type="dxa"/>
          </w:tcPr>
          <w:p w14:paraId="71CB5D89" w14:textId="77777777" w:rsidR="00DA59B7" w:rsidRDefault="00DA59B7" w:rsidP="00A32767">
            <w:pPr>
              <w:spacing w:line="240" w:lineRule="auto"/>
              <w:ind w:left="150" w:hanging="180"/>
            </w:pPr>
            <w:proofErr w:type="spellStart"/>
            <w:r>
              <w:t>Hispanicity</w:t>
            </w:r>
            <w:proofErr w:type="spellEnd"/>
          </w:p>
        </w:tc>
        <w:tc>
          <w:tcPr>
            <w:tcW w:w="3263" w:type="dxa"/>
          </w:tcPr>
          <w:p w14:paraId="21D04210" w14:textId="77777777" w:rsidR="00DA59B7" w:rsidRPr="00EE1780" w:rsidRDefault="00DA59B7" w:rsidP="00A32767">
            <w:pPr>
              <w:spacing w:line="240" w:lineRule="auto"/>
              <w:ind w:left="166" w:hanging="166"/>
            </w:pPr>
            <w:r w:rsidRPr="00EE1780">
              <w:t>Family Public Data Index 01&gt;DEMOGRAPHIC 02&gt;Race and Ethnicity 03&gt;</w:t>
            </w:r>
            <w:proofErr w:type="spellStart"/>
            <w:r w:rsidRPr="00EE1780">
              <w:t>hispanicity</w:t>
            </w:r>
            <w:proofErr w:type="spellEnd"/>
            <w:r w:rsidRPr="00EE1780">
              <w:t xml:space="preserve"> 04&gt;head</w:t>
            </w:r>
            <w:r>
              <w:t xml:space="preserve"> [OR 04&gt;spouse]</w:t>
            </w:r>
            <w:r w:rsidRPr="00EE1780">
              <w:t xml:space="preserve"> 05&gt;1st mention:</w:t>
            </w:r>
          </w:p>
        </w:tc>
        <w:tc>
          <w:tcPr>
            <w:tcW w:w="3006" w:type="dxa"/>
          </w:tcPr>
          <w:p w14:paraId="4D832BDD" w14:textId="77777777" w:rsidR="00DA59B7" w:rsidRDefault="00DA59B7" w:rsidP="00BE3CC7">
            <w:pPr>
              <w:spacing w:line="240" w:lineRule="auto"/>
              <w:ind w:firstLine="0"/>
            </w:pPr>
            <w:r>
              <w:t>1985 – 1996</w:t>
            </w:r>
          </w:p>
          <w:p w14:paraId="3C36A523" w14:textId="77777777" w:rsidR="00DA59B7" w:rsidRDefault="00DA59B7" w:rsidP="00BE3CC7">
            <w:pPr>
              <w:spacing w:line="240" w:lineRule="auto"/>
              <w:ind w:firstLine="0"/>
            </w:pPr>
            <w:r>
              <w:t xml:space="preserve">2005 – 2017 </w:t>
            </w:r>
          </w:p>
        </w:tc>
      </w:tr>
      <w:tr w:rsidR="00DA59B7" w14:paraId="2780C3A7" w14:textId="77777777" w:rsidTr="00CD43D2">
        <w:tc>
          <w:tcPr>
            <w:tcW w:w="3091" w:type="dxa"/>
          </w:tcPr>
          <w:p w14:paraId="58932E8D" w14:textId="77777777" w:rsidR="00DA59B7" w:rsidRDefault="00DA59B7" w:rsidP="00A32767">
            <w:pPr>
              <w:spacing w:line="240" w:lineRule="auto"/>
              <w:ind w:left="150" w:hanging="180"/>
            </w:pPr>
            <w:r>
              <w:t>Completed education level: grades completed including college; encodes years of college but not degree completion</w:t>
            </w:r>
          </w:p>
        </w:tc>
        <w:tc>
          <w:tcPr>
            <w:tcW w:w="3263" w:type="dxa"/>
          </w:tcPr>
          <w:p w14:paraId="216DC525" w14:textId="77777777" w:rsidR="00DA59B7" w:rsidRPr="00EE1780" w:rsidRDefault="00DA59B7" w:rsidP="00A32767">
            <w:pPr>
              <w:spacing w:line="240" w:lineRule="auto"/>
              <w:ind w:left="166" w:hanging="166"/>
            </w:pPr>
            <w:r w:rsidRPr="00EE1780">
              <w:t>Family Public Data Index</w:t>
            </w:r>
            <w:r>
              <w:t xml:space="preserve"> </w:t>
            </w:r>
            <w:r w:rsidRPr="00EE1780">
              <w:t>01&gt;EDUCATION</w:t>
            </w:r>
            <w:r>
              <w:t xml:space="preserve"> </w:t>
            </w:r>
            <w:r w:rsidRPr="00EE1780">
              <w:t>02&gt;Grades Completed</w:t>
            </w:r>
            <w:r>
              <w:t xml:space="preserve"> </w:t>
            </w:r>
            <w:r w:rsidRPr="00EE1780">
              <w:t>03&gt;including college</w:t>
            </w:r>
            <w:r>
              <w:t xml:space="preserve"> </w:t>
            </w:r>
            <w:r w:rsidRPr="00EE1780">
              <w:t>04&gt;head</w:t>
            </w:r>
            <w:r>
              <w:t xml:space="preserve"> [OR 04&gt;spouse]</w:t>
            </w:r>
          </w:p>
          <w:p w14:paraId="0B30E1D4" w14:textId="77777777" w:rsidR="00DA59B7" w:rsidRPr="00EE1780" w:rsidRDefault="00DA59B7" w:rsidP="00A32767">
            <w:pPr>
              <w:spacing w:line="240" w:lineRule="auto"/>
              <w:ind w:left="166" w:hanging="166"/>
            </w:pPr>
          </w:p>
        </w:tc>
        <w:tc>
          <w:tcPr>
            <w:tcW w:w="3006" w:type="dxa"/>
          </w:tcPr>
          <w:p w14:paraId="6D543D22" w14:textId="77777777" w:rsidR="00DA59B7" w:rsidRDefault="00DA59B7" w:rsidP="00BE3CC7">
            <w:pPr>
              <w:spacing w:line="240" w:lineRule="auto"/>
              <w:ind w:firstLine="0"/>
            </w:pPr>
            <w:r>
              <w:t>1975 – 1984</w:t>
            </w:r>
          </w:p>
          <w:p w14:paraId="53BA2741" w14:textId="77777777" w:rsidR="00DA59B7" w:rsidRDefault="00DA59B7" w:rsidP="00BE3CC7">
            <w:pPr>
              <w:spacing w:line="240" w:lineRule="auto"/>
              <w:ind w:firstLine="0"/>
            </w:pPr>
            <w:r>
              <w:t xml:space="preserve">1991 – 2017 </w:t>
            </w:r>
          </w:p>
        </w:tc>
      </w:tr>
      <w:tr w:rsidR="00DA59B7" w14:paraId="013D314F" w14:textId="77777777" w:rsidTr="00CD43D2">
        <w:trPr>
          <w:cnfStyle w:val="000000100000" w:firstRow="0" w:lastRow="0" w:firstColumn="0" w:lastColumn="0" w:oddVBand="0" w:evenVBand="0" w:oddHBand="1" w:evenHBand="0" w:firstRowFirstColumn="0" w:firstRowLastColumn="0" w:lastRowFirstColumn="0" w:lastRowLastColumn="0"/>
        </w:trPr>
        <w:tc>
          <w:tcPr>
            <w:tcW w:w="3091" w:type="dxa"/>
          </w:tcPr>
          <w:p w14:paraId="11DEABBF" w14:textId="77777777" w:rsidR="00DA59B7" w:rsidRDefault="00DA59B7" w:rsidP="00A32767">
            <w:pPr>
              <w:spacing w:line="240" w:lineRule="auto"/>
              <w:ind w:left="150" w:hanging="180"/>
            </w:pPr>
            <w:r>
              <w:t>Completed education level: high school graduate, GED recipient, or neither</w:t>
            </w:r>
          </w:p>
        </w:tc>
        <w:tc>
          <w:tcPr>
            <w:tcW w:w="3263" w:type="dxa"/>
          </w:tcPr>
          <w:p w14:paraId="266F7C34" w14:textId="77777777" w:rsidR="00DA59B7" w:rsidRPr="00EE1780" w:rsidRDefault="00DA59B7" w:rsidP="00A32767">
            <w:pPr>
              <w:spacing w:line="240" w:lineRule="auto"/>
              <w:ind w:left="166" w:hanging="166"/>
            </w:pPr>
            <w:r>
              <w:t>Family Public Data Index 01&gt;EDUCATION 02&gt;Grades Completed 03&gt;excluding college 04&gt;high school, no GED 05&gt;graduate, whether 06&gt;head [OR 06&gt;spouse]</w:t>
            </w:r>
          </w:p>
        </w:tc>
        <w:tc>
          <w:tcPr>
            <w:tcW w:w="3006" w:type="dxa"/>
          </w:tcPr>
          <w:p w14:paraId="1DFCAB1D" w14:textId="77777777" w:rsidR="00DA59B7" w:rsidRDefault="00DA59B7" w:rsidP="00BE3CC7">
            <w:pPr>
              <w:spacing w:line="240" w:lineRule="auto"/>
              <w:ind w:firstLine="0"/>
            </w:pPr>
            <w:r>
              <w:t>1985 - 2017</w:t>
            </w:r>
          </w:p>
        </w:tc>
      </w:tr>
    </w:tbl>
    <w:bookmarkEnd w:id="74"/>
    <w:p w14:paraId="7049DAA6" w14:textId="02CFA71B" w:rsidR="00016892" w:rsidRDefault="00016892" w:rsidP="00016892">
      <w:pPr>
        <w:pStyle w:val="TableNameContinued"/>
        <w:spacing w:after="0"/>
      </w:pPr>
      <w:r w:rsidRPr="00016892">
        <w:lastRenderedPageBreak/>
        <w:t>TABLE I. VARIABLES FROM THE PSID PUBLIC DATA INDEX</w:t>
      </w:r>
      <w:r>
        <w:t xml:space="preserve"> (</w:t>
      </w:r>
      <w:r>
        <w:rPr>
          <w:caps w:val="0"/>
        </w:rPr>
        <w:t>continued</w:t>
      </w:r>
      <w:r>
        <w:t>)</w:t>
      </w:r>
    </w:p>
    <w:tbl>
      <w:tblPr>
        <w:tblStyle w:val="PlainTable1"/>
        <w:tblW w:w="0" w:type="auto"/>
        <w:tblLook w:val="0420" w:firstRow="1" w:lastRow="0" w:firstColumn="0" w:lastColumn="0" w:noHBand="0" w:noVBand="1"/>
      </w:tblPr>
      <w:tblGrid>
        <w:gridCol w:w="3116"/>
        <w:gridCol w:w="3117"/>
        <w:gridCol w:w="3117"/>
      </w:tblGrid>
      <w:tr w:rsidR="00016892" w14:paraId="28C67FF4" w14:textId="77777777" w:rsidTr="00016892">
        <w:trPr>
          <w:cnfStyle w:val="100000000000" w:firstRow="1" w:lastRow="0" w:firstColumn="0" w:lastColumn="0" w:oddVBand="0" w:evenVBand="0" w:oddHBand="0" w:evenHBand="0" w:firstRowFirstColumn="0" w:firstRowLastColumn="0" w:lastRowFirstColumn="0" w:lastRowLastColumn="0"/>
        </w:trPr>
        <w:tc>
          <w:tcPr>
            <w:tcW w:w="3116" w:type="dxa"/>
          </w:tcPr>
          <w:p w14:paraId="72F358E5" w14:textId="1AF309E2" w:rsidR="00016892" w:rsidRDefault="00016892" w:rsidP="00016892">
            <w:pPr>
              <w:spacing w:line="240" w:lineRule="auto"/>
              <w:ind w:firstLine="0"/>
            </w:pPr>
            <w:r w:rsidRPr="00CD43D2">
              <w:t>Variable</w:t>
            </w:r>
          </w:p>
        </w:tc>
        <w:tc>
          <w:tcPr>
            <w:tcW w:w="3117" w:type="dxa"/>
          </w:tcPr>
          <w:p w14:paraId="7CA62F77" w14:textId="78CEF25F" w:rsidR="00016892" w:rsidRPr="00F73C0F" w:rsidRDefault="00016892" w:rsidP="00016892">
            <w:pPr>
              <w:spacing w:line="240" w:lineRule="auto"/>
              <w:ind w:firstLine="0"/>
            </w:pPr>
            <w:r w:rsidRPr="00CD43D2">
              <w:t>File Location</w:t>
            </w:r>
          </w:p>
        </w:tc>
        <w:tc>
          <w:tcPr>
            <w:tcW w:w="3117" w:type="dxa"/>
          </w:tcPr>
          <w:p w14:paraId="0E77E630" w14:textId="36352D75" w:rsidR="00016892" w:rsidRDefault="00016892" w:rsidP="00016892">
            <w:pPr>
              <w:spacing w:line="240" w:lineRule="auto"/>
              <w:ind w:firstLine="0"/>
            </w:pPr>
            <w:r w:rsidRPr="00CD43D2">
              <w:t>Years Available</w:t>
            </w:r>
          </w:p>
        </w:tc>
      </w:tr>
      <w:tr w:rsidR="00016892" w14:paraId="081AE1D4" w14:textId="77777777" w:rsidTr="00016892">
        <w:trPr>
          <w:cnfStyle w:val="000000100000" w:firstRow="0" w:lastRow="0" w:firstColumn="0" w:lastColumn="0" w:oddVBand="0" w:evenVBand="0" w:oddHBand="1" w:evenHBand="0" w:firstRowFirstColumn="0" w:firstRowLastColumn="0" w:lastRowFirstColumn="0" w:lastRowLastColumn="0"/>
        </w:trPr>
        <w:tc>
          <w:tcPr>
            <w:tcW w:w="3116" w:type="dxa"/>
          </w:tcPr>
          <w:p w14:paraId="33D71EE8" w14:textId="2AB5509A" w:rsidR="00016892" w:rsidRDefault="00016892" w:rsidP="00016892">
            <w:pPr>
              <w:spacing w:after="160" w:line="259" w:lineRule="auto"/>
              <w:ind w:firstLine="0"/>
            </w:pPr>
            <w:r>
              <w:t>Completed education level: highest college degree received</w:t>
            </w:r>
          </w:p>
        </w:tc>
        <w:tc>
          <w:tcPr>
            <w:tcW w:w="3117" w:type="dxa"/>
          </w:tcPr>
          <w:p w14:paraId="5EC96A58" w14:textId="08E1F878" w:rsidR="00016892" w:rsidRDefault="00016892" w:rsidP="00016892">
            <w:pPr>
              <w:spacing w:after="160" w:line="259" w:lineRule="auto"/>
              <w:ind w:firstLine="0"/>
            </w:pPr>
            <w:r w:rsidRPr="00F73C0F">
              <w:t xml:space="preserve">Family Public Data Index 01&gt;EDUCATION 02&gt;College 03&gt;college degree, whether </w:t>
            </w:r>
            <w:r>
              <w:t xml:space="preserve">04&gt;head [OR </w:t>
            </w:r>
            <w:r w:rsidRPr="00F73C0F">
              <w:t>04&gt;spouse</w:t>
            </w:r>
            <w:r>
              <w:t>]</w:t>
            </w:r>
            <w:r w:rsidRPr="00F73C0F">
              <w:t>: 05&gt;highest received</w:t>
            </w:r>
          </w:p>
        </w:tc>
        <w:tc>
          <w:tcPr>
            <w:tcW w:w="3117" w:type="dxa"/>
          </w:tcPr>
          <w:p w14:paraId="7001976B" w14:textId="6005C2DF" w:rsidR="00016892" w:rsidRDefault="00016892" w:rsidP="00016892">
            <w:pPr>
              <w:spacing w:after="160" w:line="259" w:lineRule="auto"/>
              <w:ind w:firstLine="0"/>
            </w:pPr>
            <w:r>
              <w:t xml:space="preserve">1985 – 2017 </w:t>
            </w:r>
          </w:p>
        </w:tc>
      </w:tr>
      <w:tr w:rsidR="00016892" w14:paraId="205F3A58" w14:textId="77777777" w:rsidTr="00016892">
        <w:tc>
          <w:tcPr>
            <w:tcW w:w="3116" w:type="dxa"/>
          </w:tcPr>
          <w:p w14:paraId="0A564288" w14:textId="5811D674" w:rsidR="00016892" w:rsidRDefault="00016892" w:rsidP="00016892">
            <w:pPr>
              <w:spacing w:after="160" w:line="259" w:lineRule="auto"/>
              <w:ind w:firstLine="0"/>
            </w:pPr>
            <w:r>
              <w:t>Total family income</w:t>
            </w:r>
          </w:p>
        </w:tc>
        <w:tc>
          <w:tcPr>
            <w:tcW w:w="3117" w:type="dxa"/>
          </w:tcPr>
          <w:p w14:paraId="2A431DF2" w14:textId="3F5CFA21" w:rsidR="00016892" w:rsidRDefault="00016892" w:rsidP="00016892">
            <w:pPr>
              <w:spacing w:after="160" w:line="259" w:lineRule="auto"/>
              <w:ind w:firstLine="0"/>
            </w:pPr>
            <w:r w:rsidRPr="00F01AFB">
              <w:t>Family Public Data Index 01&gt;INCOME 02&gt;Family Money 03&gt;total family income</w:t>
            </w:r>
          </w:p>
        </w:tc>
        <w:tc>
          <w:tcPr>
            <w:tcW w:w="3117" w:type="dxa"/>
          </w:tcPr>
          <w:p w14:paraId="6BE08BC7" w14:textId="6CF4A398" w:rsidR="00016892" w:rsidRDefault="00016892" w:rsidP="00016892">
            <w:pPr>
              <w:spacing w:after="160" w:line="259" w:lineRule="auto"/>
              <w:ind w:firstLine="0"/>
            </w:pPr>
            <w:r>
              <w:t>1968 - 2017</w:t>
            </w:r>
          </w:p>
        </w:tc>
      </w:tr>
      <w:tr w:rsidR="00016892" w14:paraId="45C4AA27" w14:textId="77777777" w:rsidTr="00016892">
        <w:trPr>
          <w:cnfStyle w:val="000000100000" w:firstRow="0" w:lastRow="0" w:firstColumn="0" w:lastColumn="0" w:oddVBand="0" w:evenVBand="0" w:oddHBand="1" w:evenHBand="0" w:firstRowFirstColumn="0" w:firstRowLastColumn="0" w:lastRowFirstColumn="0" w:lastRowLastColumn="0"/>
        </w:trPr>
        <w:tc>
          <w:tcPr>
            <w:tcW w:w="3116" w:type="dxa"/>
          </w:tcPr>
          <w:p w14:paraId="004E0EED" w14:textId="0034F5BC" w:rsidR="00016892" w:rsidRDefault="00016892" w:rsidP="00016892">
            <w:pPr>
              <w:spacing w:after="160" w:line="259" w:lineRule="auto"/>
              <w:ind w:firstLine="0"/>
            </w:pPr>
            <w:r>
              <w:t>Total family wealth, excluding home equity</w:t>
            </w:r>
          </w:p>
        </w:tc>
        <w:tc>
          <w:tcPr>
            <w:tcW w:w="3117" w:type="dxa"/>
          </w:tcPr>
          <w:p w14:paraId="4D9F3C1D" w14:textId="0AC3D5FD" w:rsidR="00016892" w:rsidRDefault="00016892" w:rsidP="00016892">
            <w:pPr>
              <w:spacing w:after="160" w:line="259" w:lineRule="auto"/>
              <w:ind w:firstLine="0"/>
            </w:pPr>
            <w:r w:rsidRPr="00CE2D09">
              <w:t>Family Public Data Index 01&gt;WEALTH 02&gt;Total Family Wealth 03&gt;excluding home equity</w:t>
            </w:r>
          </w:p>
        </w:tc>
        <w:tc>
          <w:tcPr>
            <w:tcW w:w="3117" w:type="dxa"/>
          </w:tcPr>
          <w:p w14:paraId="15F4F03B" w14:textId="77777777" w:rsidR="00016892" w:rsidRDefault="00016892" w:rsidP="00016892">
            <w:pPr>
              <w:spacing w:line="240" w:lineRule="auto"/>
              <w:ind w:firstLine="0"/>
            </w:pPr>
            <w:r>
              <w:t xml:space="preserve">1984, 1989, 1994, </w:t>
            </w:r>
          </w:p>
          <w:p w14:paraId="70D21035" w14:textId="70B0B474" w:rsidR="00016892" w:rsidRDefault="00016892" w:rsidP="00016892">
            <w:pPr>
              <w:spacing w:after="160" w:line="259" w:lineRule="auto"/>
              <w:ind w:firstLine="0"/>
            </w:pPr>
            <w:r>
              <w:t xml:space="preserve">1999 – 2017 </w:t>
            </w:r>
          </w:p>
        </w:tc>
      </w:tr>
      <w:tr w:rsidR="00016892" w14:paraId="1386AE76" w14:textId="77777777" w:rsidTr="00016892">
        <w:tc>
          <w:tcPr>
            <w:tcW w:w="3116" w:type="dxa"/>
          </w:tcPr>
          <w:p w14:paraId="24C07F66" w14:textId="4607BD77" w:rsidR="00016892" w:rsidRDefault="00016892" w:rsidP="00016892">
            <w:pPr>
              <w:spacing w:after="160" w:line="259" w:lineRule="auto"/>
              <w:ind w:firstLine="0"/>
            </w:pPr>
            <w:r>
              <w:t>Moved since spring of last year/last interview: reason for moving</w:t>
            </w:r>
          </w:p>
        </w:tc>
        <w:tc>
          <w:tcPr>
            <w:tcW w:w="3117" w:type="dxa"/>
          </w:tcPr>
          <w:p w14:paraId="07E42EBF" w14:textId="31FC4F14" w:rsidR="00016892" w:rsidRDefault="00016892" w:rsidP="00016892">
            <w:pPr>
              <w:spacing w:after="160" w:line="259" w:lineRule="auto"/>
              <w:ind w:firstLine="0"/>
            </w:pPr>
            <w:r w:rsidRPr="00D0276E">
              <w:t>Family Public Data Index 01&gt;LOCATION AND MOBILITY 02&gt;Mobility 03&gt;moved since spring of previous year/last interview, whether: 04&gt;reason 05&gt;1st mention</w:t>
            </w:r>
          </w:p>
        </w:tc>
        <w:tc>
          <w:tcPr>
            <w:tcW w:w="3117" w:type="dxa"/>
          </w:tcPr>
          <w:p w14:paraId="57E1FBD3" w14:textId="37728BBB" w:rsidR="00016892" w:rsidRDefault="00016892" w:rsidP="00016892">
            <w:pPr>
              <w:spacing w:after="160" w:line="259" w:lineRule="auto"/>
              <w:ind w:firstLine="0"/>
            </w:pPr>
            <w:r>
              <w:t xml:space="preserve">1969 – 2017 </w:t>
            </w:r>
          </w:p>
        </w:tc>
      </w:tr>
    </w:tbl>
    <w:p w14:paraId="53333CFB" w14:textId="5C5615A7" w:rsidR="00CD43D2" w:rsidRDefault="00CD43D2">
      <w:pPr>
        <w:spacing w:after="160" w:line="259" w:lineRule="auto"/>
        <w:ind w:firstLine="0"/>
      </w:pPr>
      <w:r>
        <w:br w:type="page"/>
      </w:r>
    </w:p>
    <w:p w14:paraId="69EFC7E9" w14:textId="5265DC0F" w:rsidR="00EE0B61" w:rsidRDefault="00C26451" w:rsidP="00EE0B61">
      <w:pPr>
        <w:pStyle w:val="Heading3"/>
      </w:pPr>
      <w:bookmarkStart w:id="75" w:name="_Toc148375760"/>
      <w:r>
        <w:lastRenderedPageBreak/>
        <w:t>Census Data</w:t>
      </w:r>
      <w:bookmarkEnd w:id="75"/>
    </w:p>
    <w:p w14:paraId="17BBF6A3" w14:textId="375A667E" w:rsidR="00FB0F34" w:rsidRDefault="0009418E" w:rsidP="0009418E">
      <w:r>
        <w:t xml:space="preserve">Components of the CD score at the Census tract level were downloaded from the LTDB for 1970, 1980, 1990, 2000, and 2010. </w:t>
      </w:r>
      <w:r w:rsidR="00FB0F34">
        <w:t xml:space="preserve">Components, numerators, and denominators are shown in Table </w:t>
      </w:r>
      <w:r w:rsidR="00171A7B">
        <w:t>II</w:t>
      </w:r>
      <w:r w:rsidR="00FB0F34">
        <w:t>.</w:t>
      </w:r>
      <w:r w:rsidR="00D731AA">
        <w:t xml:space="preserve"> The LTDB provides estimated values from the Census and related programs in harmonized 2010 tract boundaries </w:t>
      </w:r>
      <w:r w:rsidR="00D731AA">
        <w:fldChar w:fldCharType="begin"/>
      </w:r>
      <w:r w:rsidR="00A9340A">
        <w:instrText xml:space="preserve"> ADDIN ZOTERO_ITEM CSL_CITATION {"citationID":"56SjK0NC","properties":{"formattedCitation":"(58,59)","plainCitation":"(58,59)","noteIndex":0},"citationItems":[{"id":58,"uris":["http://zotero.org/users/1353333/items/65V4IYFG"],"itemData":{"id":58,"type":"dataset","title":"Longitudinal Tract Database (LTDB)","URL":"https://s4.ad.brown.edu/projects/diversity/Researcher/LTDB.htm","author":[{"family":"Logan","given":"John R"},{"family":"Xu","given":"Zengwang"},{"family":"Stults","given":"Brian J."}],"issued":{"date-parts":[["2014"]]}},"label":"page"},{"id":1211,"uris":["http://zotero.org/users/1353333/items/KTGFBQJN"],"itemData":{"id":1211,"type":"article-journal","abstract":"Differences in the reporting units of data from diverse sources and changes in units over time are common obstacles to analysis of areal data. We compare common approaches to this problem in the context of changes over time in the boundaries of U.S. census tracts. In every decennial census many tracts are split, consolidated, or changed in other ways from the previous boundaries to reflect population growth or decline. We examine two interpolation methods to create a bridge between years, one that relies only on areal weighting and another that also introduces population weights. Results demonstrate that these approaches produce substantially different estimates for variables that involve population counts, but they have a high degree of convergence for variables defined as rates or averages. Finally the paper describes the Longitudinal Tract Data Base (LTDB), through which we are making available public-use tools to implement these methods to create estimates within 2010 tract boundaries for any tract-level data (from the census or other sources) that are available for prior years as early as 1970.","container-title":"The Professional geographer : the journal of the Association of American Geographers","DOI":"10.1080/00330124.2014.905156","ISSN":"0033-0124","issue":"3","journalAbbreviation":"Prof Geogr","note":"PMID: 25140068\nPMCID: PMC4134912","page":"412-420","source":"PubMed Central","title":"Interpolating U.S. Decennial Census Tract Data from as Early as 1970 to 2010: A Longtitudinal Tract Database","title-short":"Interpolating U.S. Decennial Census Tract Data from as Early as 1970 to 2010","volume":"66","author":[{"family":"Logan","given":"John R."},{"family":"Xu","given":"Zengwang"},{"family":"Stults","given":"Brian"}],"issued":{"date-parts":[["2014",7,1]]}},"label":"page"}],"schema":"https://github.com/citation-style-language/schema/raw/master/csl-citation.json"} </w:instrText>
      </w:r>
      <w:r w:rsidR="00D731AA">
        <w:fldChar w:fldCharType="separate"/>
      </w:r>
      <w:r w:rsidR="00A9340A" w:rsidRPr="00A9340A">
        <w:t>(58,59)</w:t>
      </w:r>
      <w:r w:rsidR="00D731AA">
        <w:fldChar w:fldCharType="end"/>
      </w:r>
      <w:r w:rsidR="00D731AA">
        <w:t>. In 2010, the LTDB provides actual Decennial Census counts and supplements these counts with the American Community Survey (ACS) 5-year estimates for 2008-2012.</w:t>
      </w:r>
    </w:p>
    <w:p w14:paraId="1C29FC58" w14:textId="0AFC847D" w:rsidR="00CD43D2" w:rsidRDefault="00CD43D2" w:rsidP="00CD43D2">
      <w:r>
        <w:t xml:space="preserve">Additional estimates from the ACS were used to represent individual years beyond 2010. ACS estimates already obtained from the LTDB were carried forward to 2011 and 2012. The ACS 5-year estimates for 2013-2017 were downloaded from the data.census.gov website and used to calculate CD scores for the remaining years of follow-up </w:t>
      </w:r>
      <w:r>
        <w:fldChar w:fldCharType="begin"/>
      </w:r>
      <w:r w:rsidR="00A9340A">
        <w:instrText xml:space="preserve"> ADDIN ZOTERO_ITEM CSL_CITATION {"citationID":"bO5R1iLq","properties":{"formattedCitation":"(60)","plainCitation":"(60)","noteIndex":0},"citationItems":[{"id":3646,"uris":["http://zotero.org/users/1353333/items/EK8NAEYU"],"itemData":{"id":3646,"type":"webpage","title":"Census Bureau Data","URL":"https://data.census.gov/","author":[{"literal":"US Department of Commerce"}],"accessed":{"date-parts":[["2023",9,11]]}}}],"schema":"https://github.com/citation-style-language/schema/raw/master/csl-citation.json"} </w:instrText>
      </w:r>
      <w:r>
        <w:fldChar w:fldCharType="separate"/>
      </w:r>
      <w:r w:rsidR="00A9340A" w:rsidRPr="00A9340A">
        <w:t>(60)</w:t>
      </w:r>
      <w:r>
        <w:fldChar w:fldCharType="end"/>
      </w:r>
      <w:r>
        <w:t>.</w:t>
      </w:r>
    </w:p>
    <w:p w14:paraId="5FB663EC" w14:textId="77777777" w:rsidR="00A85903" w:rsidRDefault="00A85903" w:rsidP="00A85903">
      <w:pPr>
        <w:pStyle w:val="Heading3"/>
      </w:pPr>
      <w:bookmarkStart w:id="76" w:name="_Toc145757044"/>
      <w:bookmarkStart w:id="77" w:name="_Toc145757279"/>
      <w:bookmarkStart w:id="78" w:name="_Toc145757486"/>
      <w:bookmarkStart w:id="79" w:name="_Toc148375761"/>
      <w:r>
        <w:t>National Death Index</w:t>
      </w:r>
      <w:bookmarkEnd w:id="76"/>
      <w:bookmarkEnd w:id="77"/>
      <w:bookmarkEnd w:id="78"/>
      <w:bookmarkEnd w:id="79"/>
    </w:p>
    <w:p w14:paraId="73243F48" w14:textId="77777777" w:rsidR="00A85903" w:rsidRDefault="00A85903" w:rsidP="00A85903">
      <w:r>
        <w:t>Both sources of case data were matched to the National Death Index. However, as described above, PSID restricted data obtained from the NDI were not available to researchers during the time this study was conducted.</w:t>
      </w:r>
    </w:p>
    <w:p w14:paraId="509C923C" w14:textId="77777777" w:rsidR="00A85903" w:rsidRPr="00971D21" w:rsidRDefault="00A85903" w:rsidP="00A85903">
      <w:r>
        <w:t xml:space="preserve">Follow-up of the tumor registry cohort studied in Aim 3 was censored as of January 31, 2014. Vital status, cause of death, and date of death were obtained from NDI Plus </w:t>
      </w:r>
      <w:r>
        <w:fldChar w:fldCharType="begin"/>
      </w:r>
      <w:r>
        <w:instrText xml:space="preserve"> ADDIN ZOTERO_ITEM CSL_CITATION {"citationID":"050V9jnR","properties":{"formattedCitation":"(61)","plainCitation":"(61)","noteIndex":0},"citationItems":[{"id":3757,"uris":["http://zotero.org/users/1353333/items/46LLVKQA"],"itemData":{"id":3757,"type":"report","event-place":"Hyattsville, MD","language":"en","publisher-place":"Hyattsville, MD","source":"Zotero","title":"National Death Index user's guide","author":[{"literal":"National Center for Health Statistics"}],"issued":{"date-parts":[["2013"]]}},"label":"page"}],"schema":"https://github.com/citation-style-language/schema/raw/master/csl-citation.json"} </w:instrText>
      </w:r>
      <w:r>
        <w:fldChar w:fldCharType="separate"/>
      </w:r>
      <w:r w:rsidRPr="00C80331">
        <w:t>(61)</w:t>
      </w:r>
      <w:r>
        <w:fldChar w:fldCharType="end"/>
      </w:r>
      <w:r>
        <w:t xml:space="preserve">. Survival time was calculated using either the date of death per NDI or the end of follow-up, whichever came first. </w:t>
      </w:r>
    </w:p>
    <w:p w14:paraId="7F5D63F1" w14:textId="77777777" w:rsidR="00A85903" w:rsidRDefault="00A85903" w:rsidP="00A85903">
      <w:pPr>
        <w:pStyle w:val="Heading3"/>
      </w:pPr>
      <w:bookmarkStart w:id="80" w:name="_Toc145757045"/>
      <w:bookmarkStart w:id="81" w:name="_Toc145757280"/>
      <w:bookmarkStart w:id="82" w:name="_Toc145757487"/>
      <w:bookmarkStart w:id="83" w:name="_Toc148375762"/>
      <w:r>
        <w:t>Data Preparation</w:t>
      </w:r>
      <w:bookmarkEnd w:id="80"/>
      <w:bookmarkEnd w:id="81"/>
      <w:bookmarkEnd w:id="82"/>
      <w:bookmarkEnd w:id="83"/>
    </w:p>
    <w:p w14:paraId="3CCFFE80" w14:textId="77777777" w:rsidR="00A85903" w:rsidRDefault="00A85903" w:rsidP="00A85903">
      <w:pPr>
        <w:pStyle w:val="Heading4"/>
      </w:pPr>
      <w:bookmarkStart w:id="84" w:name="_Toc145757281"/>
      <w:bookmarkStart w:id="85" w:name="_Toc145757488"/>
      <w:bookmarkStart w:id="86" w:name="_Toc148375763"/>
      <w:r>
        <w:t>Panel Study of Income Dynamics</w:t>
      </w:r>
      <w:bookmarkEnd w:id="84"/>
      <w:bookmarkEnd w:id="85"/>
      <w:bookmarkEnd w:id="86"/>
    </w:p>
    <w:p w14:paraId="12634859" w14:textId="26B76318" w:rsidR="00A85903" w:rsidRDefault="00A85903" w:rsidP="00A85903">
      <w:r w:rsidRPr="00971D21">
        <w:t xml:space="preserve">Several CD score variables were created using different amounts of residential history. </w:t>
      </w:r>
      <w:r w:rsidR="007F1C7D">
        <w:t xml:space="preserve">Point values of the </w:t>
      </w:r>
      <w:r w:rsidRPr="00971D21">
        <w:t>CD score</w:t>
      </w:r>
      <w:r w:rsidR="007F1C7D">
        <w:t xml:space="preserve">s </w:t>
      </w:r>
      <w:r w:rsidRPr="00971D21">
        <w:t xml:space="preserve">were collected at 5, 10, 15, and 20 years before diagnosis. Because the PSID switched to collecting data every other year in 1997, CD score values </w:t>
      </w:r>
      <w:r>
        <w:t xml:space="preserve">collected </w:t>
      </w:r>
      <w:r w:rsidRPr="00971D21">
        <w:t>in odd-numbered years were carried forward to a single even-numbered year before selection.</w:t>
      </w:r>
    </w:p>
    <w:p w14:paraId="370F941F" w14:textId="29F57887" w:rsidR="00CD43D2" w:rsidRDefault="00CD43D2" w:rsidP="00CD43D2">
      <w:pPr>
        <w:pStyle w:val="TableName"/>
      </w:pPr>
      <w:bookmarkStart w:id="87" w:name="_Toc148375814"/>
      <w:r>
        <w:lastRenderedPageBreak/>
        <w:t xml:space="preserve">Table </w:t>
      </w:r>
      <w:r w:rsidR="00171A7B">
        <w:t>II</w:t>
      </w:r>
      <w:r>
        <w:t>. census and american community survey variables used to construct the concentrated disadvantage score</w:t>
      </w:r>
      <w:bookmarkEnd w:id="87"/>
    </w:p>
    <w:tbl>
      <w:tblPr>
        <w:tblStyle w:val="TableGrid"/>
        <w:tblW w:w="0" w:type="auto"/>
        <w:tblLook w:val="04A0" w:firstRow="1" w:lastRow="0" w:firstColumn="1" w:lastColumn="0" w:noHBand="0" w:noVBand="1"/>
      </w:tblPr>
      <w:tblGrid>
        <w:gridCol w:w="3116"/>
        <w:gridCol w:w="3117"/>
        <w:gridCol w:w="3117"/>
      </w:tblGrid>
      <w:tr w:rsidR="00FB0F34" w14:paraId="41B4A72A" w14:textId="77777777" w:rsidTr="00FB0F34">
        <w:tc>
          <w:tcPr>
            <w:tcW w:w="3116" w:type="dxa"/>
          </w:tcPr>
          <w:p w14:paraId="0599A0D7" w14:textId="77134C5F" w:rsidR="00FB0F34" w:rsidRDefault="00FB0F34" w:rsidP="00186F49">
            <w:pPr>
              <w:pStyle w:val="NoSpacing"/>
              <w:ind w:firstLine="0"/>
            </w:pPr>
            <w:r>
              <w:t>CD Score Component</w:t>
            </w:r>
          </w:p>
        </w:tc>
        <w:tc>
          <w:tcPr>
            <w:tcW w:w="3117" w:type="dxa"/>
          </w:tcPr>
          <w:p w14:paraId="71BBF8EC" w14:textId="6E92133E" w:rsidR="00FB0F34" w:rsidRDefault="00FB0F34" w:rsidP="00186F49">
            <w:pPr>
              <w:pStyle w:val="NoSpacing"/>
              <w:ind w:firstLine="0"/>
            </w:pPr>
            <w:r>
              <w:t>Numerator</w:t>
            </w:r>
          </w:p>
        </w:tc>
        <w:tc>
          <w:tcPr>
            <w:tcW w:w="3117" w:type="dxa"/>
          </w:tcPr>
          <w:p w14:paraId="53496501" w14:textId="7A06BDA8" w:rsidR="00FB0F34" w:rsidRDefault="00FB0F34" w:rsidP="00186F49">
            <w:pPr>
              <w:pStyle w:val="NoSpacing"/>
              <w:ind w:firstLine="0"/>
            </w:pPr>
            <w:r>
              <w:t>Denominator</w:t>
            </w:r>
          </w:p>
        </w:tc>
      </w:tr>
      <w:tr w:rsidR="00FB0F34" w14:paraId="20742AB5" w14:textId="77777777" w:rsidTr="00FB0F34">
        <w:tc>
          <w:tcPr>
            <w:tcW w:w="3116" w:type="dxa"/>
          </w:tcPr>
          <w:p w14:paraId="4A7DBAE4" w14:textId="2EEF9E92" w:rsidR="00FB0F34" w:rsidRDefault="00FB0F34" w:rsidP="00186F49">
            <w:pPr>
              <w:pStyle w:val="NoSpacing"/>
              <w:ind w:firstLine="0"/>
            </w:pPr>
            <w:r>
              <w:t>Educational status</w:t>
            </w:r>
          </w:p>
        </w:tc>
        <w:tc>
          <w:tcPr>
            <w:tcW w:w="3117" w:type="dxa"/>
          </w:tcPr>
          <w:p w14:paraId="5477A55A" w14:textId="1F58C8FE" w:rsidR="00FB0F34" w:rsidRDefault="00FB0F34" w:rsidP="00186F49">
            <w:pPr>
              <w:pStyle w:val="NoSpacing"/>
              <w:ind w:firstLine="0"/>
            </w:pPr>
            <w:r>
              <w:t>Population over 25 with at least a 4-year college degree</w:t>
            </w:r>
          </w:p>
        </w:tc>
        <w:tc>
          <w:tcPr>
            <w:tcW w:w="3117" w:type="dxa"/>
          </w:tcPr>
          <w:p w14:paraId="0D0F5673" w14:textId="3967006C" w:rsidR="00FB0F34" w:rsidRDefault="00FB0F34" w:rsidP="00186F49">
            <w:pPr>
              <w:pStyle w:val="NoSpacing"/>
              <w:ind w:firstLine="0"/>
            </w:pPr>
            <w:r>
              <w:t>Population over 25</w:t>
            </w:r>
          </w:p>
        </w:tc>
      </w:tr>
      <w:tr w:rsidR="00FB0F34" w14:paraId="5CA5CD5E" w14:textId="77777777" w:rsidTr="00FB0F34">
        <w:tc>
          <w:tcPr>
            <w:tcW w:w="3116" w:type="dxa"/>
          </w:tcPr>
          <w:p w14:paraId="23972CAF" w14:textId="0279C48B" w:rsidR="00FB0F34" w:rsidRDefault="00FB0F34" w:rsidP="00186F49">
            <w:pPr>
              <w:pStyle w:val="NoSpacing"/>
              <w:ind w:firstLine="0"/>
            </w:pPr>
            <w:r>
              <w:t>Female-headed households</w:t>
            </w:r>
          </w:p>
        </w:tc>
        <w:tc>
          <w:tcPr>
            <w:tcW w:w="3117" w:type="dxa"/>
          </w:tcPr>
          <w:p w14:paraId="799A01A0" w14:textId="52BBD974" w:rsidR="00FB0F34" w:rsidRDefault="00FB0F34" w:rsidP="00186F49">
            <w:pPr>
              <w:pStyle w:val="NoSpacing"/>
              <w:ind w:firstLine="0"/>
            </w:pPr>
            <w:r>
              <w:t>Households with children present and a female head</w:t>
            </w:r>
          </w:p>
        </w:tc>
        <w:tc>
          <w:tcPr>
            <w:tcW w:w="3117" w:type="dxa"/>
          </w:tcPr>
          <w:p w14:paraId="243D3EFA" w14:textId="7A828B19" w:rsidR="00FB0F34" w:rsidRDefault="00FB0F34" w:rsidP="00186F49">
            <w:pPr>
              <w:pStyle w:val="NoSpacing"/>
              <w:ind w:firstLine="0"/>
            </w:pPr>
            <w:r>
              <w:t>Households with children present</w:t>
            </w:r>
          </w:p>
        </w:tc>
      </w:tr>
      <w:tr w:rsidR="00FB0F34" w14:paraId="48CE3BEA" w14:textId="77777777" w:rsidTr="00FB0F34">
        <w:tc>
          <w:tcPr>
            <w:tcW w:w="3116" w:type="dxa"/>
          </w:tcPr>
          <w:p w14:paraId="5FC4731A" w14:textId="038218D0" w:rsidR="00FB0F34" w:rsidRDefault="00FB0F34" w:rsidP="00186F49">
            <w:pPr>
              <w:pStyle w:val="NoSpacing"/>
              <w:ind w:firstLine="0"/>
            </w:pPr>
            <w:r>
              <w:t>Poverty</w:t>
            </w:r>
          </w:p>
        </w:tc>
        <w:tc>
          <w:tcPr>
            <w:tcW w:w="3117" w:type="dxa"/>
          </w:tcPr>
          <w:p w14:paraId="0E809220" w14:textId="6117F378" w:rsidR="00FB0F34" w:rsidRDefault="00186F49" w:rsidP="00186F49">
            <w:pPr>
              <w:pStyle w:val="NoSpacing"/>
              <w:ind w:firstLine="0"/>
            </w:pPr>
            <w:r>
              <w:t>Households</w:t>
            </w:r>
            <w:r w:rsidR="00FB0F34">
              <w:t xml:space="preserve"> with income &lt;100% </w:t>
            </w:r>
            <w:r>
              <w:t>federal poverty level</w:t>
            </w:r>
          </w:p>
        </w:tc>
        <w:tc>
          <w:tcPr>
            <w:tcW w:w="3117" w:type="dxa"/>
          </w:tcPr>
          <w:p w14:paraId="75729BC1" w14:textId="56FF7D97" w:rsidR="00FB0F34" w:rsidRDefault="00186F49" w:rsidP="00186F49">
            <w:pPr>
              <w:pStyle w:val="NoSpacing"/>
              <w:ind w:firstLine="0"/>
            </w:pPr>
            <w:r>
              <w:t>Households</w:t>
            </w:r>
          </w:p>
        </w:tc>
      </w:tr>
      <w:tr w:rsidR="00FB0F34" w14:paraId="6D835DFB" w14:textId="77777777" w:rsidTr="00FB0F34">
        <w:tc>
          <w:tcPr>
            <w:tcW w:w="3116" w:type="dxa"/>
          </w:tcPr>
          <w:p w14:paraId="2ADD6324" w14:textId="39AA6418" w:rsidR="00FB0F34" w:rsidRDefault="00FB0F34" w:rsidP="00186F49">
            <w:pPr>
              <w:pStyle w:val="NoSpacing"/>
              <w:ind w:firstLine="0"/>
            </w:pPr>
            <w:r>
              <w:t>Unemployment</w:t>
            </w:r>
          </w:p>
        </w:tc>
        <w:tc>
          <w:tcPr>
            <w:tcW w:w="3117" w:type="dxa"/>
          </w:tcPr>
          <w:p w14:paraId="0A311B79" w14:textId="18B9C47E" w:rsidR="00FB0F34" w:rsidRDefault="00186F49" w:rsidP="00186F49">
            <w:pPr>
              <w:pStyle w:val="NoSpacing"/>
              <w:ind w:firstLine="0"/>
            </w:pPr>
            <w:r>
              <w:t>Population age 16 and older in the labor force and unemployed</w:t>
            </w:r>
          </w:p>
        </w:tc>
        <w:tc>
          <w:tcPr>
            <w:tcW w:w="3117" w:type="dxa"/>
          </w:tcPr>
          <w:p w14:paraId="18F797B3" w14:textId="719E1C11" w:rsidR="00FB0F34" w:rsidRDefault="00186F49" w:rsidP="00186F49">
            <w:pPr>
              <w:pStyle w:val="NoSpacing"/>
              <w:ind w:firstLine="0"/>
            </w:pPr>
            <w:r>
              <w:t>Population age 16 and older in the labor force</w:t>
            </w:r>
          </w:p>
        </w:tc>
      </w:tr>
    </w:tbl>
    <w:p w14:paraId="60E00C0F" w14:textId="77777777" w:rsidR="00D731AA" w:rsidRDefault="00D731AA" w:rsidP="00171A7B">
      <w:pPr>
        <w:spacing w:line="240" w:lineRule="auto"/>
      </w:pPr>
    </w:p>
    <w:p w14:paraId="1E7636DC" w14:textId="77777777" w:rsidR="00D731AA" w:rsidRDefault="00D731AA" w:rsidP="00171A7B">
      <w:pPr>
        <w:spacing w:line="240" w:lineRule="auto"/>
      </w:pPr>
    </w:p>
    <w:p w14:paraId="41D12588" w14:textId="77777777" w:rsidR="00D731AA" w:rsidRDefault="00D731AA" w:rsidP="00171A7B">
      <w:pPr>
        <w:spacing w:line="240" w:lineRule="auto"/>
      </w:pPr>
    </w:p>
    <w:p w14:paraId="136C55D7" w14:textId="77777777" w:rsidR="00D731AA" w:rsidRDefault="00D731AA" w:rsidP="00171A7B">
      <w:pPr>
        <w:spacing w:line="240" w:lineRule="auto"/>
      </w:pPr>
    </w:p>
    <w:p w14:paraId="40CBAE66" w14:textId="77777777" w:rsidR="00171A7B" w:rsidRDefault="00171A7B" w:rsidP="00171A7B">
      <w:pPr>
        <w:spacing w:line="240" w:lineRule="auto"/>
      </w:pPr>
    </w:p>
    <w:p w14:paraId="29C9E588" w14:textId="64615D91" w:rsidR="00A85903" w:rsidRDefault="007F1C7D" w:rsidP="00A85903">
      <w:pPr>
        <w:ind w:firstLine="0"/>
      </w:pPr>
      <w:r w:rsidRPr="00971D21">
        <w:t xml:space="preserve">Other missing CD scores were treated as truly missing. One average CD score variable was created, containing the </w:t>
      </w:r>
      <w:r w:rsidR="00A85903" w:rsidRPr="00971D21">
        <w:t>mean observed CD score in the up to 20 years before diagnosis. No odd-year CD scores were carried forward to create this variable; instead, it is weighted to reflect the different frequency of data collection before and after 1997. Mean involuntary moves per year and mean annual income in the up to 20 years before diagnosis were created similarly. Income was adjusted for inflation using the CPI-U before averaging.</w:t>
      </w:r>
    </w:p>
    <w:p w14:paraId="05BD386A" w14:textId="180B30FD" w:rsidR="00971D21" w:rsidRDefault="00C26451" w:rsidP="000C590F">
      <w:pPr>
        <w:pStyle w:val="Heading4"/>
      </w:pPr>
      <w:bookmarkStart w:id="88" w:name="_Toc148375764"/>
      <w:r>
        <w:t>Census Data</w:t>
      </w:r>
      <w:bookmarkEnd w:id="88"/>
    </w:p>
    <w:p w14:paraId="4960EF7F" w14:textId="1C1C4645" w:rsidR="00D731AA" w:rsidRPr="00D731AA" w:rsidRDefault="00D731AA" w:rsidP="00D731AA">
      <w:r>
        <w:t>C</w:t>
      </w:r>
      <w:r w:rsidR="007F1C7D">
        <w:t>oncentrated disadvantage</w:t>
      </w:r>
      <w:r>
        <w:t xml:space="preserve"> scores were calculated for each Census tract available in each year of potential exposure, 1970-2017 for the two studies combined. For intercensal years beyond 2010, the ACS 5-year estimates were used as described above. For intercensal years between 1970 and 2010, the CD score components were first estimated using linear interpolation. </w:t>
      </w:r>
      <w:r w:rsidR="00947B73">
        <w:t xml:space="preserve">Linear interpolation was carried out using the EXPAND procedure of SAS 9.4 </w:t>
      </w:r>
      <w:r w:rsidR="00947B73">
        <w:fldChar w:fldCharType="begin"/>
      </w:r>
      <w:r w:rsidR="00A9340A">
        <w:instrText xml:space="preserve"> ADDIN ZOTERO_ITEM CSL_CITATION {"citationID":"2rZZ8vaR","properties":{"formattedCitation":"(62)","plainCitation":"(62)","noteIndex":0},"citationItems":[{"id":3610,"uris":["http://zotero.org/users/1353333/items/5C3PVBAK"],"itemData":{"id":3610,"type":"webpage","title":"24560 - How can I linearly interpolate between the values in my data?","URL":"http://support.sas.com/kb/24/560.html","accessed":{"date-parts":[["2023",8,21]]}}}],"schema":"https://github.com/citation-style-language/schema/raw/master/csl-citation.json"} </w:instrText>
      </w:r>
      <w:r w:rsidR="00947B73">
        <w:fldChar w:fldCharType="separate"/>
      </w:r>
      <w:r w:rsidR="00A9340A" w:rsidRPr="00A9340A">
        <w:t>(62)</w:t>
      </w:r>
      <w:r w:rsidR="00947B73">
        <w:fldChar w:fldCharType="end"/>
      </w:r>
      <w:r w:rsidR="00947B73">
        <w:t>. Interpolated score components were added together to yield one CD score per tract per year.</w:t>
      </w:r>
    </w:p>
    <w:p w14:paraId="5731C60C" w14:textId="00ACA053" w:rsidR="00EE0B61" w:rsidRPr="00EE0B61" w:rsidRDefault="00EE0B61" w:rsidP="00EE0B61">
      <w:pPr>
        <w:pStyle w:val="Heading2"/>
      </w:pPr>
      <w:bookmarkStart w:id="89" w:name="_Toc145757046"/>
      <w:bookmarkStart w:id="90" w:name="_Toc145757283"/>
      <w:bookmarkStart w:id="91" w:name="_Toc145757490"/>
      <w:bookmarkStart w:id="92" w:name="_Toc148375765"/>
      <w:r>
        <w:lastRenderedPageBreak/>
        <w:t>Statistical Analysis</w:t>
      </w:r>
      <w:bookmarkEnd w:id="89"/>
      <w:bookmarkEnd w:id="90"/>
      <w:bookmarkEnd w:id="91"/>
      <w:bookmarkEnd w:id="92"/>
    </w:p>
    <w:p w14:paraId="1E282BB6" w14:textId="77777777" w:rsidR="005B74C7" w:rsidRDefault="005B74C7" w:rsidP="005B74C7">
      <w:pPr>
        <w:pStyle w:val="Heading3"/>
        <w:numPr>
          <w:ilvl w:val="0"/>
          <w:numId w:val="14"/>
        </w:numPr>
      </w:pPr>
      <w:bookmarkStart w:id="93" w:name="_Toc145757047"/>
      <w:bookmarkStart w:id="94" w:name="_Toc145757284"/>
      <w:bookmarkStart w:id="95" w:name="_Toc145757491"/>
      <w:bookmarkStart w:id="96" w:name="_Toc148375766"/>
      <w:r>
        <w:t>Panel Study of Income Dynamics</w:t>
      </w:r>
      <w:bookmarkEnd w:id="93"/>
      <w:bookmarkEnd w:id="94"/>
      <w:bookmarkEnd w:id="95"/>
      <w:bookmarkEnd w:id="96"/>
    </w:p>
    <w:p w14:paraId="28E55288" w14:textId="1E599BA3" w:rsidR="003926EE" w:rsidRDefault="005B74C7" w:rsidP="005B74C7">
      <w:r>
        <w:t xml:space="preserve">All statistical analysis of this data set was conducted in SAS 9.4 via remote access within the Virtual Data Enclave maintained by the University of Michigan. Because linked data from the NDI were not available to outside researchers during the period when this research took place, the outcome of interest was all-cause mortality. All-cause mortality and timing of death were ascertained using vital status and time of death as determined by PSID staff from survey non-response variables, returned surveys, information from surviving household members, and obituaries </w:t>
      </w:r>
      <w:r>
        <w:fldChar w:fldCharType="begin"/>
      </w:r>
      <w:r w:rsidR="00A9340A">
        <w:instrText xml:space="preserve"> ADDIN ZOTERO_ITEM CSL_CITATION {"citationID":"4nFWmN8l","properties":{"formattedCitation":"(54)","plainCitation":"(54)","noteIndex":0},"citationItems":[{"id":3420,"uris":["http://zotero.org/users/1353333/items/NCBWLB4I"],"itemData":{"id":3420,"type":"report","number":"Release 1","publisher":"Institute for Social Research, University of Michigan","title":"Panel Study of Income Dynamics: 1968-2019 Mortality File Documentation","URL":"https://simba.isr.umich.edu/restricted/docs/Mortality/Mortality19_Introduction.pdf","accessed":{"date-parts":[["2023",2,4]]},"issued":{"date-parts":[["2021",3]]}}}],"schema":"https://github.com/citation-style-language/schema/raw/master/csl-citation.json"} </w:instrText>
      </w:r>
      <w:r>
        <w:fldChar w:fldCharType="separate"/>
      </w:r>
      <w:r w:rsidR="00A9340A" w:rsidRPr="00A9340A">
        <w:t>(54)</w:t>
      </w:r>
      <w:r>
        <w:fldChar w:fldCharType="end"/>
      </w:r>
      <w:r>
        <w:t>.</w:t>
      </w:r>
      <w:r w:rsidR="003926EE">
        <w:t xml:space="preserve"> The main explanatory variables of interest were lagged CD score at 5, 10, 15, or 20 years before being diagnosed with cancer, and race. </w:t>
      </w:r>
    </w:p>
    <w:p w14:paraId="17FF6CCD" w14:textId="77777777" w:rsidR="003926EE" w:rsidRDefault="003926EE" w:rsidP="003926EE">
      <w:r>
        <w:t xml:space="preserve">Descriptive statistics were calculated for the entire sample and stratified by vital status. </w:t>
      </w:r>
      <w:r w:rsidRPr="003926EE">
        <w:t>Groups were compared by vital status using the Pearson chi square test for categorical variables, Mantel-Haenszel chi square for ordinal variables, and a two-sample t-test for continuous variables</w:t>
      </w:r>
      <w:r>
        <w:t>. The distribution and availability of the CD scores were explored using statistical and graphical methods.</w:t>
      </w:r>
    </w:p>
    <w:p w14:paraId="5BD59415" w14:textId="44FB888A" w:rsidR="003926EE" w:rsidRDefault="003926EE" w:rsidP="003926EE">
      <w:r>
        <w:t xml:space="preserve">Survival was modeled using Cox proportional hazards. Because this cohort was drawn from the PSID, a sample representative of the general population rather than a cancer cohort, age was used as the time scale for survival. This approach has been recommended by Korn, et al. for survival analysis in studies of healthy people where probability of death is expected to vary more as a function of age than of time in the study </w:t>
      </w:r>
      <w:r>
        <w:fldChar w:fldCharType="begin"/>
      </w:r>
      <w:r w:rsidR="00A9340A">
        <w:instrText xml:space="preserve"> ADDIN ZOTERO_ITEM CSL_CITATION {"citationID":"DCUFFRxf","properties":{"formattedCitation":"(63,64)","plainCitation":"(63,64)","noteIndex":0},"citationItems":[{"id":3529,"uris":["http://zotero.org/users/1353333/items/CEUMBCFE"],"itemData":{"id":3529,"type":"article-journal","container-title":"American Journal of Epidemiology","DOI":"10.1093/oxfordjournals.aje.a009034","ISSN":"0002-9262, 1476-6256","issue":"1","journalAbbreviation":"American Journal of Epidemiology","language":"en","page":"72-80","source":"DOI.org (Crossref)","title":"Time-to-Event Analysis of Longitudinal Follow-up of a Survey: Choice of the Time-scale","title-short":"Time-to-Event Analysis of Longitudinal Follow-up of a Survey","volume":"145","author":[{"family":"Korn","given":"E. L."},{"family":"Graubard","given":"B. I."},{"family":"Midthune","given":"D."}],"issued":{"date-parts":[["1997",1,1]]}},"label":"page"},{"id":3521,"uris":["http://zotero.org/users/1353333/items/M7LJ47QC"],"itemData":{"id":3521,"type":"article-journal","abstract":"Typically in cohort studies, the time-scale used in Cox regression models is time-on-study, adjusting for age as a covariate. However, age can also be used as the time-scale, where subjects enter the analysis at their baseline age (left-truncation) and exit at their event/censoring age. Using SAS® PROC PHREG, we compared five methods using time-on-study and age as the time-scales. We used a subset of data (n=85,882) from the large California Teachers Study cohort, with five years of follow-up, invasive breast cancer as the outcome (n=1,428) and alcohol consumption (&gt; 20 grams/day) as the risk factor of interest. Using a time-on-study time-scale adjusting for age continuous in years produced a slight overestimate of the alcohol effect compared with the more accurate but computationally more intensive age time-scale methods. However, allowing for different age effects for younger and older ages gave virtually identical results as using an age time-scale.","language":"en","source":"Zotero","title":"Cox Regression Using Different Time Scales","author":[{"family":"Canchola","given":"Alison"},{"family":"Stewart","given":"Susan"},{"family":"Center","given":"Northern CA Cancer"},{"family":"Bernstein","given":"Leslie"}]},"label":"page"}],"schema":"https://github.com/citation-style-language/schema/raw/master/csl-citation.json"} </w:instrText>
      </w:r>
      <w:r>
        <w:fldChar w:fldCharType="separate"/>
      </w:r>
      <w:r w:rsidR="00A9340A" w:rsidRPr="00A9340A">
        <w:t>(63,64)</w:t>
      </w:r>
      <w:r>
        <w:fldChar w:fldCharType="end"/>
      </w:r>
      <w:r>
        <w:t xml:space="preserve">. This approach inherently adjusts for age. The cohort was divided into six birth year cohorts and the model was stratified by cohort to adjust for calendar effects that would otherwise influence probability of survival after a cancer diagnosis. For each cancer site model, the lagged income and CD variables closest to the empirical latency were used as predictors. For breast, prostate, and lung cancer, a lag of 20 years was used </w:t>
      </w:r>
      <w:r>
        <w:fldChar w:fldCharType="begin"/>
      </w:r>
      <w:r w:rsidR="00A9340A">
        <w:instrText xml:space="preserve"> ADDIN ZOTERO_ITEM CSL_CITATION {"citationID":"cYkl4Z9U","properties":{"formattedCitation":"(65)","plainCitation":"(65)","noteIndex":0},"citationItems":[{"id":3515,"uris":["http://zotero.org/users/1353333/items/DTB3BF93"],"itemData":{"id":3515,"type":"article-journal","abstract":"Mathematical models can be useful tools in exploring population disease trends over time and can be used to gain insight into the fundamental mechanisms of cancer development.  In this paper, we provide a systematic comparison between the exact and the approximate solutions for estimating the length of time between the biological initiation of cancer and diagnosis through the development of a Weibull-like survival model.  A total of 1,608,484 malignant primary cancers were used in the analysis using cancer incidence data obtained from the National Cancer Institute’s Surveillance, Epidemiology, and End Results (SEER) program.  We find that the approximate solution provides a reliable comparison of the latency periods for different types of cancer and has no significant effect on the estimation accuracy, which differs from the exact solution by 0% to 11.3%.  Thirty-five of the 44 cancers in this analysis were found to progress silently for 10 years or longer prior to detection representing 89% of the patients in this analysis.  The results of this analysis differentiate cancer types that progress undetected over a period of years to identify new opportunities for early detection which increases the likelihood of successful treatment and alleviates the ever-growing cancer burden.","container-title":"Advances in Epidemiology","DOI":"10.1155/2014/746769","ISSN":"2356-6701, 2314-7628","journalAbbreviation":"Advances in Epidemiology","language":"en","page":"1-8","source":"DOI.org (Crossref)","title":"Estimating Cancer Latency Times Using a Weibull Model","volume":"2014","author":[{"family":"Nadler","given":"Diana L."},{"family":"Zurbenko","given":"Igor G."}],"issued":{"date-parts":[["2014",8,31]]}}}],"schema":"https://github.com/citation-style-language/schema/raw/master/csl-citation.json"} </w:instrText>
      </w:r>
      <w:r>
        <w:fldChar w:fldCharType="separate"/>
      </w:r>
      <w:r w:rsidR="00A9340A" w:rsidRPr="00A9340A">
        <w:t>(65)</w:t>
      </w:r>
      <w:r>
        <w:fldChar w:fldCharType="end"/>
      </w:r>
      <w:r>
        <w:t xml:space="preserve">. For colon cancer, a lag of 10 years was used </w:t>
      </w:r>
      <w:r>
        <w:fldChar w:fldCharType="begin"/>
      </w:r>
      <w:r w:rsidR="00A9340A">
        <w:instrText xml:space="preserve"> ADDIN ZOTERO_ITEM CSL_CITATION {"citationID":"B900N1Bp","properties":{"formattedCitation":"(66)","plainCitation":"(66)","noteIndex":0},"citationItems":[{"id":3598,"uris":["http://zotero.org/users/1353333/items/2884TFHL"],"itemData":{"id":3598,"type":"article-journal","abstract":"This population-based study examines the risks of and deaths associated with colorectal cancer after a 12-year follow-up period for persons who underwent colonoscopy vs those who did not.","container-title":"JAMA Internal Medicine","DOI":"10.1001/jamainternmed.2018.5565","ISSN":"2168-6106","issue":"2","journalAbbreviation":"JAMA Intern Med","note":"PMID: 30556824\nPMCID: PMC6439662","page":"153-160","source":"PubMed Central","title":"Long-term Risk of Colorectal Cancer and Related Deaths After a Colonoscopy With Normal Findings","volume":"179","author":[{"family":"Lee","given":"Jeffrey K."},{"family":"Jensen","given":"Christopher D."},{"family":"Levin","given":"Theodore R."},{"family":"Zauber","given":"Ann G."},{"family":"Schottinger","given":"Joanne E."},{"family":"Quinn","given":"Virginia P."},{"family":"Udaltsova","given":"Natalia"},{"family":"Zhao","given":"Wei K."},{"family":"Fireman","given":"Bruce H."},{"family":"Quesenberry","given":"Charles P."},{"family":"Doubeni","given":"Chyke A."},{"family":"Corley","given":"Douglas A."}],"issued":{"date-parts":[["2019",2]]}}}],"schema":"https://github.com/citation-style-language/schema/raw/master/csl-citation.json"} </w:instrText>
      </w:r>
      <w:r>
        <w:fldChar w:fldCharType="separate"/>
      </w:r>
      <w:r w:rsidR="00A9340A" w:rsidRPr="00A9340A">
        <w:t>(66)</w:t>
      </w:r>
      <w:r>
        <w:fldChar w:fldCharType="end"/>
      </w:r>
    </w:p>
    <w:p w14:paraId="05FF95C9" w14:textId="78E71930" w:rsidR="003926EE" w:rsidRDefault="003926EE" w:rsidP="003926EE">
      <w:pPr>
        <w:pStyle w:val="Heading3"/>
      </w:pPr>
      <w:bookmarkStart w:id="97" w:name="_Toc145757048"/>
      <w:bookmarkStart w:id="98" w:name="_Toc145757285"/>
      <w:bookmarkStart w:id="99" w:name="_Toc145757492"/>
      <w:bookmarkStart w:id="100" w:name="_Toc148375767"/>
      <w:r>
        <w:lastRenderedPageBreak/>
        <w:t>University of Illinois Hospital Tumor Registry</w:t>
      </w:r>
      <w:bookmarkEnd w:id="97"/>
      <w:bookmarkEnd w:id="98"/>
      <w:bookmarkEnd w:id="99"/>
      <w:bookmarkEnd w:id="100"/>
    </w:p>
    <w:p w14:paraId="2972F9BA" w14:textId="346A9F7A" w:rsidR="00146D91" w:rsidRDefault="00146D91" w:rsidP="00146D91">
      <w:r>
        <w:t>Data were analyzed in SAS 9.4. Chi-square tests were used to evaluate crude associations between covariates and stage at diagnosis or vital status.</w:t>
      </w:r>
    </w:p>
    <w:p w14:paraId="5C8A5232" w14:textId="24A601A6" w:rsidR="00C270FD" w:rsidRDefault="00146D91" w:rsidP="003926EE">
      <w:r>
        <w:t xml:space="preserve">The association between CD score and stage at diagnosis was modeled using multinomial logistic regression to allow inclusion of the unstaged category as an outcome. </w:t>
      </w:r>
      <w:r w:rsidR="00B069DD">
        <w:t xml:space="preserve">An additional logistic regression model excluded cases with missing stage data and evaluated the association between CD score and the odds of having advanced (AJCC stage III/IV) CRC at diagnosis. </w:t>
      </w:r>
      <w:r>
        <w:t>The association between CD score and CRC-specific survival was evaluated using the Cox proportional hazards model. Because this sample constituted a cancer cohort, the time scale for the survival model was days since cancer diagnosis. Two versions of each model were run, one using CD score at diagnosis and one using the CD score with a 10-year lag.</w:t>
      </w:r>
      <w:r w:rsidR="00C270FD">
        <w:br w:type="page"/>
      </w:r>
    </w:p>
    <w:p w14:paraId="12E92DB3" w14:textId="4C028C17" w:rsidR="003926EE" w:rsidRDefault="003926EE" w:rsidP="003926EE">
      <w:pPr>
        <w:sectPr w:rsidR="003926EE" w:rsidSect="00C270FD">
          <w:pgSz w:w="12240" w:h="15840"/>
          <w:pgMar w:top="1440" w:right="1440" w:bottom="1440" w:left="1440" w:header="720" w:footer="720" w:gutter="0"/>
          <w:cols w:space="720"/>
          <w:docGrid w:linePitch="360"/>
        </w:sectPr>
      </w:pPr>
    </w:p>
    <w:p w14:paraId="5C8158B2" w14:textId="339E11AA" w:rsidR="00C270FD" w:rsidRDefault="00C755A0" w:rsidP="00C270FD">
      <w:pPr>
        <w:pStyle w:val="Heading1"/>
      </w:pPr>
      <w:bookmarkStart w:id="101" w:name="_Toc145757049"/>
      <w:bookmarkStart w:id="102" w:name="_Toc145757286"/>
      <w:bookmarkStart w:id="103" w:name="_Toc145757493"/>
      <w:bookmarkStart w:id="104" w:name="_Toc145771905"/>
      <w:bookmarkStart w:id="105" w:name="_Toc148375768"/>
      <w:r w:rsidRPr="00C755A0">
        <w:lastRenderedPageBreak/>
        <w:t>Exposure to neighborhood concentrated disadvantage across the life course and survival after cancer diagnosis in the Panel Study of Income Dynamics cohort</w:t>
      </w:r>
      <w:bookmarkEnd w:id="101"/>
      <w:bookmarkEnd w:id="102"/>
      <w:bookmarkEnd w:id="103"/>
      <w:bookmarkEnd w:id="104"/>
      <w:bookmarkEnd w:id="105"/>
    </w:p>
    <w:p w14:paraId="16F65C2A" w14:textId="77777777" w:rsidR="00C755A0" w:rsidRDefault="00C755A0" w:rsidP="00C755A0">
      <w:pPr>
        <w:pStyle w:val="Heading2"/>
        <w:numPr>
          <w:ilvl w:val="0"/>
          <w:numId w:val="11"/>
        </w:numPr>
      </w:pPr>
      <w:bookmarkStart w:id="106" w:name="_Toc145757050"/>
      <w:bookmarkStart w:id="107" w:name="_Toc145757287"/>
      <w:bookmarkStart w:id="108" w:name="_Toc145757494"/>
      <w:bookmarkStart w:id="109" w:name="_Toc148375769"/>
      <w:bookmarkStart w:id="110" w:name="_Hlk145172228"/>
      <w:r>
        <w:t>Introduction</w:t>
      </w:r>
      <w:bookmarkEnd w:id="106"/>
      <w:bookmarkEnd w:id="107"/>
      <w:bookmarkEnd w:id="108"/>
      <w:bookmarkEnd w:id="109"/>
    </w:p>
    <w:p w14:paraId="043A8137" w14:textId="7C199DC7" w:rsidR="00C755A0" w:rsidRPr="00642256" w:rsidRDefault="00C755A0" w:rsidP="00C755A0">
      <w:r w:rsidRPr="00642256">
        <w:t xml:space="preserve">Racial inequities in the risk of death from colorectal cancer (CRC) are preventable and caused primarily by racism. Present-day inequities emerged in the US within living memory: until the late 1970s, CRC-specific mortality was higher in whites. Today, non-Hispanic Black people are burdened by CRC incidence that is 20% greater, and CRC mortality more than 40% greater, than that experienced by non-Hispanic whites </w:t>
      </w:r>
      <w:r w:rsidRPr="00642256">
        <w:fldChar w:fldCharType="begin"/>
      </w:r>
      <w:r w:rsidR="006502FC">
        <w:instrText xml:space="preserve"> ADDIN ZOTERO_ITEM CSL_CITATION {"citationID":"ythjbhby","properties":{"formattedCitation":"(1)","plainCitation":"(1)","noteIndex":0},"citationItems":[{"id":1018,"uris":["http://zotero.org/users/1353333/items/4ABY2HDM"],"itemData":{"id":1018,"type":"report","event-place":"Atlanta,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Society"}],"issued":{"date-parts":[["2017"]]}}}],"schema":"https://github.com/citation-style-language/schema/raw/master/csl-citation.json"} </w:instrText>
      </w:r>
      <w:r w:rsidRPr="00642256">
        <w:fldChar w:fldCharType="separate"/>
      </w:r>
      <w:r w:rsidRPr="00642256">
        <w:t>(1)</w:t>
      </w:r>
      <w:r w:rsidRPr="00642256">
        <w:fldChar w:fldCharType="end"/>
      </w:r>
      <w:r w:rsidRPr="00642256">
        <w:t xml:space="preserve">. Segregation and resulting neighborhood disadvantage are associated with racial inequities in multiple health behaviors and conditions, including cancer, which could be reduced through </w:t>
      </w:r>
      <w:r>
        <w:t>housing policies that prioritize desegregation, equity, and racial justice</w:t>
      </w:r>
      <w:r w:rsidRPr="00642256">
        <w:t>. However, this research is in its infancy. In 2016, a systematic review found just 17 studies on the association between segregation and cancer</w:t>
      </w:r>
      <w:r>
        <w:t xml:space="preserve"> in the US context</w:t>
      </w:r>
      <w:r w:rsidRPr="00642256">
        <w:t xml:space="preserve"> </w:t>
      </w:r>
      <w:r w:rsidRPr="00642256">
        <w:fldChar w:fldCharType="begin"/>
      </w:r>
      <w:r w:rsidR="00B069DD">
        <w:instrText xml:space="preserve"> ADDIN ZOTERO_ITEM CSL_CITATION {"citationID":"7aamhi8Q","properties":{"formattedCitation":"(2)","plainCitation":"(2)","noteIndex":0},"citationItems":[{"id":895,"uris":["http://zotero.org/users/1353333/items/S9NVM8K5"],"itemData":{"id":895,"type":"article-journal","abstract":"BackgroundThis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J."}],"issued":{"date-parts":[["2016",12,30]]}}}],"schema":"https://github.com/citation-style-language/schema/raw/master/csl-citation.json"} </w:instrText>
      </w:r>
      <w:r w:rsidRPr="00642256">
        <w:fldChar w:fldCharType="separate"/>
      </w:r>
      <w:r w:rsidRPr="00642256">
        <w:t>(2)</w:t>
      </w:r>
      <w:r w:rsidRPr="00642256">
        <w:fldChar w:fldCharType="end"/>
      </w:r>
      <w:r w:rsidRPr="00642256">
        <w:t>.</w:t>
      </w:r>
    </w:p>
    <w:p w14:paraId="537BD92C" w14:textId="101AB4EC" w:rsidR="00C755A0" w:rsidRDefault="00C755A0" w:rsidP="00C755A0">
      <w:r w:rsidRPr="00642256">
        <w:t xml:space="preserve">Foundational research is needed in this area to establish valid data sources and methods and to demonstrate that </w:t>
      </w:r>
      <w:r>
        <w:t>exposure to segregation</w:t>
      </w:r>
      <w:r w:rsidRPr="00642256">
        <w:t xml:space="preserve"> precedes </w:t>
      </w:r>
      <w:r>
        <w:t>disparate cancer outcomes</w:t>
      </w:r>
      <w:r w:rsidRPr="00642256">
        <w:t xml:space="preserve"> in time. A critical barrier to this research is that</w:t>
      </w:r>
      <w:r>
        <w:t xml:space="preserve"> cancer registries do not collect the residential histories of cases. As a result, epidemiologists rarely know where people with cancer lived before being diagnosed.</w:t>
      </w:r>
      <w:r w:rsidRPr="00642256">
        <w:t xml:space="preserve"> </w:t>
      </w:r>
      <w:r>
        <w:t>Because of this limitation,</w:t>
      </w:r>
      <w:r w:rsidRPr="00642256">
        <w:t xml:space="preserve"> the conditions of segregated neighborhoods have not been linked to cancer </w:t>
      </w:r>
      <w:r>
        <w:t>outcomes</w:t>
      </w:r>
      <w:r w:rsidRPr="00642256">
        <w:t xml:space="preserve"> in the years or decades before diagnosis when </w:t>
      </w:r>
      <w:r>
        <w:t>present-day</w:t>
      </w:r>
      <w:r w:rsidRPr="00642256">
        <w:t xml:space="preserve"> </w:t>
      </w:r>
      <w:r>
        <w:t>cancers</w:t>
      </w:r>
      <w:r w:rsidRPr="00642256">
        <w:t xml:space="preserve"> actually beg</w:t>
      </w:r>
      <w:r>
        <w:t>an</w:t>
      </w:r>
      <w:r w:rsidRPr="00642256">
        <w:t xml:space="preserve"> to develop. The National Cancer Institute has identified residential histor</w:t>
      </w:r>
      <w:r>
        <w:t>y</w:t>
      </w:r>
      <w:r w:rsidRPr="00642256">
        <w:t xml:space="preserve"> as an area of special interest, and encouraged </w:t>
      </w:r>
      <w:r>
        <w:t>researchers to use</w:t>
      </w:r>
      <w:r w:rsidRPr="00642256">
        <w:t xml:space="preserve"> commercial credit reporting databases as a source of this information </w:t>
      </w:r>
      <w:r w:rsidRPr="00642256">
        <w:fldChar w:fldCharType="begin"/>
      </w:r>
      <w:r w:rsidR="00A9340A">
        <w:instrText xml:space="preserve"> ADDIN ZOTERO_ITEM CSL_CITATION {"citationID":"6Nr6CBPm","properties":{"formattedCitation":"(67)","plainCitation":"(67)","noteIndex":0},"citationItems":[{"id":1054,"uris":["http://zotero.org/users/1353333/items/Q2JSJ2HP",["http://zotero.org/users/1353333/items/Q2JSJ2HP"]],"itemData":{"id":1054,"type":"webpage","title":"PA-17-298: Integration of Individual Residential Histories into Cancer Research (R01)","URL":"https://grants.nih.gov/grants/guide/pa-files/PA-17-298.html","accessed":{"date-parts":[["2019",11,19]]}}}],"schema":"https://github.com/citation-style-language/schema/raw/master/csl-citation.json"} </w:instrText>
      </w:r>
      <w:r w:rsidRPr="00642256">
        <w:fldChar w:fldCharType="separate"/>
      </w:r>
      <w:r w:rsidR="00A9340A" w:rsidRPr="00A9340A">
        <w:t>(67)</w:t>
      </w:r>
      <w:r w:rsidRPr="00642256">
        <w:fldChar w:fldCharType="end"/>
      </w:r>
      <w:r w:rsidRPr="00642256">
        <w:t xml:space="preserve">. However, these data are less available for people who are African American or Hispanic as compared to </w:t>
      </w:r>
      <w:r>
        <w:t xml:space="preserve">those who are </w:t>
      </w:r>
      <w:r w:rsidRPr="00642256">
        <w:t xml:space="preserve">white, and in people who have died, creating serious potential for bias </w:t>
      </w:r>
      <w:r w:rsidRPr="00642256">
        <w:fldChar w:fldCharType="begin"/>
      </w:r>
      <w:r w:rsidR="00A9340A">
        <w:instrText xml:space="preserve"> ADDIN ZOTERO_ITEM CSL_CITATION {"citationID":"GmvXqckU","properties":{"formattedCitation":"(68)","plainCitation":"(68)","noteIndex":0},"citationItems":[{"id":1162,"uris":["http://zotero.org/users/1353333/items/N8VTLK6H"],"itemData":{"id":1162,"type":"article-journal","abstract":"Purpose\nThis study examined potential sources of selection and information biases when using residence history information from a commercial database to construct residential histories for cancer research.\nMethods\nWe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mortality.\nResults\nRacial/ethnic minorities were less likely to match to vendor residence data compared with non-Hispanic whites (odd ratios [95% confidence intervals (CIs)] for non-Hispanic blacks, Hispanics, and Asian/Pacific Islander were 1.66 [1.30, 2.12], 2.92 [2.18, 3.90], and 4.53 [2.72, 7.55], respectively). Being non-Hispanic black was negatively associated with years of residential history (vs. non-Hispanic whites, β coefficient [95% CI] = −2.57 [−3.40, −1.73]). Not matching to residence data was associated with an increased 5-year odds of death from any cause (vs. matched subjects, odd ratios [95% CI] = 5.92 [4.29, 8.50]).\nConclusions\nDifferential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Epidemiology","language":"en","page":"35-40.e1","source":"ScienceDirect","title":"Sources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Y."},{"family":"Basu","given":"Sanjib"},{"family":"Kwan","given":"Mei-Po"}],"issued":{"date-parts":[["2020",11,1]]}}}],"schema":"https://github.com/citation-style-language/schema/raw/master/csl-citation.json"} </w:instrText>
      </w:r>
      <w:r w:rsidRPr="00642256">
        <w:fldChar w:fldCharType="separate"/>
      </w:r>
      <w:r w:rsidR="00A9340A" w:rsidRPr="00A9340A">
        <w:t>(68)</w:t>
      </w:r>
      <w:r w:rsidRPr="00642256">
        <w:fldChar w:fldCharType="end"/>
      </w:r>
      <w:r w:rsidRPr="00642256">
        <w:t xml:space="preserve">. In addition, few residential history studies to date have attempted to </w:t>
      </w:r>
      <w:r w:rsidRPr="00642256">
        <w:lastRenderedPageBreak/>
        <w:t>study segregation or explain racial cancer inequities</w:t>
      </w:r>
      <w:r>
        <w:t>. None have used a</w:t>
      </w:r>
      <w:r w:rsidRPr="00642256">
        <w:t xml:space="preserve"> longitudinal cohort design</w:t>
      </w:r>
      <w:r>
        <w:t>, which could provide critical evidence that segregation causes cancer inequities</w:t>
      </w:r>
      <w:r w:rsidRPr="00642256">
        <w:t>.</w:t>
      </w:r>
    </w:p>
    <w:p w14:paraId="51473DAE" w14:textId="04FEB3C4" w:rsidR="00C755A0" w:rsidRDefault="00C755A0" w:rsidP="00C755A0">
      <w:r w:rsidRPr="005B23BD">
        <w:t xml:space="preserve">To address these needs, </w:t>
      </w:r>
      <w:r>
        <w:t>this exploratory study evaluates</w:t>
      </w:r>
      <w:r w:rsidRPr="005B23BD">
        <w:t xml:space="preserve"> the relationship between </w:t>
      </w:r>
      <w:r>
        <w:t xml:space="preserve">past </w:t>
      </w:r>
      <w:r w:rsidRPr="005B23BD">
        <w:t>neighborhood disadvantage</w:t>
      </w:r>
      <w:r>
        <w:t xml:space="preserve"> </w:t>
      </w:r>
      <w:r w:rsidRPr="005B23BD">
        <w:t xml:space="preserve">and </w:t>
      </w:r>
      <w:r>
        <w:t>mortality among people diagnosed with cancer</w:t>
      </w:r>
      <w:r w:rsidRPr="005B23BD">
        <w:t xml:space="preserve"> in the Panel Study of Income Dynamics (PSID). The PSID is a longitudinal, nationally representative survey that has followed individuals and households since 1968. Although </w:t>
      </w:r>
      <w:r>
        <w:t>primarily intended to study the social and economic conditions of families</w:t>
      </w:r>
      <w:r w:rsidRPr="005B23BD">
        <w:t xml:space="preserve">, the PSID </w:t>
      </w:r>
      <w:r>
        <w:t>also collects</w:t>
      </w:r>
      <w:r w:rsidRPr="005B23BD">
        <w:t xml:space="preserve"> information on common health conditions and behavior. </w:t>
      </w:r>
      <w:bookmarkEnd w:id="110"/>
      <w:r w:rsidRPr="005B23BD">
        <w:t>Disease prevalence estimates from the PSID are comparable to those from national public health surveys such as the National Health Interview Survey (NHIS)</w:t>
      </w:r>
      <w:r>
        <w:t xml:space="preserve"> and the Surveillance, Epidemiology, and End Results registry (SEER)</w:t>
      </w:r>
      <w:r w:rsidRPr="005B23BD">
        <w:t xml:space="preserve"> </w:t>
      </w:r>
      <w:r w:rsidRPr="005B23BD">
        <w:fldChar w:fldCharType="begin"/>
      </w:r>
      <w:r w:rsidR="00F85975">
        <w:instrText xml:space="preserve"> ADDIN ZOTERO_ITEM CSL_CITATION {"citationID":"IpGyy4up","properties":{"formattedCitation":"(15,16,53)","plainCitation":"(15,16,53)","noteIndex":0},"citationItems":[{"id":1167,"uris":["http://zotero.org/users/1353333/items/3P4XKW3I"],"itemData":{"id":1167,"type":"report","collection-title":"Technical Series","event-place":"Ann Arbor, MI","language":"en","number":"17-01","page":"13","publisher":"Panel Study of Income Dynamics, University of Michigan Institute for Social Research","publisher-place":"Ann Arbor, MI","source":"Zotero","title":"Comparing Health Estimates in the PSID and NHIS, 2001-2015","author":[{"family":"Insolera","given":"Noura E"},{"family":"Freedman","given":"Vicki A"}],"issued":{"date-parts":[["2017",5,6]]}},"label":"page"},{"id":1011,"uris":["http://zotero.org/users/1353333/items/WPHRIMLZ"],"itemData":{"id":1011,"type":"article-journal","abstract":"Many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B."}],"issued":{"date-parts":[["2010",12]]}},"label":"page"},{"id":94,"uris":["http://zotero.org/users/1353333/items/JE9Z7IFF"],"itemData":{"id":94,"type":"article-journal","language":"en","page":"18","source":"Zotero","title":"An Analysis of the Quality of the Health Data in the Panel Study of Income Dynamics","author":[{"family":"Andreski","given":"Patricia"},{"family":"McGonagle","given":"Katherine"},{"family":"Schoeni","given":"Bob"}],"issued":{"date-parts":[["2009",9,15]]}},"label":"page"}],"schema":"https://github.com/citation-style-language/schema/raw/master/csl-citation.json"} </w:instrText>
      </w:r>
      <w:r w:rsidRPr="005B23BD">
        <w:fldChar w:fldCharType="separate"/>
      </w:r>
      <w:r w:rsidR="00321573" w:rsidRPr="00321573">
        <w:t>(15,16,53)</w:t>
      </w:r>
      <w:r w:rsidRPr="005B23BD">
        <w:fldChar w:fldCharType="end"/>
      </w:r>
      <w:r w:rsidRPr="005B23BD">
        <w:t>. While PSID data have been used to study the effects of a cancer diagnosis on economic and family life, to date they have not been used to study the causes of cancer or cancer outcomes.</w:t>
      </w:r>
    </w:p>
    <w:p w14:paraId="35162E1A" w14:textId="77777777" w:rsidR="00C755A0" w:rsidRPr="005B23BD" w:rsidRDefault="00C755A0" w:rsidP="00C755A0">
      <w:r w:rsidRPr="005B23BD">
        <w:t>Th</w:t>
      </w:r>
      <w:r>
        <w:t xml:space="preserve">is study was </w:t>
      </w:r>
      <w:r w:rsidRPr="005B23BD">
        <w:t>designed to provide an initial estimate of the relationship between past neighborhood disadvantage</w:t>
      </w:r>
      <w:r>
        <w:t xml:space="preserve"> around the time of cancer initiation and mortality among people with cancer</w:t>
      </w:r>
      <w:r w:rsidRPr="00B35E6C">
        <w:t xml:space="preserve">. </w:t>
      </w:r>
      <w:r>
        <w:t>We</w:t>
      </w:r>
      <w:r w:rsidRPr="00B35E6C">
        <w:t xml:space="preserve"> hypothesized that having experienced neighborhood disadvantage in the past would explain a significant portion of variation in </w:t>
      </w:r>
      <w:r>
        <w:t xml:space="preserve">cancer </w:t>
      </w:r>
      <w:r w:rsidRPr="00B35E6C">
        <w:t>mortality.</w:t>
      </w:r>
    </w:p>
    <w:p w14:paraId="2EF378E2" w14:textId="77777777" w:rsidR="00C755A0" w:rsidRDefault="00C755A0" w:rsidP="00C755A0">
      <w:pPr>
        <w:pStyle w:val="Heading2"/>
        <w:ind w:left="0" w:firstLine="720"/>
      </w:pPr>
      <w:bookmarkStart w:id="111" w:name="_Toc145757051"/>
      <w:bookmarkStart w:id="112" w:name="_Toc145757288"/>
      <w:bookmarkStart w:id="113" w:name="_Toc145757495"/>
      <w:bookmarkStart w:id="114" w:name="_Toc148375770"/>
      <w:r>
        <w:t>Materials and Methods</w:t>
      </w:r>
      <w:bookmarkEnd w:id="111"/>
      <w:bookmarkEnd w:id="112"/>
      <w:bookmarkEnd w:id="113"/>
      <w:bookmarkEnd w:id="114"/>
    </w:p>
    <w:p w14:paraId="4D713CFC" w14:textId="77777777" w:rsidR="00C755A0" w:rsidRDefault="00C755A0" w:rsidP="00C755A0">
      <w:pPr>
        <w:pStyle w:val="Heading3"/>
        <w:numPr>
          <w:ilvl w:val="0"/>
          <w:numId w:val="12"/>
        </w:numPr>
      </w:pPr>
      <w:bookmarkStart w:id="115" w:name="_Toc145757052"/>
      <w:bookmarkStart w:id="116" w:name="_Toc145757289"/>
      <w:bookmarkStart w:id="117" w:name="_Toc145757496"/>
      <w:bookmarkStart w:id="118" w:name="_Toc148375771"/>
      <w:r>
        <w:t>Primary Data Source</w:t>
      </w:r>
      <w:bookmarkEnd w:id="115"/>
      <w:bookmarkEnd w:id="116"/>
      <w:bookmarkEnd w:id="117"/>
      <w:bookmarkEnd w:id="118"/>
    </w:p>
    <w:p w14:paraId="0C3D62F2" w14:textId="7F53B20F" w:rsidR="00C755A0" w:rsidRDefault="00C755A0" w:rsidP="00C755A0">
      <w:r>
        <w:t xml:space="preserve">The primary data source for this study is the PSID public data index and two of its restricted access datasets: the Geocode Match File containing the Census tracts where participant households have lived, and the Mortality File for participants who have died </w:t>
      </w:r>
      <w:r>
        <w:fldChar w:fldCharType="begin"/>
      </w:r>
      <w:r w:rsidR="00A9340A">
        <w:instrText xml:space="preserve"> ADDIN ZOTERO_ITEM CSL_CITATION {"citationID":"4hOAYivO","properties":{"formattedCitation":"(55,69)","plainCitation":"(55,69)","noteIndex":0},"citationItems":[{"id":3577,"uris":["http://zotero.org/users/1353333/items/VACRWHP2"],"itemData":{"id":3577,"type":"dataset","event-place":"Ann Arbor, MI","publisher-place":"Ann Arbor, MI","title":"Panel Study of Income Dynamics, public use dataset","author":[{"literal":"Survey Research Center, Institute for Social Research, University of Michigan"}],"issued":{"date-parts":[["2019"]]}},"label":"page"},{"id":3579,"uris":["http://zotero.org/users/1353333/items/3BZMI68E"],"itemData":{"id":3579,"type":"dataset","event-place":"Ann Arbor, MI","publisher-place":"Ann Arbor, MI","title":"Panel Study of Income Dynamics, restricted use data","author":[{"literal":"Survey Research Center, Institute for Social Research, University of Michigan"}],"issued":{"date-parts":[["2019"]]}},"label":"page"}],"schema":"https://github.com/citation-style-language/schema/raw/master/csl-citation.json"} </w:instrText>
      </w:r>
      <w:r>
        <w:fldChar w:fldCharType="separate"/>
      </w:r>
      <w:r w:rsidR="00A9340A" w:rsidRPr="00A9340A">
        <w:t>(55,69)</w:t>
      </w:r>
      <w:r>
        <w:fldChar w:fldCharType="end"/>
      </w:r>
      <w:r>
        <w:t xml:space="preserve">. The PSID is conducted every two years, meaning participant addresses are collected prospectively and validated by being used to conduct the survey. The PSID sample is self-replacing. When the children of study families split off to form their own households, they are eligible to continue to participate as heads of </w:t>
      </w:r>
      <w:r>
        <w:lastRenderedPageBreak/>
        <w:t xml:space="preserve">households themselves. This means that for some participants, information about their residential history and family income is available from their childhood and potentially from birth. </w:t>
      </w:r>
    </w:p>
    <w:p w14:paraId="2A0997C3" w14:textId="136C362C" w:rsidR="00C755A0" w:rsidRDefault="00C755A0" w:rsidP="00C755A0">
      <w:r>
        <w:t xml:space="preserve">Participant demographic information, income history, reason for moving, and self-reports of cancer come from the PSID public data index. In 1999, the PSID began collecting information about lifetime prevalence of </w:t>
      </w:r>
      <w:r w:rsidR="00F340C5">
        <w:t>cancer from</w:t>
      </w:r>
      <w:r>
        <w:t xml:space="preserve"> heads of households and their spouses. In 2005, the PSID added follow-up questions that allowed participants to report the site(s) of their cancer. Participants were asked, “Has a doctor or other health professional ever told you that you had cancer or a malignant tumor?” Participants were asked the age at which they were diagnosed.</w:t>
      </w:r>
    </w:p>
    <w:p w14:paraId="4D0FD002" w14:textId="5D997E13" w:rsidR="00C755A0" w:rsidRDefault="00C755A0" w:rsidP="00C755A0">
      <w:r>
        <w:t xml:space="preserve">Additional covariate and outcome information was obtained from two of the PSID restricted datasets. Participant vital status was obtained by linking the records of included participants to the PSID Mortality File, which included the month and year of death and the age at death </w:t>
      </w:r>
      <w:r>
        <w:fldChar w:fldCharType="begin"/>
      </w:r>
      <w:r w:rsidR="00A9340A">
        <w:instrText xml:space="preserve"> ADDIN ZOTERO_ITEM CSL_CITATION {"citationID":"L7y9gXe4","properties":{"formattedCitation":"(54)","plainCitation":"(54)","noteIndex":0},"citationItems":[{"id":3420,"uris":["http://zotero.org/users/1353333/items/NCBWLB4I"],"itemData":{"id":3420,"type":"report","number":"Release 1","publisher":"Institute for Social Research, University of Michigan","title":"Panel Study of Income Dynamics: 1968-2019 Mortality File Documentation","URL":"https://simba.isr.umich.edu/restricted/docs/Mortality/Mortality19_Introduction.pdf","accessed":{"date-parts":[["2023",2,4]]},"issued":{"date-parts":[["2021",3]]}}}],"schema":"https://github.com/citation-style-language/schema/raw/master/csl-citation.json"} </w:instrText>
      </w:r>
      <w:r>
        <w:fldChar w:fldCharType="separate"/>
      </w:r>
      <w:r w:rsidR="00A9340A" w:rsidRPr="00A9340A">
        <w:t>(54)</w:t>
      </w:r>
      <w:r>
        <w:fldChar w:fldCharType="end"/>
      </w:r>
      <w:r>
        <w:t xml:space="preserve">. The full mortality file also includes cause of death from record linkage with the National Death Index (NDI). However, after access to the mortality file was obtained, it was discovered that changes in the PSID’s contract with NDI would not allow death certificate date to be shared with external researchers. Participant residential histories were obtained from the 2010 Census PSID Geocode Match File. Data from this file included the 2010 Census tract of residence for each wave in which the participant’s household responded. </w:t>
      </w:r>
      <w:r w:rsidR="007F1C7D">
        <w:t>T</w:t>
      </w:r>
      <w:r>
        <w:t xml:space="preserve">he Address File, a confidential dataset, </w:t>
      </w:r>
      <w:r w:rsidR="007F1C7D">
        <w:t xml:space="preserve">was geocoded by PSID staff </w:t>
      </w:r>
      <w:r>
        <w:t>using the latest Census TIGER/Line shapefiles for all states as of the 2021 release</w:t>
      </w:r>
      <w:r w:rsidR="00770B11">
        <w:t xml:space="preserve"> </w:t>
      </w:r>
      <w:r w:rsidR="00770B11">
        <w:fldChar w:fldCharType="begin"/>
      </w:r>
      <w:r w:rsidR="00770B11">
        <w:instrText xml:space="preserve"> ADDIN ZOTERO_ITEM CSL_CITATION {"citationID":"MlK9mRQj","properties":{"formattedCitation":"(70)","plainCitation":"(70)","noteIndex":0},"citationItems":[{"id":3760,"uris":["http://zotero.org/users/1353333/items/HN4E9C6H"],"itemData":{"id":3760,"type":"dataset","title":"TIGER/Line Shapefiles","URL":"https://www.census.gov/geographies/mapping-files/time-series/geo/tiger-line-file.html","author":[{"literal":"US Census Bureau"}],"issued":{"date-parts":[["2021",10,7]]}}}],"schema":"https://github.com/citation-style-language/schema/raw/master/csl-citation.json"} </w:instrText>
      </w:r>
      <w:r w:rsidR="00770B11">
        <w:fldChar w:fldCharType="separate"/>
      </w:r>
      <w:r w:rsidR="00770B11" w:rsidRPr="00770B11">
        <w:t>(70)</w:t>
      </w:r>
      <w:r w:rsidR="00770B11">
        <w:fldChar w:fldCharType="end"/>
      </w:r>
      <w:r>
        <w:t xml:space="preserve">. Addresses were geocoded for all years through 2019 using SAS 9.4 PROC GEOCODE </w:t>
      </w:r>
      <w:r>
        <w:fldChar w:fldCharType="begin"/>
      </w:r>
      <w:r w:rsidR="00770B11">
        <w:instrText xml:space="preserve"> ADDIN ZOTERO_ITEM CSL_CITATION {"citationID":"oEirYJyR","properties":{"formattedCitation":"(71)","plainCitation":"(71)","noteIndex":0},"citationItems":[{"id":3576,"uris":["http://zotero.org/users/1353333/items/7QQLUK8I"],"itemData":{"id":3576,"type":"report","event-place":"Ann Arbor, MI","publisher":"Institute for Social Research, University of Michigan","publisher-place":"Ann Arbor, MI","title":"Documentation for the 2010 Census PSID Geocode Match File","issued":{"date-parts":[["2021",12]]}}}],"schema":"https://github.com/citation-style-language/schema/raw/master/csl-citation.json"} </w:instrText>
      </w:r>
      <w:r>
        <w:fldChar w:fldCharType="separate"/>
      </w:r>
      <w:r w:rsidR="00770B11" w:rsidRPr="00770B11">
        <w:t>(71)</w:t>
      </w:r>
      <w:r>
        <w:fldChar w:fldCharType="end"/>
      </w:r>
      <w:r>
        <w:t xml:space="preserve">. </w:t>
      </w:r>
    </w:p>
    <w:p w14:paraId="72ABB118" w14:textId="77777777" w:rsidR="00C755A0" w:rsidRDefault="00C755A0" w:rsidP="00C755A0">
      <w:pPr>
        <w:pStyle w:val="Heading3"/>
      </w:pPr>
      <w:bookmarkStart w:id="119" w:name="_Toc145757053"/>
      <w:bookmarkStart w:id="120" w:name="_Toc145757290"/>
      <w:bookmarkStart w:id="121" w:name="_Toc145757497"/>
      <w:bookmarkStart w:id="122" w:name="_Toc148375772"/>
      <w:r>
        <w:t>Sampling Frame</w:t>
      </w:r>
      <w:bookmarkEnd w:id="119"/>
      <w:bookmarkEnd w:id="120"/>
      <w:bookmarkEnd w:id="121"/>
      <w:bookmarkEnd w:id="122"/>
    </w:p>
    <w:p w14:paraId="3B286820" w14:textId="77777777" w:rsidR="00A85903" w:rsidRDefault="00C755A0" w:rsidP="00C755A0">
      <w:r>
        <w:t xml:space="preserve">All included participants were spouses or heads of household in the PSID, for whom the most extensive data is available. They were included if they participated in 2005 or later, reported a history of cancer with a site other than skin cancer, and reported that they were at least 18 years old when the cancer was diagnosed. Participants were included in the survival analysis if they reported a history of breast, prostate, colon, or lung cancer; and had available residential history </w:t>
      </w:r>
    </w:p>
    <w:p w14:paraId="6C0BFC7B" w14:textId="762169C4" w:rsidR="00A85903" w:rsidRDefault="00A85903" w:rsidP="00A85903">
      <w:pPr>
        <w:ind w:firstLine="0"/>
      </w:pPr>
      <w:r w:rsidRPr="009E577E">
        <w:rPr>
          <w:noProof/>
        </w:rPr>
        <w:lastRenderedPageBreak/>
        <w:drawing>
          <wp:inline distT="0" distB="0" distL="0" distR="0" wp14:anchorId="7AE37112" wp14:editId="0275BCE6">
            <wp:extent cx="5213350" cy="4078809"/>
            <wp:effectExtent l="0" t="0" r="6350" b="0"/>
            <wp:docPr id="21" name="Content Placeholder 20" descr="A flowchart of a cancer patient&#10;&#10;Description automatically generated">
              <a:extLst xmlns:a="http://schemas.openxmlformats.org/drawingml/2006/main">
                <a:ext uri="{FF2B5EF4-FFF2-40B4-BE49-F238E27FC236}">
                  <a16:creationId xmlns:a16="http://schemas.microsoft.com/office/drawing/2014/main" id="{8935A2AD-4E19-9209-F81F-21B29E1EE557}"/>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1" name="Content Placeholder 20" descr="A flowchart of a cancer patient&#10;&#10;Description automatically generated">
                      <a:extLst>
                        <a:ext uri="{FF2B5EF4-FFF2-40B4-BE49-F238E27FC236}">
                          <a16:creationId xmlns:a16="http://schemas.microsoft.com/office/drawing/2014/main" id="{8935A2AD-4E19-9209-F81F-21B29E1EE557}"/>
                        </a:ext>
                      </a:extLst>
                    </pic:cNvPr>
                    <pic:cNvPicPr>
                      <a:picLocks noGrp="1"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213350" cy="4078809"/>
                    </a:xfrm>
                    <a:prstGeom prst="rect">
                      <a:avLst/>
                    </a:prstGeom>
                  </pic:spPr>
                </pic:pic>
              </a:graphicData>
            </a:graphic>
          </wp:inline>
        </w:drawing>
      </w:r>
    </w:p>
    <w:p w14:paraId="30EE47EA" w14:textId="4329453C" w:rsidR="00A85903" w:rsidRDefault="00A85903" w:rsidP="00A85903">
      <w:pPr>
        <w:pStyle w:val="FigureLegend"/>
      </w:pPr>
      <w:bookmarkStart w:id="123" w:name="_Toc149576427"/>
      <w:r>
        <w:t xml:space="preserve">Figure </w:t>
      </w:r>
      <w:fldSimple w:instr=" SEQ Figure \* ARABIC ">
        <w:r w:rsidR="00D83E9C">
          <w:rPr>
            <w:noProof/>
          </w:rPr>
          <w:t>1</w:t>
        </w:r>
      </w:fldSimple>
      <w:r>
        <w:t xml:space="preserve">. Selection </w:t>
      </w:r>
      <w:r w:rsidR="006C3811">
        <w:t>c</w:t>
      </w:r>
      <w:r>
        <w:t>riteria and sample history applied to the Panel Study of Income Dynamics data set</w:t>
      </w:r>
      <w:bookmarkEnd w:id="123"/>
    </w:p>
    <w:p w14:paraId="1E7BB6EC" w14:textId="77777777" w:rsidR="00A85903" w:rsidRDefault="00A85903">
      <w:pPr>
        <w:spacing w:after="160" w:line="259" w:lineRule="auto"/>
        <w:ind w:firstLine="0"/>
        <w:rPr>
          <w:szCs w:val="24"/>
        </w:rPr>
      </w:pPr>
      <w:r>
        <w:br w:type="page"/>
      </w:r>
    </w:p>
    <w:p w14:paraId="3B982E38" w14:textId="5A63643D" w:rsidR="000C53F0" w:rsidRDefault="00C755A0" w:rsidP="00A85903">
      <w:pPr>
        <w:ind w:firstLine="0"/>
      </w:pPr>
      <w:r>
        <w:lastRenderedPageBreak/>
        <w:t>and family income data for the period of interest before diagnosis. These sites were selected because they were the most common reported cancer sites by PSID participants, and each had at least 20 observed deaths. (Cervical cancer was the third most common reported cancer with 125 cases but had only 17 observed deaths.)</w:t>
      </w:r>
      <w:r w:rsidR="009E577E">
        <w:t xml:space="preserve"> The selection criteria and sample history are shown in Figure 1.</w:t>
      </w:r>
    </w:p>
    <w:p w14:paraId="3D8ABFC7" w14:textId="77777777" w:rsidR="00C755A0" w:rsidRDefault="00C755A0" w:rsidP="00C755A0">
      <w:pPr>
        <w:pStyle w:val="Heading3"/>
      </w:pPr>
      <w:bookmarkStart w:id="124" w:name="_Toc145757054"/>
      <w:bookmarkStart w:id="125" w:name="_Toc145757291"/>
      <w:bookmarkStart w:id="126" w:name="_Toc145757498"/>
      <w:bookmarkStart w:id="127" w:name="_Toc148375773"/>
      <w:r>
        <w:t>Vital Status Ascertainment</w:t>
      </w:r>
      <w:bookmarkEnd w:id="124"/>
      <w:bookmarkEnd w:id="125"/>
      <w:bookmarkEnd w:id="126"/>
      <w:bookmarkEnd w:id="127"/>
    </w:p>
    <w:p w14:paraId="0EEC1581" w14:textId="2CD08894" w:rsidR="00C755A0" w:rsidRDefault="00C755A0" w:rsidP="00C755A0">
      <w:r>
        <w:t xml:space="preserve">Due to a change in accessibility of NDI data, PSID staff were unable to share linked death certificate date with external researchers for the study period. Based on the information about match quality in the Mortality File documentation, this study relied on the match information that PSID typically sends to NDI including the month and year of death and the age at death. For all deaths ascertained in the PSID cohort since 1980, information submitted to NDI was sufficient to obtain a “best” match in 82% of cases </w:t>
      </w:r>
      <w:r>
        <w:fldChar w:fldCharType="begin"/>
      </w:r>
      <w:r w:rsidR="00A9340A">
        <w:instrText xml:space="preserve"> ADDIN ZOTERO_ITEM CSL_CITATION {"citationID":"AUnwqSsz","properties":{"formattedCitation":"(54)","plainCitation":"(54)","noteIndex":0},"citationItems":[{"id":3420,"uris":["http://zotero.org/users/1353333/items/NCBWLB4I"],"itemData":{"id":3420,"type":"report","number":"Release 1","publisher":"Institute for Social Research, University of Michigan","title":"Panel Study of Income Dynamics: 1968-2019 Mortality File Documentation","URL":"https://simba.isr.umich.edu/restricted/docs/Mortality/Mortality19_Introduction.pdf","accessed":{"date-parts":[["2023",2,4]]},"issued":{"date-parts":[["2021",3]]}}}],"schema":"https://github.com/citation-style-language/schema/raw/master/csl-citation.json"} </w:instrText>
      </w:r>
      <w:r>
        <w:fldChar w:fldCharType="separate"/>
      </w:r>
      <w:r w:rsidR="00A9340A" w:rsidRPr="00A9340A">
        <w:t>(54)</w:t>
      </w:r>
      <w:r>
        <w:fldChar w:fldCharType="end"/>
      </w:r>
      <w:r>
        <w:t>. In addition, an Attritor Tracking Project concluded in 2007—the next survey wave after cancer site information began to be collected—uncovered a large number of prior deaths that were able to be matched to NDI data with a high degree of confidence comparable to other survey years. Because cause of death data from the NDI match was not provided, this study used all cause mortality as the outcome of interest.</w:t>
      </w:r>
    </w:p>
    <w:p w14:paraId="1201B209" w14:textId="77777777" w:rsidR="00C755A0" w:rsidRDefault="00C755A0" w:rsidP="00C755A0">
      <w:pPr>
        <w:pStyle w:val="Heading3"/>
      </w:pPr>
      <w:bookmarkStart w:id="128" w:name="_Toc145757055"/>
      <w:bookmarkStart w:id="129" w:name="_Toc145757292"/>
      <w:bookmarkStart w:id="130" w:name="_Toc145757499"/>
      <w:bookmarkStart w:id="131" w:name="_Toc148375774"/>
      <w:r>
        <w:t>Residential Exposure Measurement</w:t>
      </w:r>
      <w:bookmarkEnd w:id="128"/>
      <w:bookmarkEnd w:id="129"/>
      <w:bookmarkEnd w:id="130"/>
      <w:bookmarkEnd w:id="131"/>
    </w:p>
    <w:p w14:paraId="6617B146" w14:textId="4D197942" w:rsidR="00C755A0" w:rsidRDefault="00C755A0" w:rsidP="00C755A0">
      <w:r>
        <w:t xml:space="preserve">The primary measure of participants’ neighborhood environments over time was concentrated disadvantage (CD) as developed by Browning and Cagney </w:t>
      </w:r>
      <w:r>
        <w:fldChar w:fldCharType="begin"/>
      </w:r>
      <w:r w:rsidR="00F85975">
        <w:instrText xml:space="preserve"> ADDIN ZOTERO_ITEM CSL_CITATION {"citationID":"pupMNTO4","properties":{"formattedCitation":"(9,10)","plainCitation":"(9,10)","noteIndex":0},"citationItems":[{"id":192,"uris":["http://zotero.org/users/1353333/items/STVKBBZB"],"itemData":{"id":192,"type":"article-journal","abstract":"Our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A."}],"issued":{"date-parts":[["2002",12]]}},"label":"page"},{"id":191,"uris":["http://zotero.org/users/1353333/items/58FACAUB"],"itemData":{"id":191,"type":"article-journal","abstract":"OBJECTIVE: We explore differences in the prevalence of asthma and other respiratory diseases at the neighborhood level. In addition to traditional metrics of neighborhood structure (e.g., concentrated disadvantage, residential stability), we incorporate residents' evaluations of neighborhood context. We examine the extent to which indicators such as disorder (observable signs of physical and social decay) and collective efficacy (trust and shared expectations for beneficial community action) account for differences in the prevalence of asthma and other respiratory diseases.\nMETHODS: We examine 338 Chicago neighborhoods, combining 3 data sources from the 1990s: 1) the Metropolitan Chicago Information Center Metro Survey; 2) the Decennial Census; and 3) the Project on Human Development in Chicago Neighborhoods Community Survey. We use a multilevel statistical approach to disentangle neighborhood- from individual-level effects.\nMEASUREMENTS: A survey-based response to whether a physician has diagnosed asthma, bronchitis, emphysema, or other breathing problems.\nRESULTS: Findings indicate that individual- and neighborhood-level factors are associated with asthma/breathing problems. At the individual level, female gender, smoking, and a weight problem are positively associated with asthma/breathing problems, while Latino ethnicity is protective. At the neighborhood level, collective efficacy is protective against asthma/breathing problems. Residential stability is positively associated only when levels of collective efficacy are controlled.\nCONCLUSIONS: Neighborhood context, particularly collective efficacy, may be an underlying factor that reduces vulnerability to asthma and other respiratory diseases. Collective efficacy may enhance the ability to garner health-relevant resources, eliminate environmental hazards that trigger asthma, and promote communication among residents which, in turn, enables dissemination of information relevant to respiratory ailments.","container-title":"Journal of General Internal Medicine","ISSN":"0884-8734","issue":"3","journalAbbreviation":"J Gen Intern Med","language":"eng","note":"PMID: 15009777\nPMCID: PMC1492148","page":"229-236","source":"PubMed","title":"Exploring neighborhood-level variation in asthma and other respiratory diseases: the contribution of neighborhood social context","title-short":"Exploring neighborhood-level variation in asthma and other respiratory diseases","volume":"19","author":[{"family":"Cagney","given":"Kathleen A."},{"family":"Browning","given":"Christopher R."}],"issued":{"date-parts":[["2004",3]]}},"label":"page"}],"schema":"https://github.com/citation-style-language/schema/raw/master/csl-citation.json"} </w:instrText>
      </w:r>
      <w:r>
        <w:fldChar w:fldCharType="separate"/>
      </w:r>
      <w:r w:rsidR="00321573" w:rsidRPr="00321573">
        <w:t>(9,10)</w:t>
      </w:r>
      <w:r>
        <w:fldChar w:fldCharType="end"/>
      </w:r>
      <w:r>
        <w:t xml:space="preserve">. This is a composite measure of population characteristics including percent unemployment, percent of households in poverty, percent of households with a female head, and percent of the population with less than a college degree. The original measure, developed from a factor analysis of Census variables, included the percent of the population that is African American. Because this and related analyses were intended to study the contribution of neighborhood characteristics to racial health inequities, that component was dropped from the measure. In the original measure, all components other than the </w:t>
      </w:r>
      <w:r>
        <w:lastRenderedPageBreak/>
        <w:t xml:space="preserve">tract racial composition had factor loadings of 0.85. The factor loading for the African American share of the population was 0.6. Therefore, dropping the African American population component yielded a score composed of equally weighted factors </w:t>
      </w:r>
      <w:r>
        <w:fldChar w:fldCharType="begin"/>
      </w:r>
      <w:r w:rsidR="00F85975">
        <w:instrText xml:space="preserve"> ADDIN ZOTERO_ITEM CSL_CITATION {"citationID":"uj5amU0W","properties":{"formattedCitation":"(10,17)","plainCitation":"(10,17)","noteIndex":0},"citationItems":[{"id":192,"uris":["http://zotero.org/users/1353333/items/STVKBBZB"],"itemData":{"id":192,"type":"article-journal","abstract":"Our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B."}],"issued":{"date-parts":[["2011",10]]}},"label":"page"}],"schema":"https://github.com/citation-style-language/schema/raw/master/csl-citation.json"} </w:instrText>
      </w:r>
      <w:r>
        <w:fldChar w:fldCharType="separate"/>
      </w:r>
      <w:r w:rsidR="00321573" w:rsidRPr="00321573">
        <w:t>(10,17)</w:t>
      </w:r>
      <w:r>
        <w:fldChar w:fldCharType="end"/>
      </w:r>
      <w:r>
        <w:t xml:space="preserve">. Historical Census data were obtained from the Longitudinal Tract Database (LTDB) </w:t>
      </w:r>
      <w:r>
        <w:fldChar w:fldCharType="begin"/>
      </w:r>
      <w:r w:rsidR="00A9340A">
        <w:instrText xml:space="preserve"> ADDIN ZOTERO_ITEM CSL_CITATION {"citationID":"GhifXNmb","properties":{"formattedCitation":"(58)","plainCitation":"(58)","noteIndex":0},"citationItems":[{"id":58,"uris":["http://zotero.org/users/1353333/items/65V4IYFG"],"itemData":{"id":58,"type":"dataset","title":"Longitudinal Tract Database (LTDB)","URL":"https://s4.ad.brown.edu/projects/diversity/Researcher/LTDB.htm","author":[{"family":"Logan","given":"John R"},{"family":"Xu","given":"Zengwang"},{"family":"Stults","given":"Brian J."}],"issued":{"date-parts":[["2014"]]}}}],"schema":"https://github.com/citation-style-language/schema/raw/master/csl-citation.json"} </w:instrText>
      </w:r>
      <w:r>
        <w:fldChar w:fldCharType="separate"/>
      </w:r>
      <w:r w:rsidR="00A9340A" w:rsidRPr="00A9340A">
        <w:t>(58)</w:t>
      </w:r>
      <w:r>
        <w:fldChar w:fldCharType="end"/>
      </w:r>
      <w:r>
        <w:t xml:space="preserve">. The LTDB provides interpolated population estimates in 2010 tract boundaries from the 1970 Census onward, and tools for researchers to create additional estimates </w:t>
      </w:r>
      <w:r>
        <w:fldChar w:fldCharType="begin"/>
      </w:r>
      <w:r w:rsidR="00A9340A">
        <w:instrText xml:space="preserve"> ADDIN ZOTERO_ITEM CSL_CITATION {"citationID":"3fN6RWrM","properties":{"formattedCitation":"(59)","plainCitation":"(59)","noteIndex":0},"citationItems":[{"id":1211,"uris":["http://zotero.org/users/1353333/items/KTGFBQJN"],"itemData":{"id":1211,"type":"article-journal","abstract":"Differences in the reporting units of data from diverse sources and changes in units over time are common obstacles to analysis of areal data. We compare common approaches to this problem in the context of changes over time in the boundaries of U.S. census tracts. In every decennial census many tracts are split, consolidated, or changed in other ways from the previous boundaries to reflect population growth or decline. We examine two interpolation methods to create a bridge between years, one that relies only on areal weighting and another that also introduces population weights. Results demonstrate that these approaches produce substantially different estimates for variables that involve population counts, but they have a high degree of convergence for variables defined as rates or averages. Finally the paper describes the Longitudinal Tract Data Base (LTDB), through which we are making available public-use tools to implement these methods to create estimates within 2010 tract boundaries for any tract-level data (from the census or other sources) that are available for prior years as early as 1970.","container-title":"The Professional geographer : the journal of the Association of American Geographers","DOI":"10.1080/00330124.2014.905156","ISSN":"0033-0124","issue":"3","journalAbbreviation":"Prof Geogr","note":"PMID: 25140068\nPMCID: PMC4134912","page":"412-420","source":"PubMed Central","title":"Interpolating U.S. Decennial Census Tract Data from as Early as 1970 to 2010: A Longtitudinal Tract Database","title-short":"Interpolating U.S. Decennial Census Tract Data from as Early as 1970 to 2010","volume":"66","author":[{"family":"Logan","given":"John R."},{"family":"Xu","given":"Zengwang"},{"family":"Stults","given":"Brian"}],"issued":{"date-parts":[["2014",7,1]]}}}],"schema":"https://github.com/citation-style-language/schema/raw/master/csl-citation.json"} </w:instrText>
      </w:r>
      <w:r>
        <w:fldChar w:fldCharType="separate"/>
      </w:r>
      <w:r w:rsidR="00A9340A" w:rsidRPr="00A9340A">
        <w:t>(59)</w:t>
      </w:r>
      <w:r>
        <w:fldChar w:fldCharType="end"/>
      </w:r>
      <w:r>
        <w:t xml:space="preserve">. Family incomes were adjusted to 2020 dollars using the Consumer Price Index for All Urban Consumers (CPI-U) </w:t>
      </w:r>
      <w:r>
        <w:fldChar w:fldCharType="begin"/>
      </w:r>
      <w:r w:rsidR="00770B11">
        <w:instrText xml:space="preserve"> ADDIN ZOTERO_ITEM CSL_CITATION {"citationID":"uDY6ooXs","properties":{"formattedCitation":"(72)","plainCitation":"(72)","noteIndex":0},"citationItems":[{"id":1136,"uris":["http://zotero.org/users/1353333/items/6Y744KEX"],"itemData":{"id":1136,"type":"document","title":"Consumer Price Index Research Series Using Current Methods (R-CPI-U-RS), 1977 - 2020","URL":"https://www.bls.gov/cpi/research-series/r-cpi-u-rs-home.htm","author":[{"literal":"Division of Consumer Prices and Price Indexes, US Bureau of Labor Statistics"}],"accessed":{"date-parts":[["2021",8,27]]},"issued":{"date-parts":[["2021",3,12]]}}}],"schema":"https://github.com/citation-style-language/schema/raw/master/csl-citation.json"} </w:instrText>
      </w:r>
      <w:r>
        <w:fldChar w:fldCharType="separate"/>
      </w:r>
      <w:r w:rsidR="00770B11" w:rsidRPr="00770B11">
        <w:t>(72)</w:t>
      </w:r>
      <w:r>
        <w:fldChar w:fldCharType="end"/>
      </w:r>
      <w:r>
        <w:t>.</w:t>
      </w:r>
    </w:p>
    <w:p w14:paraId="35F8B880" w14:textId="77777777" w:rsidR="00C755A0" w:rsidRDefault="00C755A0" w:rsidP="00C755A0">
      <w:pPr>
        <w:pStyle w:val="Heading3"/>
      </w:pPr>
      <w:bookmarkStart w:id="132" w:name="_Toc145757056"/>
      <w:bookmarkStart w:id="133" w:name="_Toc145757293"/>
      <w:bookmarkStart w:id="134" w:name="_Toc145757500"/>
      <w:bookmarkStart w:id="135" w:name="_Toc148375775"/>
      <w:r>
        <w:t>Data Preparation</w:t>
      </w:r>
      <w:bookmarkEnd w:id="132"/>
      <w:bookmarkEnd w:id="133"/>
      <w:bookmarkEnd w:id="134"/>
      <w:bookmarkEnd w:id="135"/>
    </w:p>
    <w:p w14:paraId="21CAD9D3" w14:textId="77777777" w:rsidR="00C755A0" w:rsidRDefault="00C755A0" w:rsidP="00C755A0">
      <w:r>
        <w:t>Demographic and cancer information were taken from the first survey year in which a participant reported a personal history of cancer. Participants were divided into six age cohorts based on observed years of birth: 1900-1919, 1920-1934, 1935-1949, 1950-1964, 1965-1979, and 1980-1995. Point CD measures were calculated for each participant at lags of 5, 10, 15, and 20 years before diagnosis. An average CD measure was calculated for each participant using all available residential history for up to 20 years before diagnosis. In 1997, the PSID moved from 1- to 2-year intervals between surveys. During this period, income and CD values from odd-numbered years were carried forward once to the subsequent even-numbered year. No values were carried forward for years when the survey was conducted, but respondents did not participate. The 20-year mean CD score variable was calculated without carrying forward odd-numbered year scores. Instead, this average was weighted to reflect the different frequency of data collection before and after 1997. Variables for mean and lagged-point household income were created using the same approach.</w:t>
      </w:r>
    </w:p>
    <w:p w14:paraId="7E132686" w14:textId="77777777" w:rsidR="00C755A0" w:rsidRDefault="00C755A0" w:rsidP="00C755A0">
      <w:pPr>
        <w:pStyle w:val="Heading3"/>
      </w:pPr>
      <w:bookmarkStart w:id="136" w:name="_Toc145757057"/>
      <w:bookmarkStart w:id="137" w:name="_Toc145757294"/>
      <w:bookmarkStart w:id="138" w:name="_Toc145757501"/>
      <w:bookmarkStart w:id="139" w:name="_Toc148375776"/>
      <w:r>
        <w:t>Statistical Analysis</w:t>
      </w:r>
      <w:bookmarkEnd w:id="136"/>
      <w:bookmarkEnd w:id="137"/>
      <w:bookmarkEnd w:id="138"/>
      <w:bookmarkEnd w:id="139"/>
    </w:p>
    <w:p w14:paraId="3FB9EFB2" w14:textId="77777777" w:rsidR="00C755A0" w:rsidRDefault="00C755A0" w:rsidP="00C755A0">
      <w:r>
        <w:t>All data analysis and preparation were conducted using SAS 9.4. Because of the limited available mortality data, the outcome for this analysis was all-cause survival in PSID participants who reported a personal history of cancer. The independent variables of interest were lagged CD and individual race.</w:t>
      </w:r>
    </w:p>
    <w:p w14:paraId="5B2D53CF" w14:textId="77777777" w:rsidR="00C755A0" w:rsidRDefault="00C755A0" w:rsidP="00C755A0">
      <w:r>
        <w:lastRenderedPageBreak/>
        <w:t>The distribution of demographic characteristics and cancer sites was summarized using the FREQ procedure. Groups were also compared by vital status using the Pearson chi square test for categorical variables, Mantel-Haenszel chi square for ordinal variables, and a two-sample t-test for continuous variables. Differences in the distribution of the lagged point and 20-year mean CD score values were explored using the MEANS and UNIVARIATE procedures.</w:t>
      </w:r>
    </w:p>
    <w:p w14:paraId="74F5055C" w14:textId="329A65EA" w:rsidR="00C755A0" w:rsidRDefault="00C176D5" w:rsidP="00C755A0">
      <w:r>
        <w:t xml:space="preserve">Kaplan-Meier survival curves were calculated for each site stratified by quintile of mean 20-year concentrated disadvantage score. </w:t>
      </w:r>
      <w:r w:rsidR="00C755A0">
        <w:t xml:space="preserve">Survival was modeled using the Cox proportional hazards model and the PHREG procedure. For this analysis, age was treated as the time scale and the model was stratified by birth cohort. This approach treats survival time before the first report of a history of cancer as left-truncated, and implicitly compares the risk of death among people who are the same age, rather than in people who have the same amount of follow-up time </w:t>
      </w:r>
      <w:r w:rsidR="00C755A0">
        <w:fldChar w:fldCharType="begin"/>
      </w:r>
      <w:r w:rsidR="00A9340A">
        <w:instrText xml:space="preserve"> ADDIN ZOTERO_ITEM CSL_CITATION {"citationID":"BHXZEqPC","properties":{"formattedCitation":"(63,64)","plainCitation":"(63,64)","noteIndex":0},"citationItems":[{"id":3529,"uris":["http://zotero.org/users/1353333/items/CEUMBCFE"],"itemData":{"id":3529,"type":"article-journal","container-title":"American Journal of Epidemiology","DOI":"10.1093/oxfordjournals.aje.a009034","ISSN":"0002-9262, 1476-6256","issue":"1","journalAbbreviation":"American Journal of Epidemiology","language":"en","page":"72-80","source":"DOI.org (Crossref)","title":"Time-to-Event Analysis of Longitudinal Follow-up of a Survey: Choice of the Time-scale","title-short":"Time-to-Event Analysis of Longitudinal Follow-up of a Survey","volume":"145","author":[{"family":"Korn","given":"E. L."},{"family":"Graubard","given":"B. I."},{"family":"Midthune","given":"D."}],"issued":{"date-parts":[["1997",1,1]]}},"label":"page"},{"id":3521,"uris":["http://zotero.org/users/1353333/items/M7LJ47QC"],"itemData":{"id":3521,"type":"article-journal","abstract":"Typically in cohort studies, the time-scale used in Cox regression models is time-on-study, adjusting for age as a covariate. However, age can also be used as the time-scale, where subjects enter the analysis at their baseline age (left-truncation) and exit at their event/censoring age. Using SAS® PROC PHREG, we compared five methods using time-on-study and age as the time-scales. We used a subset of data (n=85,882) from the large California Teachers Study cohort, with five years of follow-up, invasive breast cancer as the outcome (n=1,428) and alcohol consumption (&gt; 20 grams/day) as the risk factor of interest. Using a time-on-study time-scale adjusting for age continuous in years produced a slight overestimate of the alcohol effect compared with the more accurate but computationally more intensive age time-scale methods. However, allowing for different age effects for younger and older ages gave virtually identical results as using an age time-scale.","language":"en","source":"Zotero","title":"Cox Regression Using Different Time Scales","author":[{"family":"Canchola","given":"Alison"},{"family":"Stewart","given":"Susan"},{"family":"Center","given":"Northern CA Cancer"},{"family":"Bernstein","given":"Leslie"}]},"label":"page"}],"schema":"https://github.com/citation-style-language/schema/raw/master/csl-citation.json"} </w:instrText>
      </w:r>
      <w:r w:rsidR="00C755A0">
        <w:fldChar w:fldCharType="separate"/>
      </w:r>
      <w:r w:rsidR="00A9340A" w:rsidRPr="00A9340A">
        <w:t>(63,64)</w:t>
      </w:r>
      <w:r w:rsidR="00C755A0">
        <w:fldChar w:fldCharType="end"/>
      </w:r>
      <w:r w:rsidR="00C755A0">
        <w:t xml:space="preserve">. Use of age as the time scale has been recommended by some researchers for analysis of cohort data in healthy people, like the PSID cohort from which this sample was drawn, when risk of death is expected to vary more by age than by time spent participating in the study </w:t>
      </w:r>
      <w:r w:rsidR="00C755A0">
        <w:fldChar w:fldCharType="begin"/>
      </w:r>
      <w:r w:rsidR="00A9340A">
        <w:instrText xml:space="preserve"> ADDIN ZOTERO_ITEM CSL_CITATION {"citationID":"8lIsKJeG","properties":{"formattedCitation":"(63)","plainCitation":"(63)","noteIndex":0},"citationItems":[{"id":3529,"uris":["http://zotero.org/users/1353333/items/CEUMBCFE"],"itemData":{"id":3529,"type":"article-journal","container-title":"American Journal of Epidemiology","DOI":"10.1093/oxfordjournals.aje.a009034","ISSN":"0002-9262, 1476-6256","issue":"1","journalAbbreviation":"American Journal of Epidemiology","language":"en","page":"72-80","source":"DOI.org (Crossref)","title":"Time-to-Event Analysis of Longitudinal Follow-up of a Survey: Choice of the Time-scale","title-short":"Time-to-Event Analysis of Longitudinal Follow-up of a Survey","volume":"145","author":[{"family":"Korn","given":"E. L."},{"family":"Graubard","given":"B. I."},{"family":"Midthune","given":"D."}],"issued":{"date-parts":[["1997",1,1]]}}}],"schema":"https://github.com/citation-style-language/schema/raw/master/csl-citation.json"} </w:instrText>
      </w:r>
      <w:r w:rsidR="00C755A0">
        <w:fldChar w:fldCharType="separate"/>
      </w:r>
      <w:r w:rsidR="00A9340A" w:rsidRPr="00A9340A">
        <w:t>(63)</w:t>
      </w:r>
      <w:r w:rsidR="00C755A0">
        <w:fldChar w:fldCharType="end"/>
      </w:r>
      <w:r w:rsidR="00C755A0">
        <w:t xml:space="preserve">. In this case, the use of age as the time scale also avoids measurement error that would be introduced by estimating exact dates from the PSID data, which only provided the year, month, and age at cancer diagnosis and at death. Finally, this method adjusts for both age and calendar effects that might influence either the outcome or risk factors </w:t>
      </w:r>
      <w:r w:rsidR="00C755A0">
        <w:fldChar w:fldCharType="begin"/>
      </w:r>
      <w:r w:rsidR="00A9340A">
        <w:instrText xml:space="preserve"> ADDIN ZOTERO_ITEM CSL_CITATION {"citationID":"Rs06YVTM","properties":{"formattedCitation":"(63,64)","plainCitation":"(63,64)","noteIndex":0},"citationItems":[{"id":3529,"uris":["http://zotero.org/users/1353333/items/CEUMBCFE"],"itemData":{"id":3529,"type":"article-journal","container-title":"American Journal of Epidemiology","DOI":"10.1093/oxfordjournals.aje.a009034","ISSN":"0002-9262, 1476-6256","issue":"1","journalAbbreviation":"American Journal of Epidemiology","language":"en","page":"72-80","source":"DOI.org (Crossref)","title":"Time-to-Event Analysis of Longitudinal Follow-up of a Survey: Choice of the Time-scale","title-short":"Time-to-Event Analysis of Longitudinal Follow-up of a Survey","volume":"145","author":[{"family":"Korn","given":"E. L."},{"family":"Graubard","given":"B. I."},{"family":"Midthune","given":"D."}],"issued":{"date-parts":[["1997",1,1]]}},"label":"page"},{"id":3521,"uris":["http://zotero.org/users/1353333/items/M7LJ47QC"],"itemData":{"id":3521,"type":"article-journal","abstract":"Typically in cohort studies, the time-scale used in Cox regression models is time-on-study, adjusting for age as a covariate. However, age can also be used as the time-scale, where subjects enter the analysis at their baseline age (left-truncation) and exit at their event/censoring age. Using SAS® PROC PHREG, we compared five methods using time-on-study and age as the time-scales. We used a subset of data (n=85,882) from the large California Teachers Study cohort, with five years of follow-up, invasive breast cancer as the outcome (n=1,428) and alcohol consumption (&gt; 20 grams/day) as the risk factor of interest. Using a time-on-study time-scale adjusting for age continuous in years produced a slight overestimate of the alcohol effect compared with the more accurate but computationally more intensive age time-scale methods. However, allowing for different age effects for younger and older ages gave virtually identical results as using an age time-scale.","language":"en","source":"Zotero","title":"Cox Regression Using Different Time Scales","author":[{"family":"Canchola","given":"Alison"},{"family":"Stewart","given":"Susan"},{"family":"Center","given":"Northern CA Cancer"},{"family":"Bernstein","given":"Leslie"}]},"label":"page"}],"schema":"https://github.com/citation-style-language/schema/raw/master/csl-citation.json"} </w:instrText>
      </w:r>
      <w:r w:rsidR="00C755A0">
        <w:fldChar w:fldCharType="separate"/>
      </w:r>
      <w:r w:rsidR="00A9340A" w:rsidRPr="00A9340A">
        <w:t>(63,64)</w:t>
      </w:r>
      <w:r w:rsidR="00C755A0">
        <w:fldChar w:fldCharType="end"/>
      </w:r>
      <w:r w:rsidR="00C755A0">
        <w:t>.</w:t>
      </w:r>
    </w:p>
    <w:p w14:paraId="76DBA077" w14:textId="77777777" w:rsidR="00C755A0" w:rsidRPr="00CD43D2" w:rsidRDefault="00C755A0" w:rsidP="00C755A0">
      <w:r>
        <w:t xml:space="preserve">Individual age cohorts and racial groups were only included in each model if they contained members who both had and had not died. </w:t>
      </w:r>
      <w:r w:rsidRPr="00CD43D2">
        <w:t xml:space="preserve">This resulted in restricting the analysis to white and Black participants. </w:t>
      </w:r>
    </w:p>
    <w:p w14:paraId="62A7F3C8" w14:textId="7A15F20B" w:rsidR="00C755A0" w:rsidRPr="000C7A77" w:rsidRDefault="00C755A0" w:rsidP="00C755A0">
      <w:r>
        <w:t xml:space="preserve">For each cancer site model, the lagged income and CD variables closest to the empirical latency were used as predictors. For breast, prostate, and lung cancer, a lag of 20 years was used </w:t>
      </w:r>
      <w:r>
        <w:fldChar w:fldCharType="begin"/>
      </w:r>
      <w:r w:rsidR="00A9340A">
        <w:instrText xml:space="preserve"> ADDIN ZOTERO_ITEM CSL_CITATION {"citationID":"8pDNGoLF","properties":{"formattedCitation":"(65)","plainCitation":"(65)","noteIndex":0},"citationItems":[{"id":3515,"uris":["http://zotero.org/users/1353333/items/DTB3BF93"],"itemData":{"id":3515,"type":"article-journal","abstract":"Mathematical models can be useful tools in exploring population disease trends over time and can be used to gain insight into the fundamental mechanisms of cancer development.  In this paper, we provide a systematic comparison between the exact and the approximate solutions for estimating the length of time between the biological initiation of cancer and diagnosis through the development of a Weibull-like survival model.  A total of 1,608,484 malignant primary cancers were used in the analysis using cancer incidence data obtained from the National Cancer Institute’s Surveillance, Epidemiology, and End Results (SEER) program.  We find that the approximate solution provides a reliable comparison of the latency periods for different types of cancer and has no significant effect on the estimation accuracy, which differs from the exact solution by 0% to 11.3%.  Thirty-five of the 44 cancers in this analysis were found to progress silently for 10 years or longer prior to detection representing 89% of the patients in this analysis.  The results of this analysis differentiate cancer types that progress undetected over a period of years to identify new opportunities for early detection which increases the likelihood of successful treatment and alleviates the ever-growing cancer burden.","container-title":"Advances in Epidemiology","DOI":"10.1155/2014/746769","ISSN":"2356-6701, 2314-7628","journalAbbreviation":"Advances in Epidemiology","language":"en","page":"1-8","source":"DOI.org (Crossref)","title":"Estimating Cancer Latency Times Using a Weibull Model","volume":"2014","author":[{"family":"Nadler","given":"Diana L."},{"family":"Zurbenko","given":"Igor G."}],"issued":{"date-parts":[["2014",8,31]]}}}],"schema":"https://github.com/citation-style-language/schema/raw/master/csl-citation.json"} </w:instrText>
      </w:r>
      <w:r>
        <w:fldChar w:fldCharType="separate"/>
      </w:r>
      <w:r w:rsidR="00A9340A" w:rsidRPr="00A9340A">
        <w:t>(65)</w:t>
      </w:r>
      <w:r>
        <w:fldChar w:fldCharType="end"/>
      </w:r>
      <w:r>
        <w:t xml:space="preserve">. For colon cancer, a lag of 10 years was used </w:t>
      </w:r>
      <w:r>
        <w:fldChar w:fldCharType="begin"/>
      </w:r>
      <w:r w:rsidR="00A9340A">
        <w:instrText xml:space="preserve"> ADDIN ZOTERO_ITEM CSL_CITATION {"citationID":"A1yMkUHY","properties":{"formattedCitation":"(66)","plainCitation":"(66)","noteIndex":0},"citationItems":[{"id":3598,"uris":["http://zotero.org/users/1353333/items/2884TFHL"],"itemData":{"id":3598,"type":"article-journal","abstract":"This population-based study examines the risks of and deaths associated with colorectal cancer after a 12-year follow-up period for persons who underwent colonoscopy vs those who did not.","container-title":"JAMA Internal Medicine","DOI":"10.1001/jamainternmed.2018.5565","ISSN":"2168-6106","issue":"2","journalAbbreviation":"JAMA Intern Med","note":"PMID: 30556824\nPMCID: PMC6439662","page":"153-160","source":"PubMed Central","title":"Long-term Risk of Colorectal Cancer and Related Deaths After a Colonoscopy With Normal Findings","volume":"179","author":[{"family":"Lee","given":"Jeffrey K."},{"family":"Jensen","given":"Christopher D."},{"family":"Levin","given":"Theodore R."},{"family":"Zauber","given":"Ann G."},{"family":"Schottinger","given":"Joanne E."},{"family":"Quinn","given":"Virginia P."},{"family":"Udaltsova","given":"Natalia"},{"family":"Zhao","given":"Wei K."},{"family":"Fireman","given":"Bruce H."},{"family":"Quesenberry","given":"Charles P."},{"family":"Doubeni","given":"Chyke A."},{"family":"Corley","given":"Douglas A."}],"issued":{"date-parts":[["2019",2]]}}}],"schema":"https://github.com/citation-style-language/schema/raw/master/csl-citation.json"} </w:instrText>
      </w:r>
      <w:r>
        <w:fldChar w:fldCharType="separate"/>
      </w:r>
      <w:r w:rsidR="00A9340A" w:rsidRPr="00A9340A">
        <w:t>(66)</w:t>
      </w:r>
      <w:r>
        <w:fldChar w:fldCharType="end"/>
      </w:r>
      <w:r>
        <w:t>.</w:t>
      </w:r>
    </w:p>
    <w:p w14:paraId="604037EA" w14:textId="77777777" w:rsidR="00C755A0" w:rsidRDefault="00C755A0" w:rsidP="00C755A0">
      <w:pPr>
        <w:pStyle w:val="Heading2"/>
        <w:ind w:left="0" w:firstLine="720"/>
      </w:pPr>
      <w:bookmarkStart w:id="140" w:name="_Toc145757058"/>
      <w:bookmarkStart w:id="141" w:name="_Toc145757295"/>
      <w:bookmarkStart w:id="142" w:name="_Toc145757502"/>
      <w:bookmarkStart w:id="143" w:name="_Toc148375777"/>
      <w:r>
        <w:lastRenderedPageBreak/>
        <w:t>Results</w:t>
      </w:r>
      <w:bookmarkEnd w:id="140"/>
      <w:bookmarkEnd w:id="141"/>
      <w:bookmarkEnd w:id="142"/>
      <w:bookmarkEnd w:id="143"/>
    </w:p>
    <w:p w14:paraId="32C66CF5" w14:textId="77777777" w:rsidR="00AF2625" w:rsidRDefault="00AF2625" w:rsidP="005B74C7">
      <w:pPr>
        <w:pStyle w:val="Heading3"/>
        <w:numPr>
          <w:ilvl w:val="0"/>
          <w:numId w:val="13"/>
        </w:numPr>
      </w:pPr>
      <w:bookmarkStart w:id="144" w:name="_Toc145757059"/>
      <w:bookmarkStart w:id="145" w:name="_Toc145757296"/>
      <w:bookmarkStart w:id="146" w:name="_Toc145757503"/>
      <w:bookmarkStart w:id="147" w:name="_Toc148375778"/>
      <w:r w:rsidRPr="005B74C7">
        <w:t>Study Participant Characteristics</w:t>
      </w:r>
      <w:bookmarkEnd w:id="144"/>
      <w:bookmarkEnd w:id="145"/>
      <w:bookmarkEnd w:id="146"/>
      <w:bookmarkEnd w:id="147"/>
      <w:r>
        <w:t xml:space="preserve"> </w:t>
      </w:r>
    </w:p>
    <w:p w14:paraId="1AADFA4E" w14:textId="7F5AF61E" w:rsidR="00CD43D2" w:rsidRDefault="00C755A0" w:rsidP="00C755A0">
      <w:r>
        <w:t xml:space="preserve">The final study sample included 535 PSID participants who reported a personal history of breast, colon, lung, or prostate cancer as an adult; and had usable residential history for the relevant period before the age at which they were diagnosed. Descriptive statistics for the sample are shown in Table </w:t>
      </w:r>
      <w:r w:rsidR="00171A7B">
        <w:t>III</w:t>
      </w:r>
      <w:r>
        <w:t>. Crude associations with survival were evaluated using 20-year mean income and CD score because these values were available for all participants with all cancer types.</w:t>
      </w:r>
    </w:p>
    <w:p w14:paraId="20841805" w14:textId="77777777" w:rsidR="00CD43D2" w:rsidRDefault="00CD43D2" w:rsidP="00CD43D2">
      <w:r>
        <w:t>Vital status was significantly associated with birth cohort, age at diagnosis, sex, 20-year mean household income, and cancer site. White participants were slightly more likely than Black or African American participants to have died, but the association was not significant. Mean CD score in the 20 years before diagnosis was not associated with vital status.</w:t>
      </w:r>
    </w:p>
    <w:p w14:paraId="069A2933" w14:textId="77777777" w:rsidR="00CD43D2" w:rsidRPr="00AF2625" w:rsidRDefault="00CD43D2" w:rsidP="00CD43D2">
      <w:pPr>
        <w:pStyle w:val="Heading3"/>
      </w:pPr>
      <w:bookmarkStart w:id="148" w:name="_Toc145757060"/>
      <w:bookmarkStart w:id="149" w:name="_Toc145757297"/>
      <w:bookmarkStart w:id="150" w:name="_Toc145757504"/>
      <w:bookmarkStart w:id="151" w:name="_Toc148375779"/>
      <w:r w:rsidRPr="005B74C7">
        <w:t>Distribution and Availability of CD Score</w:t>
      </w:r>
      <w:bookmarkEnd w:id="148"/>
      <w:bookmarkEnd w:id="149"/>
      <w:bookmarkEnd w:id="150"/>
      <w:bookmarkEnd w:id="151"/>
    </w:p>
    <w:p w14:paraId="632B318A" w14:textId="20B81485" w:rsidR="00CD43D2" w:rsidRDefault="00CD43D2" w:rsidP="00CD43D2">
      <w:r>
        <w:t xml:space="preserve">All CD score variables had similar central tendencies and were available in the great majority of participants (Table </w:t>
      </w:r>
      <w:r w:rsidR="00171A7B">
        <w:t>IV</w:t>
      </w:r>
      <w:r>
        <w:t>). The only CD score variable with complete availability for the entire sample was the 20-year mean. However, the 20-year mean CD score value varied less across participants, with a much smaller standard deviation and range than the lagged point values. It also represented different amounts of residential history in different participants, rather than the neighborhood environment around the time of cancer initiation. Therefore lagged point CD scores were used in the survival models to both maximize observed variation in the main explanatory variable, and on grounds of biological plausibility.</w:t>
      </w:r>
    </w:p>
    <w:p w14:paraId="290001E2" w14:textId="77777777" w:rsidR="00A85903" w:rsidRDefault="00A85903" w:rsidP="00A85903">
      <w:pPr>
        <w:pStyle w:val="Heading3"/>
      </w:pPr>
      <w:bookmarkStart w:id="152" w:name="_Toc145757061"/>
      <w:bookmarkStart w:id="153" w:name="_Toc145757298"/>
      <w:bookmarkStart w:id="154" w:name="_Toc145757505"/>
      <w:bookmarkStart w:id="155" w:name="_Toc148375780"/>
      <w:r>
        <w:t>Survival Analysis</w:t>
      </w:r>
      <w:bookmarkEnd w:id="152"/>
      <w:bookmarkEnd w:id="153"/>
      <w:bookmarkEnd w:id="154"/>
      <w:bookmarkEnd w:id="155"/>
    </w:p>
    <w:p w14:paraId="49785920" w14:textId="59A902C4" w:rsidR="00A85903" w:rsidRDefault="00A85903" w:rsidP="00A85903">
      <w:r>
        <w:t xml:space="preserve">For each of the four analyzable cancer sites recorded among PSID participants, there was no difference in the survival function when stratified by quintile of historical concentrated disadvantage (Figure 3). There was also no adjusted relationship between lagged point CD score </w:t>
      </w:r>
    </w:p>
    <w:p w14:paraId="32B4872A" w14:textId="77777777" w:rsidR="00CD43D2" w:rsidRDefault="00CD43D2">
      <w:pPr>
        <w:spacing w:after="160" w:line="259" w:lineRule="auto"/>
        <w:ind w:firstLine="0"/>
      </w:pPr>
      <w:r>
        <w:br w:type="page"/>
      </w:r>
    </w:p>
    <w:p w14:paraId="1F684433" w14:textId="7A30B908" w:rsidR="00C755A0" w:rsidRPr="008C3932" w:rsidRDefault="00C755A0" w:rsidP="00CD43D2">
      <w:pPr>
        <w:pStyle w:val="TableName"/>
      </w:pPr>
      <w:bookmarkStart w:id="156" w:name="_Toc148375815"/>
      <w:r w:rsidRPr="008C3932">
        <w:lastRenderedPageBreak/>
        <w:t xml:space="preserve">Table </w:t>
      </w:r>
      <w:r w:rsidR="00171A7B">
        <w:t>III</w:t>
      </w:r>
      <w:r w:rsidRPr="008C3932">
        <w:t xml:space="preserve">. Characteristics of PSID participants who reported a history of </w:t>
      </w:r>
      <w:r>
        <w:t xml:space="preserve">breast, colorectal, lung, or prostate </w:t>
      </w:r>
      <w:r w:rsidRPr="008C3932">
        <w:t>cancer</w:t>
      </w:r>
      <w:r>
        <w:t>,</w:t>
      </w:r>
      <w:r w:rsidRPr="008C3932">
        <w:t xml:space="preserve"> by vital status</w:t>
      </w:r>
      <w:r>
        <w:t>, 2005-2019</w:t>
      </w:r>
      <w:bookmarkEnd w:id="156"/>
    </w:p>
    <w:tbl>
      <w:tblPr>
        <w:tblStyle w:val="PlainTable3"/>
        <w:tblW w:w="5000" w:type="pct"/>
        <w:tblLayout w:type="fixed"/>
        <w:tblLook w:val="0420" w:firstRow="1" w:lastRow="0" w:firstColumn="0" w:lastColumn="0" w:noHBand="0" w:noVBand="1"/>
      </w:tblPr>
      <w:tblGrid>
        <w:gridCol w:w="3601"/>
        <w:gridCol w:w="1621"/>
        <w:gridCol w:w="1529"/>
        <w:gridCol w:w="1529"/>
        <w:gridCol w:w="1080"/>
      </w:tblGrid>
      <w:tr w:rsidR="00C755A0" w:rsidRPr="008C3932" w14:paraId="70A5B76A" w14:textId="77777777" w:rsidTr="00171A7B">
        <w:trPr>
          <w:cnfStyle w:val="100000000000" w:firstRow="1" w:lastRow="0" w:firstColumn="0" w:lastColumn="0" w:oddVBand="0" w:evenVBand="0" w:oddHBand="0" w:evenHBand="0" w:firstRowFirstColumn="0" w:firstRowLastColumn="0" w:lastRowFirstColumn="0" w:lastRowLastColumn="0"/>
          <w:trHeight w:val="300"/>
        </w:trPr>
        <w:tc>
          <w:tcPr>
            <w:tcW w:w="1923" w:type="pct"/>
            <w:noWrap/>
            <w:hideMark/>
          </w:tcPr>
          <w:p w14:paraId="7E0D2566" w14:textId="77777777" w:rsidR="00C755A0" w:rsidRPr="008C3932" w:rsidRDefault="00C755A0" w:rsidP="00171A7B">
            <w:pPr>
              <w:spacing w:line="240" w:lineRule="auto"/>
              <w:ind w:firstLine="0"/>
              <w:contextualSpacing/>
              <w:rPr>
                <w:rFonts w:eastAsia="Times New Roman" w:cs="Times New Roman"/>
              </w:rPr>
            </w:pPr>
          </w:p>
        </w:tc>
        <w:tc>
          <w:tcPr>
            <w:tcW w:w="866" w:type="pct"/>
            <w:noWrap/>
            <w:hideMark/>
          </w:tcPr>
          <w:p w14:paraId="5960C831" w14:textId="77777777" w:rsidR="00C755A0" w:rsidRPr="008C3932" w:rsidRDefault="00C755A0" w:rsidP="00171A7B">
            <w:pPr>
              <w:spacing w:line="240" w:lineRule="auto"/>
              <w:ind w:firstLine="0"/>
              <w:contextualSpacing/>
              <w:jc w:val="right"/>
              <w:rPr>
                <w:rFonts w:eastAsia="Times New Roman" w:cs="Calibri"/>
                <w:color w:val="000000"/>
              </w:rPr>
            </w:pPr>
            <w:r w:rsidRPr="00171A7B">
              <w:rPr>
                <w:rFonts w:eastAsia="Times New Roman" w:cs="Calibri"/>
                <w:caps w:val="0"/>
                <w:color w:val="000000"/>
              </w:rPr>
              <w:t xml:space="preserve">Total </w:t>
            </w:r>
            <w:r w:rsidRPr="008C3932">
              <w:rPr>
                <w:rFonts w:eastAsia="Times New Roman" w:cs="Calibri"/>
                <w:color w:val="000000"/>
              </w:rPr>
              <w:t>(535)</w:t>
            </w:r>
          </w:p>
        </w:tc>
        <w:tc>
          <w:tcPr>
            <w:tcW w:w="817" w:type="pct"/>
            <w:noWrap/>
            <w:hideMark/>
          </w:tcPr>
          <w:p w14:paraId="70ECEFAB" w14:textId="77777777" w:rsidR="00C755A0" w:rsidRPr="008C3932" w:rsidRDefault="00C755A0" w:rsidP="00171A7B">
            <w:pPr>
              <w:spacing w:line="240" w:lineRule="auto"/>
              <w:ind w:firstLine="0"/>
              <w:contextualSpacing/>
              <w:jc w:val="right"/>
              <w:rPr>
                <w:rFonts w:eastAsia="Times New Roman" w:cs="Calibri"/>
                <w:caps w:val="0"/>
                <w:color w:val="000000"/>
              </w:rPr>
            </w:pPr>
            <w:r w:rsidRPr="008C3932">
              <w:rPr>
                <w:rFonts w:eastAsia="Times New Roman" w:cs="Calibri"/>
                <w:caps w:val="0"/>
                <w:color w:val="000000"/>
              </w:rPr>
              <w:t>Alive (366)</w:t>
            </w:r>
          </w:p>
        </w:tc>
        <w:tc>
          <w:tcPr>
            <w:tcW w:w="817" w:type="pct"/>
            <w:noWrap/>
            <w:hideMark/>
          </w:tcPr>
          <w:p w14:paraId="4CB3543A" w14:textId="77777777" w:rsidR="00C755A0" w:rsidRPr="008C3932" w:rsidRDefault="00C755A0" w:rsidP="00171A7B">
            <w:pPr>
              <w:spacing w:line="240" w:lineRule="auto"/>
              <w:ind w:firstLine="0"/>
              <w:contextualSpacing/>
              <w:jc w:val="right"/>
              <w:rPr>
                <w:rFonts w:eastAsia="Times New Roman" w:cs="Calibri"/>
                <w:caps w:val="0"/>
                <w:color w:val="000000"/>
              </w:rPr>
            </w:pPr>
            <w:r w:rsidRPr="008C3932">
              <w:rPr>
                <w:rFonts w:eastAsia="Times New Roman" w:cs="Calibri"/>
                <w:caps w:val="0"/>
                <w:color w:val="000000"/>
              </w:rPr>
              <w:t>Died (169)</w:t>
            </w:r>
          </w:p>
        </w:tc>
        <w:tc>
          <w:tcPr>
            <w:tcW w:w="577" w:type="pct"/>
            <w:noWrap/>
            <w:hideMark/>
          </w:tcPr>
          <w:p w14:paraId="16B31E7F" w14:textId="77777777" w:rsidR="00C755A0" w:rsidRPr="008C3932" w:rsidRDefault="00C755A0" w:rsidP="00171A7B">
            <w:pPr>
              <w:spacing w:line="240" w:lineRule="auto"/>
              <w:ind w:firstLine="0"/>
              <w:contextualSpacing/>
              <w:jc w:val="right"/>
              <w:rPr>
                <w:rFonts w:eastAsia="Times New Roman" w:cs="Calibri"/>
                <w:caps w:val="0"/>
                <w:color w:val="000000"/>
              </w:rPr>
            </w:pPr>
            <w:r w:rsidRPr="008C3932">
              <w:rPr>
                <w:rFonts w:eastAsia="Times New Roman" w:cs="Calibri"/>
                <w:caps w:val="0"/>
                <w:color w:val="000000"/>
              </w:rPr>
              <w:t>p</w:t>
            </w:r>
          </w:p>
        </w:tc>
      </w:tr>
      <w:tr w:rsidR="00C755A0" w:rsidRPr="008C3932" w14:paraId="4117A50B"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207A5013" w14:textId="77777777" w:rsidR="00C755A0" w:rsidRPr="008C3932" w:rsidRDefault="00C755A0" w:rsidP="00171A7B">
            <w:pPr>
              <w:spacing w:line="240" w:lineRule="auto"/>
              <w:ind w:firstLine="0"/>
              <w:contextualSpacing/>
              <w:rPr>
                <w:rFonts w:eastAsia="Times New Roman" w:cs="Calibri"/>
                <w:b/>
                <w:bCs/>
                <w:color w:val="000000"/>
              </w:rPr>
            </w:pPr>
            <w:r w:rsidRPr="008C3932">
              <w:rPr>
                <w:rFonts w:eastAsia="Times New Roman" w:cs="Calibri"/>
                <w:b/>
                <w:bCs/>
                <w:color w:val="000000"/>
              </w:rPr>
              <w:t>Birth Cohort</w:t>
            </w:r>
          </w:p>
        </w:tc>
        <w:tc>
          <w:tcPr>
            <w:tcW w:w="866" w:type="pct"/>
            <w:noWrap/>
            <w:hideMark/>
          </w:tcPr>
          <w:p w14:paraId="0F5EB868" w14:textId="77777777" w:rsidR="00C755A0" w:rsidRPr="008C3932" w:rsidRDefault="00C755A0" w:rsidP="00171A7B">
            <w:pPr>
              <w:spacing w:line="240" w:lineRule="auto"/>
              <w:ind w:firstLine="0"/>
              <w:contextualSpacing/>
              <w:rPr>
                <w:rFonts w:eastAsia="Times New Roman" w:cs="Calibri"/>
                <w:b/>
                <w:bCs/>
                <w:color w:val="000000"/>
              </w:rPr>
            </w:pPr>
          </w:p>
        </w:tc>
        <w:tc>
          <w:tcPr>
            <w:tcW w:w="817" w:type="pct"/>
            <w:noWrap/>
            <w:hideMark/>
          </w:tcPr>
          <w:p w14:paraId="3FD5168B" w14:textId="77777777" w:rsidR="00C755A0" w:rsidRPr="008C3932" w:rsidRDefault="00C755A0" w:rsidP="00171A7B">
            <w:pPr>
              <w:spacing w:line="240" w:lineRule="auto"/>
              <w:ind w:firstLine="0"/>
              <w:contextualSpacing/>
              <w:jc w:val="right"/>
              <w:rPr>
                <w:rFonts w:eastAsia="Times New Roman" w:cs="Times New Roman"/>
              </w:rPr>
            </w:pPr>
          </w:p>
        </w:tc>
        <w:tc>
          <w:tcPr>
            <w:tcW w:w="817" w:type="pct"/>
            <w:noWrap/>
            <w:hideMark/>
          </w:tcPr>
          <w:p w14:paraId="6CCEA524" w14:textId="77777777" w:rsidR="00C755A0" w:rsidRPr="008C3932" w:rsidRDefault="00C755A0" w:rsidP="00171A7B">
            <w:pPr>
              <w:spacing w:line="240" w:lineRule="auto"/>
              <w:ind w:firstLine="0"/>
              <w:contextualSpacing/>
              <w:jc w:val="right"/>
              <w:rPr>
                <w:rFonts w:eastAsia="Times New Roman" w:cs="Times New Roman"/>
              </w:rPr>
            </w:pPr>
          </w:p>
        </w:tc>
        <w:tc>
          <w:tcPr>
            <w:tcW w:w="577" w:type="pct"/>
            <w:noWrap/>
            <w:hideMark/>
          </w:tcPr>
          <w:p w14:paraId="4EA23D54"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&lt;0.0001</w:t>
            </w:r>
          </w:p>
        </w:tc>
      </w:tr>
      <w:tr w:rsidR="00C755A0" w:rsidRPr="008C3932" w14:paraId="64A70A3A" w14:textId="77777777" w:rsidTr="00171A7B">
        <w:trPr>
          <w:trHeight w:val="300"/>
        </w:trPr>
        <w:tc>
          <w:tcPr>
            <w:tcW w:w="1923" w:type="pct"/>
            <w:noWrap/>
            <w:hideMark/>
          </w:tcPr>
          <w:p w14:paraId="4323758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1900 - 1919</w:t>
            </w:r>
          </w:p>
        </w:tc>
        <w:tc>
          <w:tcPr>
            <w:tcW w:w="866" w:type="pct"/>
            <w:noWrap/>
            <w:hideMark/>
          </w:tcPr>
          <w:p w14:paraId="4261AB44"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8 (1.5%)</w:t>
            </w:r>
          </w:p>
        </w:tc>
        <w:tc>
          <w:tcPr>
            <w:tcW w:w="817" w:type="pct"/>
            <w:noWrap/>
            <w:hideMark/>
          </w:tcPr>
          <w:p w14:paraId="37F43203"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 (12.5%)</w:t>
            </w:r>
          </w:p>
        </w:tc>
        <w:tc>
          <w:tcPr>
            <w:tcW w:w="817" w:type="pct"/>
            <w:noWrap/>
            <w:hideMark/>
          </w:tcPr>
          <w:p w14:paraId="2E2F5C8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7 (4.1%)</w:t>
            </w:r>
          </w:p>
        </w:tc>
        <w:tc>
          <w:tcPr>
            <w:tcW w:w="577" w:type="pct"/>
            <w:noWrap/>
            <w:hideMark/>
          </w:tcPr>
          <w:p w14:paraId="69FE87A7"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22D22184"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774036DF"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1920 - 1934</w:t>
            </w:r>
          </w:p>
        </w:tc>
        <w:tc>
          <w:tcPr>
            <w:tcW w:w="866" w:type="pct"/>
            <w:noWrap/>
            <w:hideMark/>
          </w:tcPr>
          <w:p w14:paraId="7586071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112 (20.9%)</w:t>
            </w:r>
          </w:p>
        </w:tc>
        <w:tc>
          <w:tcPr>
            <w:tcW w:w="817" w:type="pct"/>
            <w:noWrap/>
            <w:hideMark/>
          </w:tcPr>
          <w:p w14:paraId="31CBD859"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33 (9.02%)</w:t>
            </w:r>
          </w:p>
        </w:tc>
        <w:tc>
          <w:tcPr>
            <w:tcW w:w="817" w:type="pct"/>
            <w:noWrap/>
            <w:hideMark/>
          </w:tcPr>
          <w:p w14:paraId="7437AF10"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79 (46.8%)</w:t>
            </w:r>
          </w:p>
        </w:tc>
        <w:tc>
          <w:tcPr>
            <w:tcW w:w="577" w:type="pct"/>
            <w:noWrap/>
            <w:hideMark/>
          </w:tcPr>
          <w:p w14:paraId="1743E5C3"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01150E16" w14:textId="77777777" w:rsidTr="00171A7B">
        <w:trPr>
          <w:trHeight w:val="300"/>
        </w:trPr>
        <w:tc>
          <w:tcPr>
            <w:tcW w:w="1923" w:type="pct"/>
            <w:noWrap/>
            <w:hideMark/>
          </w:tcPr>
          <w:p w14:paraId="725C76DA"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1935 - 1949</w:t>
            </w:r>
          </w:p>
        </w:tc>
        <w:tc>
          <w:tcPr>
            <w:tcW w:w="866" w:type="pct"/>
            <w:noWrap/>
            <w:hideMark/>
          </w:tcPr>
          <w:p w14:paraId="60488859"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183 (34.2%)</w:t>
            </w:r>
          </w:p>
        </w:tc>
        <w:tc>
          <w:tcPr>
            <w:tcW w:w="817" w:type="pct"/>
            <w:noWrap/>
            <w:hideMark/>
          </w:tcPr>
          <w:p w14:paraId="59A3A19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136 (37.2%)</w:t>
            </w:r>
          </w:p>
        </w:tc>
        <w:tc>
          <w:tcPr>
            <w:tcW w:w="817" w:type="pct"/>
            <w:noWrap/>
            <w:hideMark/>
          </w:tcPr>
          <w:p w14:paraId="757BD15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47 (27.8%)</w:t>
            </w:r>
          </w:p>
        </w:tc>
        <w:tc>
          <w:tcPr>
            <w:tcW w:w="577" w:type="pct"/>
            <w:noWrap/>
            <w:hideMark/>
          </w:tcPr>
          <w:p w14:paraId="2A1BA1A5"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67C33D4D"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1FCA1EF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1950 - 1964</w:t>
            </w:r>
          </w:p>
        </w:tc>
        <w:tc>
          <w:tcPr>
            <w:tcW w:w="866" w:type="pct"/>
            <w:noWrap/>
            <w:hideMark/>
          </w:tcPr>
          <w:p w14:paraId="28137DD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199 (27.2%)</w:t>
            </w:r>
          </w:p>
        </w:tc>
        <w:tc>
          <w:tcPr>
            <w:tcW w:w="817" w:type="pct"/>
            <w:noWrap/>
            <w:hideMark/>
          </w:tcPr>
          <w:p w14:paraId="0ECF93B6"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166 (45.4%)</w:t>
            </w:r>
          </w:p>
        </w:tc>
        <w:tc>
          <w:tcPr>
            <w:tcW w:w="817" w:type="pct"/>
            <w:noWrap/>
            <w:hideMark/>
          </w:tcPr>
          <w:p w14:paraId="4C626CD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33 (19.5%)</w:t>
            </w:r>
          </w:p>
        </w:tc>
        <w:tc>
          <w:tcPr>
            <w:tcW w:w="577" w:type="pct"/>
            <w:noWrap/>
            <w:hideMark/>
          </w:tcPr>
          <w:p w14:paraId="76F673BE"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480C27F6" w14:textId="77777777" w:rsidTr="00171A7B">
        <w:trPr>
          <w:trHeight w:val="300"/>
        </w:trPr>
        <w:tc>
          <w:tcPr>
            <w:tcW w:w="1923" w:type="pct"/>
            <w:noWrap/>
            <w:hideMark/>
          </w:tcPr>
          <w:p w14:paraId="4813A7C9"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1965 - 1979</w:t>
            </w:r>
          </w:p>
        </w:tc>
        <w:tc>
          <w:tcPr>
            <w:tcW w:w="866" w:type="pct"/>
            <w:noWrap/>
            <w:hideMark/>
          </w:tcPr>
          <w:p w14:paraId="3518AAA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22 (6.2%)</w:t>
            </w:r>
          </w:p>
        </w:tc>
        <w:tc>
          <w:tcPr>
            <w:tcW w:w="817" w:type="pct"/>
            <w:noWrap/>
            <w:hideMark/>
          </w:tcPr>
          <w:p w14:paraId="0E5894D4"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30 (8.2%)</w:t>
            </w:r>
          </w:p>
        </w:tc>
        <w:tc>
          <w:tcPr>
            <w:tcW w:w="817" w:type="pct"/>
            <w:noWrap/>
            <w:hideMark/>
          </w:tcPr>
          <w:p w14:paraId="775244A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 (1.8%)</w:t>
            </w:r>
          </w:p>
        </w:tc>
        <w:tc>
          <w:tcPr>
            <w:tcW w:w="577" w:type="pct"/>
            <w:noWrap/>
            <w:hideMark/>
          </w:tcPr>
          <w:p w14:paraId="2A20D15A"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02659EF5"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1565E009" w14:textId="77777777" w:rsidR="00C755A0" w:rsidRPr="008C3932" w:rsidRDefault="00C755A0" w:rsidP="00171A7B">
            <w:pPr>
              <w:spacing w:line="240" w:lineRule="auto"/>
              <w:ind w:firstLine="0"/>
              <w:contextualSpacing/>
              <w:rPr>
                <w:rFonts w:eastAsia="Times New Roman" w:cs="Calibri"/>
                <w:b/>
                <w:bCs/>
                <w:color w:val="000000"/>
              </w:rPr>
            </w:pPr>
            <w:r w:rsidRPr="008C3932">
              <w:rPr>
                <w:rFonts w:eastAsia="Times New Roman" w:cs="Calibri"/>
                <w:b/>
                <w:bCs/>
                <w:color w:val="000000"/>
              </w:rPr>
              <w:t>Age at Diagnosis (Mean, SD)</w:t>
            </w:r>
          </w:p>
        </w:tc>
        <w:tc>
          <w:tcPr>
            <w:tcW w:w="866" w:type="pct"/>
            <w:noWrap/>
            <w:hideMark/>
          </w:tcPr>
          <w:p w14:paraId="005080AE" w14:textId="77777777" w:rsidR="00C755A0" w:rsidRPr="008C3932" w:rsidRDefault="00C755A0" w:rsidP="00171A7B">
            <w:pPr>
              <w:spacing w:line="240" w:lineRule="auto"/>
              <w:ind w:firstLine="0"/>
              <w:contextualSpacing/>
              <w:rPr>
                <w:rFonts w:eastAsia="Times New Roman" w:cs="Calibri"/>
                <w:b/>
                <w:bCs/>
                <w:color w:val="000000"/>
              </w:rPr>
            </w:pPr>
          </w:p>
        </w:tc>
        <w:tc>
          <w:tcPr>
            <w:tcW w:w="817" w:type="pct"/>
            <w:noWrap/>
            <w:hideMark/>
          </w:tcPr>
          <w:p w14:paraId="2B654AA9" w14:textId="77777777" w:rsidR="00C755A0" w:rsidRPr="008C3932" w:rsidRDefault="00C755A0" w:rsidP="00171A7B">
            <w:pPr>
              <w:spacing w:line="240" w:lineRule="auto"/>
              <w:ind w:firstLine="0"/>
              <w:contextualSpacing/>
              <w:jc w:val="right"/>
              <w:rPr>
                <w:rFonts w:eastAsia="Times New Roman" w:cs="Times New Roman"/>
              </w:rPr>
            </w:pPr>
          </w:p>
        </w:tc>
        <w:tc>
          <w:tcPr>
            <w:tcW w:w="817" w:type="pct"/>
            <w:noWrap/>
            <w:hideMark/>
          </w:tcPr>
          <w:p w14:paraId="67EDF8C1" w14:textId="77777777" w:rsidR="00C755A0" w:rsidRPr="008C3932" w:rsidRDefault="00C755A0" w:rsidP="00171A7B">
            <w:pPr>
              <w:spacing w:line="240" w:lineRule="auto"/>
              <w:ind w:firstLine="0"/>
              <w:contextualSpacing/>
              <w:jc w:val="right"/>
              <w:rPr>
                <w:rFonts w:eastAsia="Times New Roman" w:cs="Times New Roman"/>
              </w:rPr>
            </w:pPr>
          </w:p>
        </w:tc>
        <w:tc>
          <w:tcPr>
            <w:tcW w:w="577" w:type="pct"/>
            <w:noWrap/>
            <w:hideMark/>
          </w:tcPr>
          <w:p w14:paraId="2F6CF7A7" w14:textId="77777777" w:rsidR="00C755A0" w:rsidRPr="008C3932" w:rsidRDefault="00C755A0" w:rsidP="00171A7B">
            <w:pPr>
              <w:spacing w:line="240" w:lineRule="auto"/>
              <w:ind w:firstLine="0"/>
              <w:contextualSpacing/>
              <w:jc w:val="right"/>
              <w:rPr>
                <w:rFonts w:eastAsia="Times New Roman" w:cs="Times New Roman"/>
              </w:rPr>
            </w:pPr>
          </w:p>
        </w:tc>
      </w:tr>
      <w:tr w:rsidR="00C755A0" w:rsidRPr="008C3932" w14:paraId="6AE18D4B" w14:textId="77777777" w:rsidTr="00171A7B">
        <w:trPr>
          <w:trHeight w:val="300"/>
        </w:trPr>
        <w:tc>
          <w:tcPr>
            <w:tcW w:w="1923" w:type="pct"/>
            <w:noWrap/>
            <w:hideMark/>
          </w:tcPr>
          <w:p w14:paraId="0F8FD5F4"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18-35</w:t>
            </w:r>
          </w:p>
        </w:tc>
        <w:tc>
          <w:tcPr>
            <w:tcW w:w="866" w:type="pct"/>
            <w:noWrap/>
            <w:hideMark/>
          </w:tcPr>
          <w:p w14:paraId="1C0FA6E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8 (1.5%)</w:t>
            </w:r>
          </w:p>
        </w:tc>
        <w:tc>
          <w:tcPr>
            <w:tcW w:w="817" w:type="pct"/>
            <w:noWrap/>
            <w:hideMark/>
          </w:tcPr>
          <w:p w14:paraId="1F835579"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8 (2.19%)</w:t>
            </w:r>
          </w:p>
        </w:tc>
        <w:tc>
          <w:tcPr>
            <w:tcW w:w="817" w:type="pct"/>
            <w:noWrap/>
            <w:hideMark/>
          </w:tcPr>
          <w:p w14:paraId="0C72BD1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0</w:t>
            </w:r>
          </w:p>
        </w:tc>
        <w:tc>
          <w:tcPr>
            <w:tcW w:w="577" w:type="pct"/>
            <w:noWrap/>
            <w:hideMark/>
          </w:tcPr>
          <w:p w14:paraId="28CD667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&lt;0.0001</w:t>
            </w:r>
          </w:p>
        </w:tc>
      </w:tr>
      <w:tr w:rsidR="00C755A0" w:rsidRPr="008C3932" w14:paraId="68A3C37A"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69F665D0"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36-55</w:t>
            </w:r>
          </w:p>
        </w:tc>
        <w:tc>
          <w:tcPr>
            <w:tcW w:w="866" w:type="pct"/>
            <w:noWrap/>
            <w:hideMark/>
          </w:tcPr>
          <w:p w14:paraId="2CACC83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185 (34.6%)</w:t>
            </w:r>
          </w:p>
        </w:tc>
        <w:tc>
          <w:tcPr>
            <w:tcW w:w="817" w:type="pct"/>
            <w:noWrap/>
            <w:hideMark/>
          </w:tcPr>
          <w:p w14:paraId="7B8A804F"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150 (41.0%)</w:t>
            </w:r>
          </w:p>
        </w:tc>
        <w:tc>
          <w:tcPr>
            <w:tcW w:w="817" w:type="pct"/>
            <w:noWrap/>
            <w:hideMark/>
          </w:tcPr>
          <w:p w14:paraId="0B6940BA"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35 (20.7%)</w:t>
            </w:r>
          </w:p>
        </w:tc>
        <w:tc>
          <w:tcPr>
            <w:tcW w:w="577" w:type="pct"/>
            <w:noWrap/>
            <w:hideMark/>
          </w:tcPr>
          <w:p w14:paraId="5FE4D3F2"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4B924C78" w14:textId="77777777" w:rsidTr="00171A7B">
        <w:trPr>
          <w:trHeight w:val="300"/>
        </w:trPr>
        <w:tc>
          <w:tcPr>
            <w:tcW w:w="1923" w:type="pct"/>
            <w:noWrap/>
            <w:hideMark/>
          </w:tcPr>
          <w:p w14:paraId="6D8F13F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56-75</w:t>
            </w:r>
          </w:p>
        </w:tc>
        <w:tc>
          <w:tcPr>
            <w:tcW w:w="866" w:type="pct"/>
            <w:noWrap/>
            <w:hideMark/>
          </w:tcPr>
          <w:p w14:paraId="24FE7D45"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283 (52.9%)</w:t>
            </w:r>
          </w:p>
        </w:tc>
        <w:tc>
          <w:tcPr>
            <w:tcW w:w="817" w:type="pct"/>
            <w:noWrap/>
            <w:hideMark/>
          </w:tcPr>
          <w:p w14:paraId="521887E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185 (50.6%)</w:t>
            </w:r>
          </w:p>
        </w:tc>
        <w:tc>
          <w:tcPr>
            <w:tcW w:w="817" w:type="pct"/>
            <w:noWrap/>
            <w:hideMark/>
          </w:tcPr>
          <w:p w14:paraId="122349FF"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98 (58.0%)</w:t>
            </w:r>
          </w:p>
        </w:tc>
        <w:tc>
          <w:tcPr>
            <w:tcW w:w="577" w:type="pct"/>
            <w:noWrap/>
            <w:hideMark/>
          </w:tcPr>
          <w:p w14:paraId="6EDA6645"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746B88DB"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468C648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≥76</w:t>
            </w:r>
          </w:p>
        </w:tc>
        <w:tc>
          <w:tcPr>
            <w:tcW w:w="866" w:type="pct"/>
            <w:noWrap/>
            <w:hideMark/>
          </w:tcPr>
          <w:p w14:paraId="12FA173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59 (11.0%)</w:t>
            </w:r>
          </w:p>
        </w:tc>
        <w:tc>
          <w:tcPr>
            <w:tcW w:w="817" w:type="pct"/>
            <w:noWrap/>
            <w:hideMark/>
          </w:tcPr>
          <w:p w14:paraId="1F5A6AD6"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23 (6.3%)</w:t>
            </w:r>
          </w:p>
        </w:tc>
        <w:tc>
          <w:tcPr>
            <w:tcW w:w="817" w:type="pct"/>
            <w:noWrap/>
            <w:hideMark/>
          </w:tcPr>
          <w:p w14:paraId="6AC147E4"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36 (21.3%)</w:t>
            </w:r>
          </w:p>
        </w:tc>
        <w:tc>
          <w:tcPr>
            <w:tcW w:w="577" w:type="pct"/>
            <w:noWrap/>
            <w:hideMark/>
          </w:tcPr>
          <w:p w14:paraId="13EFDFDB"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120CBA32" w14:textId="77777777" w:rsidTr="00171A7B">
        <w:trPr>
          <w:trHeight w:val="300"/>
        </w:trPr>
        <w:tc>
          <w:tcPr>
            <w:tcW w:w="1923" w:type="pct"/>
            <w:noWrap/>
            <w:hideMark/>
          </w:tcPr>
          <w:p w14:paraId="5C6E3184" w14:textId="77777777" w:rsidR="00C755A0" w:rsidRPr="008C3932" w:rsidRDefault="00C755A0" w:rsidP="00171A7B">
            <w:pPr>
              <w:spacing w:line="240" w:lineRule="auto"/>
              <w:ind w:firstLine="0"/>
              <w:contextualSpacing/>
              <w:rPr>
                <w:rFonts w:eastAsia="Times New Roman" w:cs="Calibri"/>
                <w:b/>
                <w:bCs/>
                <w:color w:val="000000"/>
              </w:rPr>
            </w:pPr>
            <w:r w:rsidRPr="008C3932">
              <w:rPr>
                <w:rFonts w:eastAsia="Times New Roman" w:cs="Calibri"/>
                <w:b/>
                <w:bCs/>
                <w:color w:val="000000"/>
              </w:rPr>
              <w:t>Sex</w:t>
            </w:r>
          </w:p>
        </w:tc>
        <w:tc>
          <w:tcPr>
            <w:tcW w:w="866" w:type="pct"/>
            <w:noWrap/>
            <w:hideMark/>
          </w:tcPr>
          <w:p w14:paraId="0A6E8DD1" w14:textId="77777777" w:rsidR="00C755A0" w:rsidRPr="008C3932" w:rsidRDefault="00C755A0" w:rsidP="00171A7B">
            <w:pPr>
              <w:spacing w:line="240" w:lineRule="auto"/>
              <w:ind w:firstLine="0"/>
              <w:contextualSpacing/>
              <w:rPr>
                <w:rFonts w:eastAsia="Times New Roman" w:cs="Calibri"/>
                <w:b/>
                <w:bCs/>
                <w:color w:val="000000"/>
              </w:rPr>
            </w:pPr>
          </w:p>
        </w:tc>
        <w:tc>
          <w:tcPr>
            <w:tcW w:w="817" w:type="pct"/>
            <w:noWrap/>
            <w:hideMark/>
          </w:tcPr>
          <w:p w14:paraId="4E433DE0" w14:textId="77777777" w:rsidR="00C755A0" w:rsidRPr="008C3932" w:rsidRDefault="00C755A0" w:rsidP="00171A7B">
            <w:pPr>
              <w:spacing w:line="240" w:lineRule="auto"/>
              <w:ind w:firstLine="0"/>
              <w:contextualSpacing/>
              <w:jc w:val="right"/>
              <w:rPr>
                <w:rFonts w:eastAsia="Times New Roman" w:cs="Times New Roman"/>
              </w:rPr>
            </w:pPr>
          </w:p>
        </w:tc>
        <w:tc>
          <w:tcPr>
            <w:tcW w:w="817" w:type="pct"/>
            <w:noWrap/>
            <w:hideMark/>
          </w:tcPr>
          <w:p w14:paraId="04A9A800" w14:textId="77777777" w:rsidR="00C755A0" w:rsidRPr="008C3932" w:rsidRDefault="00C755A0" w:rsidP="00171A7B">
            <w:pPr>
              <w:spacing w:line="240" w:lineRule="auto"/>
              <w:ind w:firstLine="0"/>
              <w:contextualSpacing/>
              <w:jc w:val="right"/>
              <w:rPr>
                <w:rFonts w:eastAsia="Times New Roman" w:cs="Times New Roman"/>
              </w:rPr>
            </w:pPr>
          </w:p>
        </w:tc>
        <w:tc>
          <w:tcPr>
            <w:tcW w:w="577" w:type="pct"/>
            <w:noWrap/>
            <w:hideMark/>
          </w:tcPr>
          <w:p w14:paraId="7B9EB182"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0.03</w:t>
            </w:r>
          </w:p>
        </w:tc>
      </w:tr>
      <w:tr w:rsidR="00C755A0" w:rsidRPr="008C3932" w14:paraId="0A11B78E"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0D4FCE4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Male</w:t>
            </w:r>
          </w:p>
        </w:tc>
        <w:tc>
          <w:tcPr>
            <w:tcW w:w="866" w:type="pct"/>
            <w:noWrap/>
            <w:hideMark/>
          </w:tcPr>
          <w:p w14:paraId="49A969E3"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239 (44.7%)</w:t>
            </w:r>
          </w:p>
        </w:tc>
        <w:tc>
          <w:tcPr>
            <w:tcW w:w="817" w:type="pct"/>
            <w:noWrap/>
            <w:hideMark/>
          </w:tcPr>
          <w:p w14:paraId="034FF91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152 (41.5%)</w:t>
            </w:r>
          </w:p>
        </w:tc>
        <w:tc>
          <w:tcPr>
            <w:tcW w:w="817" w:type="pct"/>
            <w:noWrap/>
            <w:hideMark/>
          </w:tcPr>
          <w:p w14:paraId="2E14AA99"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87 (51.5%)</w:t>
            </w:r>
          </w:p>
        </w:tc>
        <w:tc>
          <w:tcPr>
            <w:tcW w:w="577" w:type="pct"/>
            <w:noWrap/>
            <w:hideMark/>
          </w:tcPr>
          <w:p w14:paraId="69E179FC"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5820F065" w14:textId="77777777" w:rsidTr="00171A7B">
        <w:trPr>
          <w:trHeight w:val="300"/>
        </w:trPr>
        <w:tc>
          <w:tcPr>
            <w:tcW w:w="1923" w:type="pct"/>
            <w:noWrap/>
            <w:hideMark/>
          </w:tcPr>
          <w:p w14:paraId="64BB717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Female</w:t>
            </w:r>
          </w:p>
        </w:tc>
        <w:tc>
          <w:tcPr>
            <w:tcW w:w="866" w:type="pct"/>
            <w:noWrap/>
            <w:hideMark/>
          </w:tcPr>
          <w:p w14:paraId="05FDBD61"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296 (55.3%)</w:t>
            </w:r>
          </w:p>
        </w:tc>
        <w:tc>
          <w:tcPr>
            <w:tcW w:w="817" w:type="pct"/>
            <w:noWrap/>
            <w:hideMark/>
          </w:tcPr>
          <w:p w14:paraId="7256D41A"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214 (58.5%)</w:t>
            </w:r>
          </w:p>
        </w:tc>
        <w:tc>
          <w:tcPr>
            <w:tcW w:w="817" w:type="pct"/>
            <w:noWrap/>
            <w:hideMark/>
          </w:tcPr>
          <w:p w14:paraId="0813ED8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82 (48.5%)</w:t>
            </w:r>
          </w:p>
        </w:tc>
        <w:tc>
          <w:tcPr>
            <w:tcW w:w="577" w:type="pct"/>
            <w:noWrap/>
            <w:hideMark/>
          </w:tcPr>
          <w:p w14:paraId="7F8CD053"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3196A27B"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02B3306E" w14:textId="77777777" w:rsidR="00C755A0" w:rsidRPr="008C3932" w:rsidRDefault="00C755A0" w:rsidP="00171A7B">
            <w:pPr>
              <w:spacing w:line="240" w:lineRule="auto"/>
              <w:ind w:firstLine="0"/>
              <w:contextualSpacing/>
              <w:rPr>
                <w:rFonts w:eastAsia="Times New Roman" w:cs="Calibri"/>
                <w:b/>
                <w:bCs/>
                <w:color w:val="000000"/>
              </w:rPr>
            </w:pPr>
            <w:r w:rsidRPr="008C3932">
              <w:rPr>
                <w:rFonts w:eastAsia="Times New Roman" w:cs="Calibri"/>
                <w:b/>
                <w:bCs/>
                <w:color w:val="000000"/>
              </w:rPr>
              <w:t>Race</w:t>
            </w:r>
          </w:p>
        </w:tc>
        <w:tc>
          <w:tcPr>
            <w:tcW w:w="866" w:type="pct"/>
            <w:noWrap/>
            <w:hideMark/>
          </w:tcPr>
          <w:p w14:paraId="2F55A85B" w14:textId="77777777" w:rsidR="00C755A0" w:rsidRPr="008C3932" w:rsidRDefault="00C755A0" w:rsidP="00171A7B">
            <w:pPr>
              <w:spacing w:line="240" w:lineRule="auto"/>
              <w:ind w:firstLine="0"/>
              <w:contextualSpacing/>
              <w:rPr>
                <w:rFonts w:eastAsia="Times New Roman" w:cs="Calibri"/>
                <w:b/>
                <w:bCs/>
                <w:color w:val="000000"/>
              </w:rPr>
            </w:pPr>
          </w:p>
        </w:tc>
        <w:tc>
          <w:tcPr>
            <w:tcW w:w="817" w:type="pct"/>
            <w:noWrap/>
            <w:hideMark/>
          </w:tcPr>
          <w:p w14:paraId="04286DFA" w14:textId="77777777" w:rsidR="00C755A0" w:rsidRPr="008C3932" w:rsidRDefault="00C755A0" w:rsidP="00171A7B">
            <w:pPr>
              <w:spacing w:line="240" w:lineRule="auto"/>
              <w:ind w:firstLine="0"/>
              <w:contextualSpacing/>
              <w:jc w:val="right"/>
              <w:rPr>
                <w:rFonts w:eastAsia="Times New Roman" w:cs="Times New Roman"/>
              </w:rPr>
            </w:pPr>
          </w:p>
        </w:tc>
        <w:tc>
          <w:tcPr>
            <w:tcW w:w="817" w:type="pct"/>
            <w:noWrap/>
            <w:hideMark/>
          </w:tcPr>
          <w:p w14:paraId="1E0FBBCE" w14:textId="77777777" w:rsidR="00C755A0" w:rsidRPr="008C3932" w:rsidRDefault="00C755A0" w:rsidP="00171A7B">
            <w:pPr>
              <w:spacing w:line="240" w:lineRule="auto"/>
              <w:ind w:firstLine="0"/>
              <w:contextualSpacing/>
              <w:rPr>
                <w:rFonts w:eastAsia="Times New Roman" w:cs="Times New Roman"/>
              </w:rPr>
            </w:pPr>
          </w:p>
        </w:tc>
        <w:tc>
          <w:tcPr>
            <w:tcW w:w="577" w:type="pct"/>
            <w:noWrap/>
            <w:hideMark/>
          </w:tcPr>
          <w:p w14:paraId="5CA49936"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0.09</w:t>
            </w:r>
          </w:p>
        </w:tc>
      </w:tr>
      <w:tr w:rsidR="00C755A0" w:rsidRPr="008C3932" w14:paraId="3B2B43A4" w14:textId="77777777" w:rsidTr="00171A7B">
        <w:trPr>
          <w:trHeight w:val="300"/>
        </w:trPr>
        <w:tc>
          <w:tcPr>
            <w:tcW w:w="1923" w:type="pct"/>
            <w:noWrap/>
            <w:hideMark/>
          </w:tcPr>
          <w:p w14:paraId="7AE417C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White</w:t>
            </w:r>
          </w:p>
        </w:tc>
        <w:tc>
          <w:tcPr>
            <w:tcW w:w="866" w:type="pct"/>
            <w:noWrap/>
            <w:hideMark/>
          </w:tcPr>
          <w:p w14:paraId="1B7232D9"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376 (70.3%)</w:t>
            </w:r>
          </w:p>
        </w:tc>
        <w:tc>
          <w:tcPr>
            <w:tcW w:w="817" w:type="pct"/>
            <w:noWrap/>
            <w:hideMark/>
          </w:tcPr>
          <w:p w14:paraId="07156FC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249 (68.0%)</w:t>
            </w:r>
          </w:p>
        </w:tc>
        <w:tc>
          <w:tcPr>
            <w:tcW w:w="817" w:type="pct"/>
            <w:noWrap/>
            <w:hideMark/>
          </w:tcPr>
          <w:p w14:paraId="5C6EAB1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127 (75.2%)</w:t>
            </w:r>
          </w:p>
        </w:tc>
        <w:tc>
          <w:tcPr>
            <w:tcW w:w="577" w:type="pct"/>
            <w:noWrap/>
            <w:hideMark/>
          </w:tcPr>
          <w:p w14:paraId="1CA68439"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181F02D4"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05CEC89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Black or African American</w:t>
            </w:r>
          </w:p>
        </w:tc>
        <w:tc>
          <w:tcPr>
            <w:tcW w:w="866" w:type="pct"/>
            <w:noWrap/>
            <w:hideMark/>
          </w:tcPr>
          <w:p w14:paraId="68F3074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159 (29.7%)</w:t>
            </w:r>
          </w:p>
        </w:tc>
        <w:tc>
          <w:tcPr>
            <w:tcW w:w="817" w:type="pct"/>
            <w:noWrap/>
            <w:hideMark/>
          </w:tcPr>
          <w:p w14:paraId="4E6BEDC3"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117 (32.0%)</w:t>
            </w:r>
          </w:p>
        </w:tc>
        <w:tc>
          <w:tcPr>
            <w:tcW w:w="817" w:type="pct"/>
            <w:noWrap/>
            <w:hideMark/>
          </w:tcPr>
          <w:p w14:paraId="1D8D350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42 (24.9%)</w:t>
            </w:r>
          </w:p>
        </w:tc>
        <w:tc>
          <w:tcPr>
            <w:tcW w:w="577" w:type="pct"/>
            <w:noWrap/>
            <w:hideMark/>
          </w:tcPr>
          <w:p w14:paraId="4D38D3B7"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47884195" w14:textId="77777777" w:rsidTr="00171A7B">
        <w:trPr>
          <w:trHeight w:val="300"/>
        </w:trPr>
        <w:tc>
          <w:tcPr>
            <w:tcW w:w="1923" w:type="pct"/>
            <w:noWrap/>
            <w:hideMark/>
          </w:tcPr>
          <w:p w14:paraId="78BC2F57" w14:textId="77777777" w:rsidR="00C755A0" w:rsidRPr="008C3932" w:rsidRDefault="00C755A0" w:rsidP="00171A7B">
            <w:pPr>
              <w:spacing w:line="240" w:lineRule="auto"/>
              <w:ind w:firstLine="0"/>
              <w:contextualSpacing/>
              <w:rPr>
                <w:rFonts w:eastAsia="Times New Roman" w:cs="Calibri"/>
                <w:b/>
                <w:bCs/>
                <w:color w:val="000000"/>
              </w:rPr>
            </w:pPr>
            <w:r w:rsidRPr="008C3932">
              <w:rPr>
                <w:rFonts w:eastAsia="Times New Roman" w:cs="Calibri"/>
                <w:b/>
                <w:bCs/>
                <w:color w:val="000000"/>
              </w:rPr>
              <w:t>Mean Income in the up to 20 years before dx (median, IQR)</w:t>
            </w:r>
          </w:p>
        </w:tc>
        <w:tc>
          <w:tcPr>
            <w:tcW w:w="866" w:type="pct"/>
            <w:noWrap/>
            <w:hideMark/>
          </w:tcPr>
          <w:p w14:paraId="667122E0" w14:textId="77777777" w:rsidR="00C755A0" w:rsidRPr="008C3932" w:rsidRDefault="00C755A0" w:rsidP="00171A7B">
            <w:pPr>
              <w:spacing w:line="240" w:lineRule="auto"/>
              <w:ind w:firstLine="0"/>
              <w:contextualSpacing/>
              <w:rPr>
                <w:rFonts w:eastAsia="Times New Roman" w:cs="Calibri"/>
                <w:b/>
                <w:bCs/>
                <w:color w:val="000000"/>
              </w:rPr>
            </w:pPr>
          </w:p>
        </w:tc>
        <w:tc>
          <w:tcPr>
            <w:tcW w:w="817" w:type="pct"/>
            <w:noWrap/>
            <w:hideMark/>
          </w:tcPr>
          <w:p w14:paraId="1D53D866" w14:textId="77777777" w:rsidR="00C755A0" w:rsidRPr="008C3932" w:rsidRDefault="00C755A0" w:rsidP="00171A7B">
            <w:pPr>
              <w:spacing w:line="240" w:lineRule="auto"/>
              <w:ind w:firstLine="0"/>
              <w:contextualSpacing/>
              <w:jc w:val="right"/>
              <w:rPr>
                <w:rFonts w:eastAsia="Times New Roman" w:cs="Times New Roman"/>
              </w:rPr>
            </w:pPr>
          </w:p>
        </w:tc>
        <w:tc>
          <w:tcPr>
            <w:tcW w:w="817" w:type="pct"/>
            <w:noWrap/>
            <w:hideMark/>
          </w:tcPr>
          <w:p w14:paraId="34A17F8C" w14:textId="77777777" w:rsidR="00C755A0" w:rsidRPr="008C3932" w:rsidRDefault="00C755A0" w:rsidP="00171A7B">
            <w:pPr>
              <w:spacing w:line="240" w:lineRule="auto"/>
              <w:ind w:firstLine="0"/>
              <w:contextualSpacing/>
              <w:jc w:val="right"/>
              <w:rPr>
                <w:rFonts w:eastAsia="Times New Roman" w:cs="Times New Roman"/>
              </w:rPr>
            </w:pPr>
          </w:p>
        </w:tc>
        <w:tc>
          <w:tcPr>
            <w:tcW w:w="577" w:type="pct"/>
            <w:noWrap/>
            <w:hideMark/>
          </w:tcPr>
          <w:p w14:paraId="32A6E411"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0.002</w:t>
            </w:r>
          </w:p>
        </w:tc>
      </w:tr>
      <w:tr w:rsidR="00C755A0" w:rsidRPr="008C3932" w14:paraId="28D10C00"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5148D010"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Lowest quintile</w:t>
            </w:r>
          </w:p>
        </w:tc>
        <w:tc>
          <w:tcPr>
            <w:tcW w:w="866" w:type="pct"/>
            <w:noWrap/>
            <w:hideMark/>
          </w:tcPr>
          <w:p w14:paraId="7162D4F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97 (18.1%)</w:t>
            </w:r>
          </w:p>
        </w:tc>
        <w:tc>
          <w:tcPr>
            <w:tcW w:w="817" w:type="pct"/>
            <w:noWrap/>
            <w:hideMark/>
          </w:tcPr>
          <w:p w14:paraId="7791222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57 (15.6%)</w:t>
            </w:r>
          </w:p>
        </w:tc>
        <w:tc>
          <w:tcPr>
            <w:tcW w:w="817" w:type="pct"/>
            <w:noWrap/>
            <w:hideMark/>
          </w:tcPr>
          <w:p w14:paraId="15D8404F"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40 (23.7%)</w:t>
            </w:r>
          </w:p>
        </w:tc>
        <w:tc>
          <w:tcPr>
            <w:tcW w:w="577" w:type="pct"/>
            <w:noWrap/>
            <w:hideMark/>
          </w:tcPr>
          <w:p w14:paraId="2427E035"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1EB0DDE6" w14:textId="77777777" w:rsidTr="00171A7B">
        <w:trPr>
          <w:trHeight w:val="300"/>
        </w:trPr>
        <w:tc>
          <w:tcPr>
            <w:tcW w:w="1923" w:type="pct"/>
            <w:noWrap/>
            <w:hideMark/>
          </w:tcPr>
          <w:p w14:paraId="76C61F0F"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2nd quintile</w:t>
            </w:r>
          </w:p>
        </w:tc>
        <w:tc>
          <w:tcPr>
            <w:tcW w:w="866" w:type="pct"/>
            <w:noWrap/>
            <w:hideMark/>
          </w:tcPr>
          <w:p w14:paraId="29A2721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92 (17.2%)</w:t>
            </w:r>
          </w:p>
        </w:tc>
        <w:tc>
          <w:tcPr>
            <w:tcW w:w="817" w:type="pct"/>
            <w:noWrap/>
            <w:hideMark/>
          </w:tcPr>
          <w:p w14:paraId="57FFCF12"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55 (15.0%)</w:t>
            </w:r>
          </w:p>
        </w:tc>
        <w:tc>
          <w:tcPr>
            <w:tcW w:w="817" w:type="pct"/>
            <w:noWrap/>
            <w:hideMark/>
          </w:tcPr>
          <w:p w14:paraId="0BB7C2E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37 (21.9%)</w:t>
            </w:r>
          </w:p>
        </w:tc>
        <w:tc>
          <w:tcPr>
            <w:tcW w:w="577" w:type="pct"/>
            <w:noWrap/>
            <w:hideMark/>
          </w:tcPr>
          <w:p w14:paraId="23BCD7D5"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4783B438"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023D7A0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3rd quintile</w:t>
            </w:r>
          </w:p>
        </w:tc>
        <w:tc>
          <w:tcPr>
            <w:tcW w:w="866" w:type="pct"/>
            <w:noWrap/>
            <w:hideMark/>
          </w:tcPr>
          <w:p w14:paraId="0B7F1E3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105 (19.6%)</w:t>
            </w:r>
          </w:p>
        </w:tc>
        <w:tc>
          <w:tcPr>
            <w:tcW w:w="817" w:type="pct"/>
            <w:noWrap/>
            <w:hideMark/>
          </w:tcPr>
          <w:p w14:paraId="26B7A66A"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71 (19.4%)</w:t>
            </w:r>
          </w:p>
        </w:tc>
        <w:tc>
          <w:tcPr>
            <w:tcW w:w="817" w:type="pct"/>
            <w:noWrap/>
            <w:hideMark/>
          </w:tcPr>
          <w:p w14:paraId="6E77E6F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34 (20.1%)</w:t>
            </w:r>
          </w:p>
        </w:tc>
        <w:tc>
          <w:tcPr>
            <w:tcW w:w="577" w:type="pct"/>
            <w:noWrap/>
            <w:hideMark/>
          </w:tcPr>
          <w:p w14:paraId="08E4AB13"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33E606D1" w14:textId="77777777" w:rsidTr="00171A7B">
        <w:trPr>
          <w:trHeight w:val="300"/>
        </w:trPr>
        <w:tc>
          <w:tcPr>
            <w:tcW w:w="1923" w:type="pct"/>
            <w:noWrap/>
            <w:hideMark/>
          </w:tcPr>
          <w:p w14:paraId="22A5AAA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4th quintile</w:t>
            </w:r>
          </w:p>
        </w:tc>
        <w:tc>
          <w:tcPr>
            <w:tcW w:w="866" w:type="pct"/>
            <w:noWrap/>
            <w:hideMark/>
          </w:tcPr>
          <w:p w14:paraId="48908822"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107 (20.0%)</w:t>
            </w:r>
          </w:p>
        </w:tc>
        <w:tc>
          <w:tcPr>
            <w:tcW w:w="817" w:type="pct"/>
            <w:noWrap/>
            <w:hideMark/>
          </w:tcPr>
          <w:p w14:paraId="6BC3546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75 (20.5%)</w:t>
            </w:r>
          </w:p>
        </w:tc>
        <w:tc>
          <w:tcPr>
            <w:tcW w:w="817" w:type="pct"/>
            <w:noWrap/>
            <w:hideMark/>
          </w:tcPr>
          <w:p w14:paraId="3F8A856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32 (18.9%)</w:t>
            </w:r>
          </w:p>
        </w:tc>
        <w:tc>
          <w:tcPr>
            <w:tcW w:w="577" w:type="pct"/>
            <w:noWrap/>
            <w:hideMark/>
          </w:tcPr>
          <w:p w14:paraId="402DB0D7"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39DCA2EB"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1AA04A2F"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Highest quintile</w:t>
            </w:r>
          </w:p>
        </w:tc>
        <w:tc>
          <w:tcPr>
            <w:tcW w:w="866" w:type="pct"/>
            <w:noWrap/>
            <w:hideMark/>
          </w:tcPr>
          <w:p w14:paraId="124AA0C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134 (25.1%)</w:t>
            </w:r>
          </w:p>
        </w:tc>
        <w:tc>
          <w:tcPr>
            <w:tcW w:w="817" w:type="pct"/>
            <w:noWrap/>
            <w:hideMark/>
          </w:tcPr>
          <w:p w14:paraId="5406B281"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108 (29.5%)</w:t>
            </w:r>
          </w:p>
        </w:tc>
        <w:tc>
          <w:tcPr>
            <w:tcW w:w="817" w:type="pct"/>
            <w:noWrap/>
            <w:hideMark/>
          </w:tcPr>
          <w:p w14:paraId="1FFAF241"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26 (15.4%)</w:t>
            </w:r>
          </w:p>
        </w:tc>
        <w:tc>
          <w:tcPr>
            <w:tcW w:w="577" w:type="pct"/>
            <w:noWrap/>
            <w:hideMark/>
          </w:tcPr>
          <w:p w14:paraId="792C76F6"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58C38C80" w14:textId="77777777" w:rsidTr="00171A7B">
        <w:trPr>
          <w:trHeight w:val="300"/>
        </w:trPr>
        <w:tc>
          <w:tcPr>
            <w:tcW w:w="1923" w:type="pct"/>
            <w:noWrap/>
            <w:hideMark/>
          </w:tcPr>
          <w:p w14:paraId="6062EC68" w14:textId="77777777" w:rsidR="00C755A0" w:rsidRPr="008C3932" w:rsidRDefault="00C755A0" w:rsidP="00171A7B">
            <w:pPr>
              <w:spacing w:line="240" w:lineRule="auto"/>
              <w:ind w:firstLine="0"/>
              <w:contextualSpacing/>
              <w:rPr>
                <w:rFonts w:eastAsia="Times New Roman" w:cs="Calibri"/>
                <w:b/>
                <w:bCs/>
                <w:color w:val="000000"/>
              </w:rPr>
            </w:pPr>
            <w:r w:rsidRPr="008C3932">
              <w:rPr>
                <w:rFonts w:eastAsia="Times New Roman" w:cs="Calibri"/>
                <w:b/>
                <w:bCs/>
                <w:color w:val="000000"/>
              </w:rPr>
              <w:t>Cancer Site</w:t>
            </w:r>
          </w:p>
        </w:tc>
        <w:tc>
          <w:tcPr>
            <w:tcW w:w="866" w:type="pct"/>
            <w:noWrap/>
            <w:hideMark/>
          </w:tcPr>
          <w:p w14:paraId="4E144638" w14:textId="77777777" w:rsidR="00C755A0" w:rsidRPr="008C3932" w:rsidRDefault="00C755A0" w:rsidP="00171A7B">
            <w:pPr>
              <w:spacing w:line="240" w:lineRule="auto"/>
              <w:ind w:firstLine="0"/>
              <w:contextualSpacing/>
              <w:rPr>
                <w:rFonts w:eastAsia="Times New Roman" w:cs="Calibri"/>
                <w:b/>
                <w:bCs/>
                <w:color w:val="000000"/>
              </w:rPr>
            </w:pPr>
          </w:p>
        </w:tc>
        <w:tc>
          <w:tcPr>
            <w:tcW w:w="817" w:type="pct"/>
            <w:noWrap/>
            <w:hideMark/>
          </w:tcPr>
          <w:p w14:paraId="7AD6B685" w14:textId="77777777" w:rsidR="00C755A0" w:rsidRPr="008C3932" w:rsidRDefault="00C755A0" w:rsidP="00171A7B">
            <w:pPr>
              <w:spacing w:line="240" w:lineRule="auto"/>
              <w:ind w:firstLine="0"/>
              <w:contextualSpacing/>
              <w:jc w:val="right"/>
              <w:rPr>
                <w:rFonts w:eastAsia="Times New Roman" w:cs="Times New Roman"/>
              </w:rPr>
            </w:pPr>
          </w:p>
        </w:tc>
        <w:tc>
          <w:tcPr>
            <w:tcW w:w="817" w:type="pct"/>
            <w:noWrap/>
            <w:hideMark/>
          </w:tcPr>
          <w:p w14:paraId="1A2506E7" w14:textId="77777777" w:rsidR="00C755A0" w:rsidRPr="008C3932" w:rsidRDefault="00C755A0" w:rsidP="00171A7B">
            <w:pPr>
              <w:spacing w:line="240" w:lineRule="auto"/>
              <w:ind w:firstLine="0"/>
              <w:contextualSpacing/>
              <w:rPr>
                <w:rFonts w:eastAsia="Times New Roman" w:cs="Times New Roman"/>
              </w:rPr>
            </w:pPr>
          </w:p>
        </w:tc>
        <w:tc>
          <w:tcPr>
            <w:tcW w:w="577" w:type="pct"/>
            <w:noWrap/>
            <w:hideMark/>
          </w:tcPr>
          <w:p w14:paraId="198685B1"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&lt;0.0001</w:t>
            </w:r>
          </w:p>
        </w:tc>
      </w:tr>
      <w:tr w:rsidR="00C755A0" w:rsidRPr="008C3932" w14:paraId="73ED893B"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60F1E2F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Breast</w:t>
            </w:r>
          </w:p>
        </w:tc>
        <w:tc>
          <w:tcPr>
            <w:tcW w:w="866" w:type="pct"/>
            <w:noWrap/>
            <w:hideMark/>
          </w:tcPr>
          <w:p w14:paraId="3A9DF19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224 (41.9%)</w:t>
            </w:r>
          </w:p>
        </w:tc>
        <w:tc>
          <w:tcPr>
            <w:tcW w:w="817" w:type="pct"/>
            <w:noWrap/>
            <w:hideMark/>
          </w:tcPr>
          <w:p w14:paraId="584A9E26"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176 (48.1%)</w:t>
            </w:r>
          </w:p>
        </w:tc>
        <w:tc>
          <w:tcPr>
            <w:tcW w:w="817" w:type="pct"/>
            <w:noWrap/>
            <w:hideMark/>
          </w:tcPr>
          <w:p w14:paraId="41A205A6"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48 (28.4%)</w:t>
            </w:r>
          </w:p>
        </w:tc>
        <w:tc>
          <w:tcPr>
            <w:tcW w:w="577" w:type="pct"/>
            <w:noWrap/>
            <w:hideMark/>
          </w:tcPr>
          <w:p w14:paraId="7FBF9614"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48F4C8DC" w14:textId="77777777" w:rsidTr="00171A7B">
        <w:trPr>
          <w:trHeight w:val="300"/>
        </w:trPr>
        <w:tc>
          <w:tcPr>
            <w:tcW w:w="1923" w:type="pct"/>
            <w:noWrap/>
            <w:hideMark/>
          </w:tcPr>
          <w:p w14:paraId="7AB681F5"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Colon</w:t>
            </w:r>
          </w:p>
        </w:tc>
        <w:tc>
          <w:tcPr>
            <w:tcW w:w="866" w:type="pct"/>
            <w:noWrap/>
            <w:hideMark/>
          </w:tcPr>
          <w:p w14:paraId="46A49900"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79 (14.8%)</w:t>
            </w:r>
          </w:p>
        </w:tc>
        <w:tc>
          <w:tcPr>
            <w:tcW w:w="817" w:type="pct"/>
            <w:noWrap/>
            <w:hideMark/>
          </w:tcPr>
          <w:p w14:paraId="338E7EBA"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41 (11.2%)</w:t>
            </w:r>
          </w:p>
        </w:tc>
        <w:tc>
          <w:tcPr>
            <w:tcW w:w="817" w:type="pct"/>
            <w:noWrap/>
            <w:hideMark/>
          </w:tcPr>
          <w:p w14:paraId="7CA0645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38 (22.5%)</w:t>
            </w:r>
          </w:p>
        </w:tc>
        <w:tc>
          <w:tcPr>
            <w:tcW w:w="577" w:type="pct"/>
            <w:noWrap/>
            <w:hideMark/>
          </w:tcPr>
          <w:p w14:paraId="3036FF81"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63CFF918"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71CA8752"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Lung</w:t>
            </w:r>
          </w:p>
        </w:tc>
        <w:tc>
          <w:tcPr>
            <w:tcW w:w="866" w:type="pct"/>
            <w:noWrap/>
            <w:hideMark/>
          </w:tcPr>
          <w:p w14:paraId="01B6481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63 (11.8%)</w:t>
            </w:r>
          </w:p>
        </w:tc>
        <w:tc>
          <w:tcPr>
            <w:tcW w:w="817" w:type="pct"/>
            <w:noWrap/>
            <w:hideMark/>
          </w:tcPr>
          <w:p w14:paraId="48F8FC44"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27 (7.4%)</w:t>
            </w:r>
          </w:p>
        </w:tc>
        <w:tc>
          <w:tcPr>
            <w:tcW w:w="817" w:type="pct"/>
            <w:noWrap/>
            <w:hideMark/>
          </w:tcPr>
          <w:p w14:paraId="12F288F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36 (21.3%)</w:t>
            </w:r>
          </w:p>
        </w:tc>
        <w:tc>
          <w:tcPr>
            <w:tcW w:w="577" w:type="pct"/>
            <w:noWrap/>
            <w:hideMark/>
          </w:tcPr>
          <w:p w14:paraId="7D7DF293"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4577E2BC" w14:textId="77777777" w:rsidTr="00171A7B">
        <w:trPr>
          <w:trHeight w:val="300"/>
        </w:trPr>
        <w:tc>
          <w:tcPr>
            <w:tcW w:w="1923" w:type="pct"/>
            <w:noWrap/>
            <w:hideMark/>
          </w:tcPr>
          <w:p w14:paraId="3C940C20"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Prostate</w:t>
            </w:r>
          </w:p>
        </w:tc>
        <w:tc>
          <w:tcPr>
            <w:tcW w:w="866" w:type="pct"/>
            <w:noWrap/>
            <w:hideMark/>
          </w:tcPr>
          <w:p w14:paraId="16A1EB83"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169 (31.6%)</w:t>
            </w:r>
          </w:p>
        </w:tc>
        <w:tc>
          <w:tcPr>
            <w:tcW w:w="817" w:type="pct"/>
            <w:noWrap/>
            <w:hideMark/>
          </w:tcPr>
          <w:p w14:paraId="5CD4C9C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122 (33.3%)</w:t>
            </w:r>
          </w:p>
        </w:tc>
        <w:tc>
          <w:tcPr>
            <w:tcW w:w="817" w:type="pct"/>
            <w:noWrap/>
            <w:hideMark/>
          </w:tcPr>
          <w:p w14:paraId="6A4E5C5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47 (27.8%)</w:t>
            </w:r>
          </w:p>
        </w:tc>
        <w:tc>
          <w:tcPr>
            <w:tcW w:w="577" w:type="pct"/>
            <w:noWrap/>
            <w:hideMark/>
          </w:tcPr>
          <w:p w14:paraId="5B396F83"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7E5CFAD8"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23422096" w14:textId="77777777" w:rsidR="00C755A0" w:rsidRPr="008C3932" w:rsidRDefault="00C755A0" w:rsidP="00171A7B">
            <w:pPr>
              <w:spacing w:line="240" w:lineRule="auto"/>
              <w:ind w:firstLine="0"/>
              <w:contextualSpacing/>
              <w:rPr>
                <w:rFonts w:eastAsia="Times New Roman" w:cs="Calibri"/>
                <w:b/>
                <w:bCs/>
                <w:color w:val="000000"/>
              </w:rPr>
            </w:pPr>
            <w:r w:rsidRPr="008C3932">
              <w:rPr>
                <w:rFonts w:eastAsia="Times New Roman" w:cs="Calibri"/>
                <w:b/>
                <w:bCs/>
                <w:color w:val="000000"/>
              </w:rPr>
              <w:t>Mean concentrated disadvantage in the up 20 years before dx (Mean, SD)</w:t>
            </w:r>
          </w:p>
        </w:tc>
        <w:tc>
          <w:tcPr>
            <w:tcW w:w="866" w:type="pct"/>
            <w:noWrap/>
            <w:hideMark/>
          </w:tcPr>
          <w:p w14:paraId="3AE8EF9D" w14:textId="77777777" w:rsidR="00C755A0" w:rsidRPr="008C3932" w:rsidRDefault="00C755A0" w:rsidP="00171A7B">
            <w:pPr>
              <w:spacing w:line="240" w:lineRule="auto"/>
              <w:ind w:firstLine="0"/>
              <w:contextualSpacing/>
              <w:rPr>
                <w:rFonts w:eastAsia="Times New Roman" w:cs="Calibri"/>
                <w:b/>
                <w:bCs/>
                <w:color w:val="000000"/>
              </w:rPr>
            </w:pPr>
          </w:p>
        </w:tc>
        <w:tc>
          <w:tcPr>
            <w:tcW w:w="817" w:type="pct"/>
            <w:noWrap/>
            <w:hideMark/>
          </w:tcPr>
          <w:p w14:paraId="153D1AB4" w14:textId="77777777" w:rsidR="00C755A0" w:rsidRPr="008C3932" w:rsidRDefault="00C755A0" w:rsidP="00171A7B">
            <w:pPr>
              <w:spacing w:line="240" w:lineRule="auto"/>
              <w:ind w:firstLine="0"/>
              <w:contextualSpacing/>
              <w:jc w:val="right"/>
              <w:rPr>
                <w:rFonts w:eastAsia="Times New Roman" w:cs="Times New Roman"/>
              </w:rPr>
            </w:pPr>
          </w:p>
        </w:tc>
        <w:tc>
          <w:tcPr>
            <w:tcW w:w="817" w:type="pct"/>
            <w:noWrap/>
            <w:hideMark/>
          </w:tcPr>
          <w:p w14:paraId="64361580" w14:textId="77777777" w:rsidR="00C755A0" w:rsidRPr="008C3932" w:rsidRDefault="00C755A0" w:rsidP="00171A7B">
            <w:pPr>
              <w:spacing w:line="240" w:lineRule="auto"/>
              <w:ind w:firstLine="0"/>
              <w:contextualSpacing/>
              <w:jc w:val="right"/>
              <w:rPr>
                <w:rFonts w:eastAsia="Times New Roman" w:cs="Times New Roman"/>
              </w:rPr>
            </w:pPr>
          </w:p>
        </w:tc>
        <w:tc>
          <w:tcPr>
            <w:tcW w:w="577" w:type="pct"/>
            <w:noWrap/>
            <w:hideMark/>
          </w:tcPr>
          <w:p w14:paraId="09E3AC7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0.44</w:t>
            </w:r>
          </w:p>
        </w:tc>
      </w:tr>
      <w:tr w:rsidR="00C755A0" w:rsidRPr="008C3932" w14:paraId="5C9220AE" w14:textId="77777777" w:rsidTr="00171A7B">
        <w:trPr>
          <w:trHeight w:val="300"/>
        </w:trPr>
        <w:tc>
          <w:tcPr>
            <w:tcW w:w="1923" w:type="pct"/>
            <w:noWrap/>
            <w:hideMark/>
          </w:tcPr>
          <w:p w14:paraId="50101C9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Least disadvantaged</w:t>
            </w:r>
          </w:p>
        </w:tc>
        <w:tc>
          <w:tcPr>
            <w:tcW w:w="866" w:type="pct"/>
            <w:noWrap/>
            <w:hideMark/>
          </w:tcPr>
          <w:p w14:paraId="1525AAE5"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111 (20.8%)</w:t>
            </w:r>
          </w:p>
        </w:tc>
        <w:tc>
          <w:tcPr>
            <w:tcW w:w="817" w:type="pct"/>
            <w:noWrap/>
            <w:hideMark/>
          </w:tcPr>
          <w:p w14:paraId="6119C518"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80 (21.9%)</w:t>
            </w:r>
          </w:p>
        </w:tc>
        <w:tc>
          <w:tcPr>
            <w:tcW w:w="817" w:type="pct"/>
            <w:noWrap/>
            <w:hideMark/>
          </w:tcPr>
          <w:p w14:paraId="34AB0283"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31 (18.3%)</w:t>
            </w:r>
          </w:p>
        </w:tc>
        <w:tc>
          <w:tcPr>
            <w:tcW w:w="577" w:type="pct"/>
            <w:noWrap/>
            <w:hideMark/>
          </w:tcPr>
          <w:p w14:paraId="1F8C186F"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14876865" w14:textId="77777777" w:rsidTr="00171A7B">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6CFCA28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2nd quintile</w:t>
            </w:r>
          </w:p>
        </w:tc>
        <w:tc>
          <w:tcPr>
            <w:tcW w:w="866" w:type="pct"/>
            <w:noWrap/>
            <w:hideMark/>
          </w:tcPr>
          <w:p w14:paraId="32F4F847"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103 (19.3%)</w:t>
            </w:r>
          </w:p>
        </w:tc>
        <w:tc>
          <w:tcPr>
            <w:tcW w:w="817" w:type="pct"/>
            <w:noWrap/>
            <w:hideMark/>
          </w:tcPr>
          <w:p w14:paraId="7AE59BC6"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68 (18.6%)</w:t>
            </w:r>
          </w:p>
        </w:tc>
        <w:tc>
          <w:tcPr>
            <w:tcW w:w="817" w:type="pct"/>
            <w:noWrap/>
            <w:hideMark/>
          </w:tcPr>
          <w:p w14:paraId="5595EEEB"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35 (20.7%)</w:t>
            </w:r>
          </w:p>
        </w:tc>
        <w:tc>
          <w:tcPr>
            <w:tcW w:w="577" w:type="pct"/>
            <w:noWrap/>
            <w:hideMark/>
          </w:tcPr>
          <w:p w14:paraId="73FB8E1A"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47BA9993" w14:textId="77777777" w:rsidTr="00171A7B">
        <w:trPr>
          <w:trHeight w:val="300"/>
        </w:trPr>
        <w:tc>
          <w:tcPr>
            <w:tcW w:w="1923" w:type="pct"/>
            <w:noWrap/>
            <w:hideMark/>
          </w:tcPr>
          <w:p w14:paraId="29BCA25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3rd quintile</w:t>
            </w:r>
          </w:p>
        </w:tc>
        <w:tc>
          <w:tcPr>
            <w:tcW w:w="866" w:type="pct"/>
            <w:noWrap/>
            <w:hideMark/>
          </w:tcPr>
          <w:p w14:paraId="44ADA20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109 (20.4%)</w:t>
            </w:r>
          </w:p>
        </w:tc>
        <w:tc>
          <w:tcPr>
            <w:tcW w:w="817" w:type="pct"/>
            <w:noWrap/>
            <w:hideMark/>
          </w:tcPr>
          <w:p w14:paraId="542EA583"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80 (21.9%)</w:t>
            </w:r>
          </w:p>
        </w:tc>
        <w:tc>
          <w:tcPr>
            <w:tcW w:w="817" w:type="pct"/>
            <w:noWrap/>
            <w:hideMark/>
          </w:tcPr>
          <w:p w14:paraId="1C9075CC"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29 (17.2%)</w:t>
            </w:r>
          </w:p>
        </w:tc>
        <w:tc>
          <w:tcPr>
            <w:tcW w:w="577" w:type="pct"/>
            <w:noWrap/>
            <w:hideMark/>
          </w:tcPr>
          <w:p w14:paraId="6D03D977"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3AC28039" w14:textId="77777777" w:rsidTr="00F340C5">
        <w:trPr>
          <w:cnfStyle w:val="000000100000" w:firstRow="0" w:lastRow="0" w:firstColumn="0" w:lastColumn="0" w:oddVBand="0" w:evenVBand="0" w:oddHBand="1" w:evenHBand="0" w:firstRowFirstColumn="0" w:firstRowLastColumn="0" w:lastRowFirstColumn="0" w:lastRowLastColumn="0"/>
          <w:trHeight w:val="300"/>
        </w:trPr>
        <w:tc>
          <w:tcPr>
            <w:tcW w:w="1923" w:type="pct"/>
            <w:noWrap/>
            <w:hideMark/>
          </w:tcPr>
          <w:p w14:paraId="5CA2733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4th quintile</w:t>
            </w:r>
          </w:p>
        </w:tc>
        <w:tc>
          <w:tcPr>
            <w:tcW w:w="866" w:type="pct"/>
            <w:noWrap/>
            <w:hideMark/>
          </w:tcPr>
          <w:p w14:paraId="5F2BFF5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101 (18.9%)</w:t>
            </w:r>
          </w:p>
        </w:tc>
        <w:tc>
          <w:tcPr>
            <w:tcW w:w="817" w:type="pct"/>
            <w:noWrap/>
            <w:hideMark/>
          </w:tcPr>
          <w:p w14:paraId="35F09DE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68 (18.6%)</w:t>
            </w:r>
          </w:p>
        </w:tc>
        <w:tc>
          <w:tcPr>
            <w:tcW w:w="817" w:type="pct"/>
            <w:noWrap/>
            <w:hideMark/>
          </w:tcPr>
          <w:p w14:paraId="6AE772B3"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33 (19.5%)</w:t>
            </w:r>
          </w:p>
        </w:tc>
        <w:tc>
          <w:tcPr>
            <w:tcW w:w="577" w:type="pct"/>
            <w:noWrap/>
            <w:hideMark/>
          </w:tcPr>
          <w:p w14:paraId="4C28228E" w14:textId="77777777" w:rsidR="00C755A0" w:rsidRPr="008C3932" w:rsidRDefault="00C755A0" w:rsidP="00171A7B">
            <w:pPr>
              <w:spacing w:line="240" w:lineRule="auto"/>
              <w:ind w:firstLine="0"/>
              <w:contextualSpacing/>
              <w:jc w:val="right"/>
              <w:rPr>
                <w:rFonts w:eastAsia="Times New Roman" w:cs="Calibri"/>
                <w:color w:val="000000"/>
              </w:rPr>
            </w:pPr>
          </w:p>
        </w:tc>
      </w:tr>
      <w:tr w:rsidR="00C755A0" w:rsidRPr="008C3932" w14:paraId="2DEAAFC7" w14:textId="77777777" w:rsidTr="00F340C5">
        <w:trPr>
          <w:trHeight w:val="300"/>
        </w:trPr>
        <w:tc>
          <w:tcPr>
            <w:tcW w:w="1923" w:type="pct"/>
            <w:tcBorders>
              <w:bottom w:val="single" w:sz="4" w:space="0" w:color="auto"/>
            </w:tcBorders>
            <w:noWrap/>
            <w:hideMark/>
          </w:tcPr>
          <w:p w14:paraId="52BDCDFE"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Most disadvantaged</w:t>
            </w:r>
          </w:p>
        </w:tc>
        <w:tc>
          <w:tcPr>
            <w:tcW w:w="866" w:type="pct"/>
            <w:tcBorders>
              <w:bottom w:val="single" w:sz="4" w:space="0" w:color="auto"/>
            </w:tcBorders>
            <w:noWrap/>
            <w:hideMark/>
          </w:tcPr>
          <w:p w14:paraId="56946775"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111 (20.8%)</w:t>
            </w:r>
          </w:p>
        </w:tc>
        <w:tc>
          <w:tcPr>
            <w:tcW w:w="817" w:type="pct"/>
            <w:tcBorders>
              <w:bottom w:val="single" w:sz="4" w:space="0" w:color="auto"/>
            </w:tcBorders>
            <w:noWrap/>
            <w:hideMark/>
          </w:tcPr>
          <w:p w14:paraId="1651D9B5"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70 (19.1%)</w:t>
            </w:r>
          </w:p>
        </w:tc>
        <w:tc>
          <w:tcPr>
            <w:tcW w:w="817" w:type="pct"/>
            <w:tcBorders>
              <w:bottom w:val="single" w:sz="4" w:space="0" w:color="auto"/>
            </w:tcBorders>
            <w:noWrap/>
            <w:hideMark/>
          </w:tcPr>
          <w:p w14:paraId="5D19C54D" w14:textId="77777777" w:rsidR="00C755A0" w:rsidRPr="008C3932" w:rsidRDefault="00C755A0" w:rsidP="00171A7B">
            <w:pPr>
              <w:spacing w:line="240" w:lineRule="auto"/>
              <w:ind w:firstLine="0"/>
              <w:contextualSpacing/>
              <w:jc w:val="right"/>
              <w:rPr>
                <w:rFonts w:eastAsia="Times New Roman" w:cs="Calibri"/>
                <w:color w:val="000000"/>
              </w:rPr>
            </w:pPr>
            <w:r w:rsidRPr="008C3932">
              <w:rPr>
                <w:rFonts w:eastAsia="Times New Roman" w:cs="Calibri"/>
                <w:color w:val="000000"/>
              </w:rPr>
              <w:t>41 (24.3%)</w:t>
            </w:r>
          </w:p>
        </w:tc>
        <w:tc>
          <w:tcPr>
            <w:tcW w:w="577" w:type="pct"/>
            <w:tcBorders>
              <w:bottom w:val="single" w:sz="4" w:space="0" w:color="auto"/>
            </w:tcBorders>
            <w:noWrap/>
            <w:hideMark/>
          </w:tcPr>
          <w:p w14:paraId="40B2FEED" w14:textId="77777777" w:rsidR="00C755A0" w:rsidRPr="008C3932" w:rsidRDefault="00C755A0" w:rsidP="00171A7B">
            <w:pPr>
              <w:spacing w:line="240" w:lineRule="auto"/>
              <w:ind w:firstLine="0"/>
              <w:contextualSpacing/>
              <w:jc w:val="right"/>
              <w:rPr>
                <w:rFonts w:eastAsia="Times New Roman" w:cs="Calibri"/>
                <w:color w:val="000000"/>
              </w:rPr>
            </w:pPr>
          </w:p>
        </w:tc>
      </w:tr>
    </w:tbl>
    <w:p w14:paraId="37E07009" w14:textId="77777777" w:rsidR="00CD43D2" w:rsidRDefault="00CD43D2">
      <w:pPr>
        <w:spacing w:after="160" w:line="259" w:lineRule="auto"/>
        <w:ind w:firstLine="0"/>
      </w:pPr>
      <w:r>
        <w:br w:type="page"/>
      </w:r>
    </w:p>
    <w:p w14:paraId="3C37457C" w14:textId="115629AD" w:rsidR="00C755A0" w:rsidRPr="008C3932" w:rsidRDefault="00C755A0" w:rsidP="00CD43D2">
      <w:pPr>
        <w:pStyle w:val="TableName"/>
      </w:pPr>
      <w:bookmarkStart w:id="157" w:name="_Toc148375816"/>
      <w:r w:rsidRPr="008C3932">
        <w:lastRenderedPageBreak/>
        <w:t xml:space="preserve">Table </w:t>
      </w:r>
      <w:r w:rsidR="00171A7B">
        <w:t>IV</w:t>
      </w:r>
      <w:r w:rsidRPr="008C3932">
        <w:t>. Distributions and availability of CD scores</w:t>
      </w:r>
      <w:r>
        <w:t xml:space="preserve"> among </w:t>
      </w:r>
      <w:r w:rsidRPr="008C3932">
        <w:t xml:space="preserve">PSID participants who reported a history of </w:t>
      </w:r>
      <w:r>
        <w:t xml:space="preserve">breast, colorectal, lung, or prostate </w:t>
      </w:r>
      <w:r w:rsidRPr="008C3932">
        <w:t>cancer</w:t>
      </w:r>
      <w:r>
        <w:t>, 2005-2019</w:t>
      </w:r>
      <w:bookmarkEnd w:id="157"/>
    </w:p>
    <w:tbl>
      <w:tblPr>
        <w:tblStyle w:val="PlainTable3"/>
        <w:tblW w:w="5000" w:type="pct"/>
        <w:tblLook w:val="04A0" w:firstRow="1" w:lastRow="0" w:firstColumn="1" w:lastColumn="0" w:noHBand="0" w:noVBand="1"/>
      </w:tblPr>
      <w:tblGrid>
        <w:gridCol w:w="3084"/>
        <w:gridCol w:w="813"/>
        <w:gridCol w:w="950"/>
        <w:gridCol w:w="723"/>
        <w:gridCol w:w="1215"/>
        <w:gridCol w:w="724"/>
        <w:gridCol w:w="786"/>
        <w:gridCol w:w="1065"/>
      </w:tblGrid>
      <w:tr w:rsidR="00C755A0" w:rsidRPr="00626F20" w14:paraId="20908455" w14:textId="77777777" w:rsidTr="001A483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47" w:type="pct"/>
            <w:tcBorders>
              <w:bottom w:val="single" w:sz="4" w:space="0" w:color="auto"/>
              <w:right w:val="none" w:sz="0" w:space="0" w:color="auto"/>
            </w:tcBorders>
            <w:hideMark/>
          </w:tcPr>
          <w:p w14:paraId="2F7182F6" w14:textId="77777777" w:rsidR="00C755A0" w:rsidRPr="00626F20" w:rsidRDefault="00C755A0" w:rsidP="00171A7B">
            <w:pPr>
              <w:pStyle w:val="NoSpacing"/>
              <w:ind w:firstLine="0"/>
              <w:contextualSpacing/>
            </w:pPr>
            <w:r>
              <w:rPr>
                <w:caps w:val="0"/>
              </w:rPr>
              <w:t>Versions of CD Scores</w:t>
            </w:r>
          </w:p>
        </w:tc>
        <w:tc>
          <w:tcPr>
            <w:tcW w:w="434" w:type="pct"/>
            <w:tcBorders>
              <w:bottom w:val="single" w:sz="4" w:space="0" w:color="auto"/>
            </w:tcBorders>
            <w:hideMark/>
          </w:tcPr>
          <w:p w14:paraId="30B9D3D6" w14:textId="77777777" w:rsidR="00C755A0" w:rsidRPr="008C3932" w:rsidRDefault="00C755A0" w:rsidP="00171A7B">
            <w:pPr>
              <w:pStyle w:val="NoSpacing"/>
              <w:ind w:firstLine="0"/>
              <w:contextualSpacing/>
              <w:jc w:val="right"/>
              <w:cnfStyle w:val="100000000000" w:firstRow="1" w:lastRow="0" w:firstColumn="0" w:lastColumn="0" w:oddVBand="0" w:evenVBand="0" w:oddHBand="0" w:evenHBand="0" w:firstRowFirstColumn="0" w:firstRowLastColumn="0" w:lastRowFirstColumn="0" w:lastRowLastColumn="0"/>
              <w:rPr>
                <w:caps w:val="0"/>
              </w:rPr>
            </w:pPr>
            <w:r w:rsidRPr="008C3932">
              <w:rPr>
                <w:caps w:val="0"/>
              </w:rPr>
              <w:t>N</w:t>
            </w:r>
          </w:p>
        </w:tc>
        <w:tc>
          <w:tcPr>
            <w:tcW w:w="507" w:type="pct"/>
            <w:tcBorders>
              <w:bottom w:val="single" w:sz="4" w:space="0" w:color="auto"/>
            </w:tcBorders>
            <w:hideMark/>
          </w:tcPr>
          <w:p w14:paraId="6400829F" w14:textId="77777777" w:rsidR="00C755A0" w:rsidRPr="008C3932" w:rsidRDefault="00C755A0" w:rsidP="00171A7B">
            <w:pPr>
              <w:pStyle w:val="NoSpacing"/>
              <w:ind w:firstLine="0"/>
              <w:contextualSpacing/>
              <w:jc w:val="right"/>
              <w:cnfStyle w:val="100000000000" w:firstRow="1" w:lastRow="0" w:firstColumn="0" w:lastColumn="0" w:oddVBand="0" w:evenVBand="0" w:oddHBand="0" w:evenHBand="0" w:firstRowFirstColumn="0" w:firstRowLastColumn="0" w:lastRowFirstColumn="0" w:lastRowLastColumn="0"/>
              <w:rPr>
                <w:caps w:val="0"/>
              </w:rPr>
            </w:pPr>
            <w:r w:rsidRPr="008C3932">
              <w:rPr>
                <w:caps w:val="0"/>
              </w:rPr>
              <w:t>Mean</w:t>
            </w:r>
          </w:p>
        </w:tc>
        <w:tc>
          <w:tcPr>
            <w:tcW w:w="386" w:type="pct"/>
            <w:tcBorders>
              <w:bottom w:val="single" w:sz="4" w:space="0" w:color="auto"/>
            </w:tcBorders>
            <w:hideMark/>
          </w:tcPr>
          <w:p w14:paraId="029FEB5A" w14:textId="77777777" w:rsidR="00C755A0" w:rsidRPr="008C3932" w:rsidRDefault="00C755A0" w:rsidP="00171A7B">
            <w:pPr>
              <w:pStyle w:val="NoSpacing"/>
              <w:ind w:firstLine="0"/>
              <w:contextualSpacing/>
              <w:jc w:val="right"/>
              <w:cnfStyle w:val="100000000000" w:firstRow="1" w:lastRow="0" w:firstColumn="0" w:lastColumn="0" w:oddVBand="0" w:evenVBand="0" w:oddHBand="0" w:evenHBand="0" w:firstRowFirstColumn="0" w:firstRowLastColumn="0" w:lastRowFirstColumn="0" w:lastRowLastColumn="0"/>
              <w:rPr>
                <w:caps w:val="0"/>
              </w:rPr>
            </w:pPr>
            <w:r w:rsidRPr="008C3932">
              <w:rPr>
                <w:caps w:val="0"/>
              </w:rPr>
              <w:t>SD</w:t>
            </w:r>
          </w:p>
        </w:tc>
        <w:tc>
          <w:tcPr>
            <w:tcW w:w="649" w:type="pct"/>
            <w:tcBorders>
              <w:bottom w:val="single" w:sz="4" w:space="0" w:color="auto"/>
            </w:tcBorders>
            <w:hideMark/>
          </w:tcPr>
          <w:p w14:paraId="4C148A27" w14:textId="77777777" w:rsidR="00C755A0" w:rsidRPr="008C3932" w:rsidRDefault="00C755A0" w:rsidP="00171A7B">
            <w:pPr>
              <w:pStyle w:val="NoSpacing"/>
              <w:ind w:firstLine="0"/>
              <w:contextualSpacing/>
              <w:jc w:val="right"/>
              <w:cnfStyle w:val="100000000000" w:firstRow="1" w:lastRow="0" w:firstColumn="0" w:lastColumn="0" w:oddVBand="0" w:evenVBand="0" w:oddHBand="0" w:evenHBand="0" w:firstRowFirstColumn="0" w:firstRowLastColumn="0" w:lastRowFirstColumn="0" w:lastRowLastColumn="0"/>
              <w:rPr>
                <w:caps w:val="0"/>
              </w:rPr>
            </w:pPr>
            <w:r w:rsidRPr="008C3932">
              <w:rPr>
                <w:caps w:val="0"/>
              </w:rPr>
              <w:t>Median</w:t>
            </w:r>
          </w:p>
        </w:tc>
        <w:tc>
          <w:tcPr>
            <w:tcW w:w="387" w:type="pct"/>
            <w:tcBorders>
              <w:bottom w:val="single" w:sz="4" w:space="0" w:color="auto"/>
            </w:tcBorders>
            <w:hideMark/>
          </w:tcPr>
          <w:p w14:paraId="4B04C553" w14:textId="77777777" w:rsidR="00C755A0" w:rsidRPr="008C3932" w:rsidRDefault="00C755A0" w:rsidP="00171A7B">
            <w:pPr>
              <w:pStyle w:val="NoSpacing"/>
              <w:ind w:firstLine="0"/>
              <w:contextualSpacing/>
              <w:jc w:val="right"/>
              <w:cnfStyle w:val="100000000000" w:firstRow="1" w:lastRow="0" w:firstColumn="0" w:lastColumn="0" w:oddVBand="0" w:evenVBand="0" w:oddHBand="0" w:evenHBand="0" w:firstRowFirstColumn="0" w:firstRowLastColumn="0" w:lastRowFirstColumn="0" w:lastRowLastColumn="0"/>
              <w:rPr>
                <w:caps w:val="0"/>
              </w:rPr>
            </w:pPr>
            <w:r w:rsidRPr="008C3932">
              <w:rPr>
                <w:caps w:val="0"/>
              </w:rPr>
              <w:t>Min</w:t>
            </w:r>
          </w:p>
        </w:tc>
        <w:tc>
          <w:tcPr>
            <w:tcW w:w="420" w:type="pct"/>
            <w:tcBorders>
              <w:bottom w:val="single" w:sz="4" w:space="0" w:color="auto"/>
            </w:tcBorders>
            <w:hideMark/>
          </w:tcPr>
          <w:p w14:paraId="1112D2C1" w14:textId="77777777" w:rsidR="00C755A0" w:rsidRPr="008C3932" w:rsidRDefault="00C755A0" w:rsidP="00171A7B">
            <w:pPr>
              <w:pStyle w:val="NoSpacing"/>
              <w:ind w:firstLine="0"/>
              <w:contextualSpacing/>
              <w:jc w:val="right"/>
              <w:cnfStyle w:val="100000000000" w:firstRow="1" w:lastRow="0" w:firstColumn="0" w:lastColumn="0" w:oddVBand="0" w:evenVBand="0" w:oddHBand="0" w:evenHBand="0" w:firstRowFirstColumn="0" w:firstRowLastColumn="0" w:lastRowFirstColumn="0" w:lastRowLastColumn="0"/>
              <w:rPr>
                <w:caps w:val="0"/>
              </w:rPr>
            </w:pPr>
            <w:r w:rsidRPr="008C3932">
              <w:rPr>
                <w:caps w:val="0"/>
              </w:rPr>
              <w:t>Max</w:t>
            </w:r>
          </w:p>
        </w:tc>
        <w:tc>
          <w:tcPr>
            <w:tcW w:w="569" w:type="pct"/>
            <w:tcBorders>
              <w:bottom w:val="single" w:sz="4" w:space="0" w:color="auto"/>
            </w:tcBorders>
            <w:hideMark/>
          </w:tcPr>
          <w:p w14:paraId="1A2BE22C" w14:textId="77777777" w:rsidR="00C755A0" w:rsidRPr="008C3932" w:rsidRDefault="00C755A0" w:rsidP="00171A7B">
            <w:pPr>
              <w:pStyle w:val="NoSpacing"/>
              <w:ind w:firstLine="0"/>
              <w:contextualSpacing/>
              <w:jc w:val="right"/>
              <w:cnfStyle w:val="100000000000" w:firstRow="1" w:lastRow="0" w:firstColumn="0" w:lastColumn="0" w:oddVBand="0" w:evenVBand="0" w:oddHBand="0" w:evenHBand="0" w:firstRowFirstColumn="0" w:firstRowLastColumn="0" w:lastRowFirstColumn="0" w:lastRowLastColumn="0"/>
              <w:rPr>
                <w:caps w:val="0"/>
              </w:rPr>
            </w:pPr>
            <w:r w:rsidRPr="008C3932">
              <w:rPr>
                <w:caps w:val="0"/>
              </w:rPr>
              <w:t>Range</w:t>
            </w:r>
          </w:p>
        </w:tc>
      </w:tr>
      <w:tr w:rsidR="00C755A0" w:rsidRPr="00626F20" w14:paraId="360C1B1D" w14:textId="77777777" w:rsidTr="001A4831">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1647" w:type="pct"/>
            <w:tcBorders>
              <w:top w:val="single" w:sz="4" w:space="0" w:color="auto"/>
            </w:tcBorders>
            <w:vAlign w:val="bottom"/>
          </w:tcPr>
          <w:p w14:paraId="63317C41" w14:textId="77777777" w:rsidR="00C755A0" w:rsidRPr="00CD43D2" w:rsidRDefault="00C755A0" w:rsidP="00171A7B">
            <w:pPr>
              <w:pStyle w:val="NoSpacing"/>
              <w:ind w:firstLine="0"/>
              <w:contextualSpacing/>
            </w:pPr>
            <w:r w:rsidRPr="00CD43D2">
              <w:rPr>
                <w:caps w:val="0"/>
              </w:rPr>
              <w:t>Point values</w:t>
            </w:r>
          </w:p>
        </w:tc>
        <w:tc>
          <w:tcPr>
            <w:tcW w:w="434" w:type="pct"/>
            <w:tcBorders>
              <w:top w:val="single" w:sz="4" w:space="0" w:color="auto"/>
            </w:tcBorders>
            <w:vAlign w:val="bottom"/>
          </w:tcPr>
          <w:p w14:paraId="7C78BF79"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507" w:type="pct"/>
            <w:tcBorders>
              <w:top w:val="single" w:sz="4" w:space="0" w:color="auto"/>
            </w:tcBorders>
            <w:vAlign w:val="bottom"/>
          </w:tcPr>
          <w:p w14:paraId="3F567A72"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386" w:type="pct"/>
            <w:tcBorders>
              <w:top w:val="single" w:sz="4" w:space="0" w:color="auto"/>
            </w:tcBorders>
            <w:vAlign w:val="bottom"/>
          </w:tcPr>
          <w:p w14:paraId="73A43A0F"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649" w:type="pct"/>
            <w:tcBorders>
              <w:top w:val="single" w:sz="4" w:space="0" w:color="auto"/>
            </w:tcBorders>
            <w:vAlign w:val="bottom"/>
          </w:tcPr>
          <w:p w14:paraId="7E5438B2"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387" w:type="pct"/>
            <w:tcBorders>
              <w:top w:val="single" w:sz="4" w:space="0" w:color="auto"/>
            </w:tcBorders>
            <w:vAlign w:val="bottom"/>
          </w:tcPr>
          <w:p w14:paraId="0010108F"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420" w:type="pct"/>
            <w:tcBorders>
              <w:top w:val="single" w:sz="4" w:space="0" w:color="auto"/>
            </w:tcBorders>
            <w:vAlign w:val="bottom"/>
          </w:tcPr>
          <w:p w14:paraId="0357F639"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569" w:type="pct"/>
            <w:tcBorders>
              <w:top w:val="single" w:sz="4" w:space="0" w:color="auto"/>
            </w:tcBorders>
            <w:vAlign w:val="bottom"/>
          </w:tcPr>
          <w:p w14:paraId="608DABFE"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r>
      <w:tr w:rsidR="00C755A0" w:rsidRPr="00626F20" w14:paraId="1A38B1E3" w14:textId="77777777" w:rsidTr="001A4831">
        <w:tc>
          <w:tcPr>
            <w:cnfStyle w:val="001000000000" w:firstRow="0" w:lastRow="0" w:firstColumn="1" w:lastColumn="0" w:oddVBand="0" w:evenVBand="0" w:oddHBand="0" w:evenHBand="0" w:firstRowFirstColumn="0" w:firstRowLastColumn="0" w:lastRowFirstColumn="0" w:lastRowLastColumn="0"/>
            <w:tcW w:w="1647" w:type="pct"/>
            <w:tcBorders>
              <w:right w:val="none" w:sz="0" w:space="0" w:color="auto"/>
            </w:tcBorders>
            <w:hideMark/>
          </w:tcPr>
          <w:p w14:paraId="0979081F" w14:textId="77777777" w:rsidR="00C755A0" w:rsidRPr="00A95971" w:rsidRDefault="00C755A0" w:rsidP="00171A7B">
            <w:pPr>
              <w:pStyle w:val="NoSpacing"/>
              <w:ind w:left="339" w:firstLine="0"/>
              <w:contextualSpacing/>
              <w:rPr>
                <w:b w:val="0"/>
                <w:bCs w:val="0"/>
              </w:rPr>
            </w:pPr>
            <w:r>
              <w:rPr>
                <w:b w:val="0"/>
                <w:bCs w:val="0"/>
                <w:caps w:val="0"/>
              </w:rPr>
              <w:t>In year of diagnosis</w:t>
            </w:r>
          </w:p>
        </w:tc>
        <w:tc>
          <w:tcPr>
            <w:tcW w:w="434" w:type="pct"/>
          </w:tcPr>
          <w:p w14:paraId="033945E9"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521</w:t>
            </w:r>
          </w:p>
        </w:tc>
        <w:tc>
          <w:tcPr>
            <w:tcW w:w="507" w:type="pct"/>
          </w:tcPr>
          <w:p w14:paraId="473BBB69"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1.12</w:t>
            </w:r>
          </w:p>
        </w:tc>
        <w:tc>
          <w:tcPr>
            <w:tcW w:w="386" w:type="pct"/>
          </w:tcPr>
          <w:p w14:paraId="599174BA"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0.38</w:t>
            </w:r>
          </w:p>
        </w:tc>
        <w:tc>
          <w:tcPr>
            <w:tcW w:w="649" w:type="pct"/>
          </w:tcPr>
          <w:p w14:paraId="3C37DC49"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1.10</w:t>
            </w:r>
          </w:p>
        </w:tc>
        <w:tc>
          <w:tcPr>
            <w:tcW w:w="387" w:type="pct"/>
          </w:tcPr>
          <w:p w14:paraId="460AB8C2"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0.17</w:t>
            </w:r>
          </w:p>
        </w:tc>
        <w:tc>
          <w:tcPr>
            <w:tcW w:w="420" w:type="pct"/>
          </w:tcPr>
          <w:p w14:paraId="245EB4F5"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2.36</w:t>
            </w:r>
          </w:p>
        </w:tc>
        <w:tc>
          <w:tcPr>
            <w:tcW w:w="569" w:type="pct"/>
          </w:tcPr>
          <w:p w14:paraId="6050E39C"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2.19</w:t>
            </w:r>
          </w:p>
        </w:tc>
      </w:tr>
      <w:tr w:rsidR="00C755A0" w:rsidRPr="00626F20" w14:paraId="0EC50AED" w14:textId="77777777" w:rsidTr="001A4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7" w:type="pct"/>
            <w:hideMark/>
          </w:tcPr>
          <w:p w14:paraId="0C0D1F9E" w14:textId="77777777" w:rsidR="00C755A0" w:rsidRPr="00A95971" w:rsidRDefault="00C755A0" w:rsidP="00171A7B">
            <w:pPr>
              <w:pStyle w:val="NoSpacing"/>
              <w:ind w:left="339" w:firstLine="0"/>
              <w:contextualSpacing/>
              <w:rPr>
                <w:b w:val="0"/>
                <w:bCs w:val="0"/>
                <w:caps w:val="0"/>
              </w:rPr>
            </w:pPr>
            <w:r>
              <w:rPr>
                <w:b w:val="0"/>
                <w:bCs w:val="0"/>
                <w:caps w:val="0"/>
              </w:rPr>
              <w:t>5 years before diagnosis</w:t>
            </w:r>
          </w:p>
        </w:tc>
        <w:tc>
          <w:tcPr>
            <w:tcW w:w="434" w:type="pct"/>
          </w:tcPr>
          <w:p w14:paraId="6E82B52E"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530</w:t>
            </w:r>
          </w:p>
        </w:tc>
        <w:tc>
          <w:tcPr>
            <w:tcW w:w="507" w:type="pct"/>
          </w:tcPr>
          <w:p w14:paraId="276D9C2D"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1.13</w:t>
            </w:r>
          </w:p>
        </w:tc>
        <w:tc>
          <w:tcPr>
            <w:tcW w:w="386" w:type="pct"/>
          </w:tcPr>
          <w:p w14:paraId="330D2491"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0.38</w:t>
            </w:r>
          </w:p>
        </w:tc>
        <w:tc>
          <w:tcPr>
            <w:tcW w:w="649" w:type="pct"/>
          </w:tcPr>
          <w:p w14:paraId="1A40ADB0"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1.11</w:t>
            </w:r>
          </w:p>
        </w:tc>
        <w:tc>
          <w:tcPr>
            <w:tcW w:w="387" w:type="pct"/>
          </w:tcPr>
          <w:p w14:paraId="3E53F8B4"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0.25</w:t>
            </w:r>
          </w:p>
        </w:tc>
        <w:tc>
          <w:tcPr>
            <w:tcW w:w="420" w:type="pct"/>
          </w:tcPr>
          <w:p w14:paraId="3678DAF9"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2.47</w:t>
            </w:r>
          </w:p>
        </w:tc>
        <w:tc>
          <w:tcPr>
            <w:tcW w:w="569" w:type="pct"/>
          </w:tcPr>
          <w:p w14:paraId="5575442B"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2.22</w:t>
            </w:r>
          </w:p>
        </w:tc>
      </w:tr>
      <w:tr w:rsidR="00C755A0" w:rsidRPr="00626F20" w14:paraId="22EF35E7" w14:textId="77777777" w:rsidTr="001A4831">
        <w:tc>
          <w:tcPr>
            <w:cnfStyle w:val="001000000000" w:firstRow="0" w:lastRow="0" w:firstColumn="1" w:lastColumn="0" w:oddVBand="0" w:evenVBand="0" w:oddHBand="0" w:evenHBand="0" w:firstRowFirstColumn="0" w:firstRowLastColumn="0" w:lastRowFirstColumn="0" w:lastRowLastColumn="0"/>
            <w:tcW w:w="1647" w:type="pct"/>
            <w:tcBorders>
              <w:right w:val="none" w:sz="0" w:space="0" w:color="auto"/>
            </w:tcBorders>
            <w:hideMark/>
          </w:tcPr>
          <w:p w14:paraId="3840EFC1" w14:textId="77777777" w:rsidR="00C755A0" w:rsidRPr="00A95971" w:rsidRDefault="00C755A0" w:rsidP="00171A7B">
            <w:pPr>
              <w:pStyle w:val="NoSpacing"/>
              <w:ind w:left="339" w:firstLine="0"/>
              <w:contextualSpacing/>
              <w:rPr>
                <w:b w:val="0"/>
                <w:bCs w:val="0"/>
                <w:caps w:val="0"/>
              </w:rPr>
            </w:pPr>
            <w:r>
              <w:rPr>
                <w:b w:val="0"/>
                <w:bCs w:val="0"/>
                <w:caps w:val="0"/>
              </w:rPr>
              <w:t>10 years before diagnosis</w:t>
            </w:r>
          </w:p>
        </w:tc>
        <w:tc>
          <w:tcPr>
            <w:tcW w:w="434" w:type="pct"/>
          </w:tcPr>
          <w:p w14:paraId="2E3A87CC"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527</w:t>
            </w:r>
          </w:p>
        </w:tc>
        <w:tc>
          <w:tcPr>
            <w:tcW w:w="507" w:type="pct"/>
          </w:tcPr>
          <w:p w14:paraId="167857EE"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1.16</w:t>
            </w:r>
          </w:p>
        </w:tc>
        <w:tc>
          <w:tcPr>
            <w:tcW w:w="386" w:type="pct"/>
          </w:tcPr>
          <w:p w14:paraId="21D20F7E"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0.37</w:t>
            </w:r>
          </w:p>
        </w:tc>
        <w:tc>
          <w:tcPr>
            <w:tcW w:w="649" w:type="pct"/>
          </w:tcPr>
          <w:p w14:paraId="12A919EF"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1.12</w:t>
            </w:r>
          </w:p>
        </w:tc>
        <w:tc>
          <w:tcPr>
            <w:tcW w:w="387" w:type="pct"/>
          </w:tcPr>
          <w:p w14:paraId="7C54B266"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0.36</w:t>
            </w:r>
          </w:p>
        </w:tc>
        <w:tc>
          <w:tcPr>
            <w:tcW w:w="420" w:type="pct"/>
          </w:tcPr>
          <w:p w14:paraId="584CE552"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2.53</w:t>
            </w:r>
          </w:p>
        </w:tc>
        <w:tc>
          <w:tcPr>
            <w:tcW w:w="569" w:type="pct"/>
          </w:tcPr>
          <w:p w14:paraId="190654C8"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2.17</w:t>
            </w:r>
          </w:p>
        </w:tc>
      </w:tr>
      <w:tr w:rsidR="00C755A0" w:rsidRPr="00626F20" w14:paraId="241C59AB" w14:textId="77777777" w:rsidTr="001A48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47" w:type="pct"/>
            <w:hideMark/>
          </w:tcPr>
          <w:p w14:paraId="4DF3B011" w14:textId="77777777" w:rsidR="00C755A0" w:rsidRPr="00A95971" w:rsidRDefault="00C755A0" w:rsidP="00171A7B">
            <w:pPr>
              <w:pStyle w:val="NoSpacing"/>
              <w:ind w:left="339" w:firstLine="0"/>
              <w:contextualSpacing/>
              <w:rPr>
                <w:b w:val="0"/>
                <w:bCs w:val="0"/>
                <w:caps w:val="0"/>
              </w:rPr>
            </w:pPr>
            <w:r>
              <w:rPr>
                <w:b w:val="0"/>
                <w:bCs w:val="0"/>
                <w:caps w:val="0"/>
              </w:rPr>
              <w:t>15 years before diagnosis</w:t>
            </w:r>
          </w:p>
        </w:tc>
        <w:tc>
          <w:tcPr>
            <w:tcW w:w="434" w:type="pct"/>
          </w:tcPr>
          <w:p w14:paraId="18B64B27"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524</w:t>
            </w:r>
          </w:p>
        </w:tc>
        <w:tc>
          <w:tcPr>
            <w:tcW w:w="507" w:type="pct"/>
          </w:tcPr>
          <w:p w14:paraId="246DDBE1"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1.19</w:t>
            </w:r>
          </w:p>
        </w:tc>
        <w:tc>
          <w:tcPr>
            <w:tcW w:w="386" w:type="pct"/>
          </w:tcPr>
          <w:p w14:paraId="25990FDF"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0.38</w:t>
            </w:r>
          </w:p>
        </w:tc>
        <w:tc>
          <w:tcPr>
            <w:tcW w:w="649" w:type="pct"/>
          </w:tcPr>
          <w:p w14:paraId="7C029C46"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1.13</w:t>
            </w:r>
          </w:p>
        </w:tc>
        <w:tc>
          <w:tcPr>
            <w:tcW w:w="387" w:type="pct"/>
          </w:tcPr>
          <w:p w14:paraId="0B322776"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0.37</w:t>
            </w:r>
          </w:p>
        </w:tc>
        <w:tc>
          <w:tcPr>
            <w:tcW w:w="420" w:type="pct"/>
          </w:tcPr>
          <w:p w14:paraId="1E20A16D"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2.64</w:t>
            </w:r>
          </w:p>
        </w:tc>
        <w:tc>
          <w:tcPr>
            <w:tcW w:w="569" w:type="pct"/>
          </w:tcPr>
          <w:p w14:paraId="64DD97FB" w14:textId="77777777" w:rsidR="00C755A0" w:rsidRPr="00626F2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r>
              <w:t>2.26</w:t>
            </w:r>
          </w:p>
        </w:tc>
      </w:tr>
      <w:tr w:rsidR="00C755A0" w:rsidRPr="00626F20" w14:paraId="495C7A87" w14:textId="77777777" w:rsidTr="001A4831">
        <w:tc>
          <w:tcPr>
            <w:cnfStyle w:val="001000000000" w:firstRow="0" w:lastRow="0" w:firstColumn="1" w:lastColumn="0" w:oddVBand="0" w:evenVBand="0" w:oddHBand="0" w:evenHBand="0" w:firstRowFirstColumn="0" w:firstRowLastColumn="0" w:lastRowFirstColumn="0" w:lastRowLastColumn="0"/>
            <w:tcW w:w="1647" w:type="pct"/>
            <w:tcBorders>
              <w:right w:val="none" w:sz="0" w:space="0" w:color="auto"/>
            </w:tcBorders>
            <w:hideMark/>
          </w:tcPr>
          <w:p w14:paraId="6EA8B4A8" w14:textId="77777777" w:rsidR="00C755A0" w:rsidRPr="00A95971" w:rsidRDefault="00C755A0" w:rsidP="00171A7B">
            <w:pPr>
              <w:pStyle w:val="NoSpacing"/>
              <w:ind w:left="339" w:firstLine="0"/>
              <w:contextualSpacing/>
              <w:rPr>
                <w:b w:val="0"/>
                <w:bCs w:val="0"/>
                <w:caps w:val="0"/>
              </w:rPr>
            </w:pPr>
            <w:r>
              <w:rPr>
                <w:b w:val="0"/>
                <w:bCs w:val="0"/>
                <w:caps w:val="0"/>
              </w:rPr>
              <w:t>20 years before diagnosis</w:t>
            </w:r>
          </w:p>
        </w:tc>
        <w:tc>
          <w:tcPr>
            <w:tcW w:w="434" w:type="pct"/>
          </w:tcPr>
          <w:p w14:paraId="5927926E"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529</w:t>
            </w:r>
          </w:p>
        </w:tc>
        <w:tc>
          <w:tcPr>
            <w:tcW w:w="507" w:type="pct"/>
          </w:tcPr>
          <w:p w14:paraId="5E297A79"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1.26</w:t>
            </w:r>
          </w:p>
        </w:tc>
        <w:tc>
          <w:tcPr>
            <w:tcW w:w="386" w:type="pct"/>
          </w:tcPr>
          <w:p w14:paraId="784C5F1A"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0.40</w:t>
            </w:r>
          </w:p>
        </w:tc>
        <w:tc>
          <w:tcPr>
            <w:tcW w:w="649" w:type="pct"/>
          </w:tcPr>
          <w:p w14:paraId="24E95EE9"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1.18</w:t>
            </w:r>
          </w:p>
        </w:tc>
        <w:tc>
          <w:tcPr>
            <w:tcW w:w="387" w:type="pct"/>
          </w:tcPr>
          <w:p w14:paraId="27EACADE"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0.39</w:t>
            </w:r>
          </w:p>
        </w:tc>
        <w:tc>
          <w:tcPr>
            <w:tcW w:w="420" w:type="pct"/>
          </w:tcPr>
          <w:p w14:paraId="75755F4B"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2.73</w:t>
            </w:r>
          </w:p>
        </w:tc>
        <w:tc>
          <w:tcPr>
            <w:tcW w:w="569" w:type="pct"/>
          </w:tcPr>
          <w:p w14:paraId="32D5A660"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2.35</w:t>
            </w:r>
          </w:p>
        </w:tc>
      </w:tr>
      <w:tr w:rsidR="00C755A0" w:rsidRPr="00626F20" w14:paraId="6A67F17F" w14:textId="77777777" w:rsidTr="001A4831">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647" w:type="pct"/>
            <w:vAlign w:val="bottom"/>
          </w:tcPr>
          <w:p w14:paraId="7BD57C15" w14:textId="77777777" w:rsidR="00C755A0" w:rsidRPr="00CD43D2" w:rsidRDefault="00C755A0" w:rsidP="00171A7B">
            <w:pPr>
              <w:pStyle w:val="NoSpacing"/>
              <w:ind w:firstLine="0"/>
              <w:contextualSpacing/>
            </w:pPr>
            <w:r w:rsidRPr="00CD43D2">
              <w:t>M</w:t>
            </w:r>
            <w:r w:rsidRPr="00CD43D2">
              <w:rPr>
                <w:caps w:val="0"/>
              </w:rPr>
              <w:t>ean value</w:t>
            </w:r>
          </w:p>
        </w:tc>
        <w:tc>
          <w:tcPr>
            <w:tcW w:w="434" w:type="pct"/>
            <w:vAlign w:val="bottom"/>
          </w:tcPr>
          <w:p w14:paraId="4806392D"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507" w:type="pct"/>
            <w:vAlign w:val="bottom"/>
          </w:tcPr>
          <w:p w14:paraId="31CC3D74"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386" w:type="pct"/>
            <w:vAlign w:val="bottom"/>
          </w:tcPr>
          <w:p w14:paraId="035E5746"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649" w:type="pct"/>
            <w:vAlign w:val="bottom"/>
          </w:tcPr>
          <w:p w14:paraId="5546BA85"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387" w:type="pct"/>
            <w:vAlign w:val="bottom"/>
          </w:tcPr>
          <w:p w14:paraId="156E72F6"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420" w:type="pct"/>
            <w:vAlign w:val="bottom"/>
          </w:tcPr>
          <w:p w14:paraId="493CF765"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c>
          <w:tcPr>
            <w:tcW w:w="569" w:type="pct"/>
            <w:vAlign w:val="bottom"/>
          </w:tcPr>
          <w:p w14:paraId="42EBC817" w14:textId="77777777" w:rsidR="00C755A0" w:rsidRDefault="00C755A0" w:rsidP="00171A7B">
            <w:pPr>
              <w:pStyle w:val="NoSpacing"/>
              <w:ind w:firstLine="0"/>
              <w:contextualSpacing/>
              <w:jc w:val="right"/>
              <w:cnfStyle w:val="000000100000" w:firstRow="0" w:lastRow="0" w:firstColumn="0" w:lastColumn="0" w:oddVBand="0" w:evenVBand="0" w:oddHBand="1" w:evenHBand="0" w:firstRowFirstColumn="0" w:firstRowLastColumn="0" w:lastRowFirstColumn="0" w:lastRowLastColumn="0"/>
            </w:pPr>
          </w:p>
        </w:tc>
      </w:tr>
      <w:tr w:rsidR="00C755A0" w:rsidRPr="00626F20" w14:paraId="169B7FFA" w14:textId="77777777" w:rsidTr="001A4831">
        <w:tc>
          <w:tcPr>
            <w:cnfStyle w:val="001000000000" w:firstRow="0" w:lastRow="0" w:firstColumn="1" w:lastColumn="0" w:oddVBand="0" w:evenVBand="0" w:oddHBand="0" w:evenHBand="0" w:firstRowFirstColumn="0" w:firstRowLastColumn="0" w:lastRowFirstColumn="0" w:lastRowLastColumn="0"/>
            <w:tcW w:w="1647" w:type="pct"/>
            <w:tcBorders>
              <w:bottom w:val="single" w:sz="4" w:space="0" w:color="auto"/>
              <w:right w:val="none" w:sz="0" w:space="0" w:color="auto"/>
            </w:tcBorders>
            <w:hideMark/>
          </w:tcPr>
          <w:p w14:paraId="30A8787E" w14:textId="77777777" w:rsidR="00C755A0" w:rsidRPr="00A95971" w:rsidRDefault="00C755A0" w:rsidP="00171A7B">
            <w:pPr>
              <w:pStyle w:val="NoSpacing"/>
              <w:ind w:left="339" w:firstLine="0"/>
              <w:contextualSpacing/>
              <w:rPr>
                <w:b w:val="0"/>
                <w:bCs w:val="0"/>
                <w:caps w:val="0"/>
              </w:rPr>
            </w:pPr>
            <w:r>
              <w:rPr>
                <w:b w:val="0"/>
                <w:bCs w:val="0"/>
                <w:caps w:val="0"/>
              </w:rPr>
              <w:t>20 years before diagnosis</w:t>
            </w:r>
          </w:p>
        </w:tc>
        <w:tc>
          <w:tcPr>
            <w:tcW w:w="434" w:type="pct"/>
            <w:tcBorders>
              <w:bottom w:val="single" w:sz="4" w:space="0" w:color="auto"/>
            </w:tcBorders>
          </w:tcPr>
          <w:p w14:paraId="4A234E11"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535</w:t>
            </w:r>
          </w:p>
        </w:tc>
        <w:tc>
          <w:tcPr>
            <w:tcW w:w="507" w:type="pct"/>
            <w:tcBorders>
              <w:bottom w:val="single" w:sz="4" w:space="0" w:color="auto"/>
            </w:tcBorders>
          </w:tcPr>
          <w:p w14:paraId="4776C947"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1.17</w:t>
            </w:r>
          </w:p>
        </w:tc>
        <w:tc>
          <w:tcPr>
            <w:tcW w:w="386" w:type="pct"/>
            <w:tcBorders>
              <w:bottom w:val="single" w:sz="4" w:space="0" w:color="auto"/>
            </w:tcBorders>
          </w:tcPr>
          <w:p w14:paraId="3314803C"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0.12</w:t>
            </w:r>
          </w:p>
        </w:tc>
        <w:tc>
          <w:tcPr>
            <w:tcW w:w="649" w:type="pct"/>
            <w:tcBorders>
              <w:bottom w:val="single" w:sz="4" w:space="0" w:color="auto"/>
            </w:tcBorders>
          </w:tcPr>
          <w:p w14:paraId="348856AA"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1.17</w:t>
            </w:r>
          </w:p>
        </w:tc>
        <w:tc>
          <w:tcPr>
            <w:tcW w:w="387" w:type="pct"/>
            <w:tcBorders>
              <w:bottom w:val="single" w:sz="4" w:space="0" w:color="auto"/>
            </w:tcBorders>
          </w:tcPr>
          <w:p w14:paraId="6D717B91"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0.86</w:t>
            </w:r>
          </w:p>
        </w:tc>
        <w:tc>
          <w:tcPr>
            <w:tcW w:w="420" w:type="pct"/>
            <w:tcBorders>
              <w:bottom w:val="single" w:sz="4" w:space="0" w:color="auto"/>
            </w:tcBorders>
          </w:tcPr>
          <w:p w14:paraId="359E5247"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1.55</w:t>
            </w:r>
          </w:p>
        </w:tc>
        <w:tc>
          <w:tcPr>
            <w:tcW w:w="569" w:type="pct"/>
            <w:tcBorders>
              <w:bottom w:val="single" w:sz="4" w:space="0" w:color="auto"/>
            </w:tcBorders>
          </w:tcPr>
          <w:p w14:paraId="15C73727" w14:textId="77777777" w:rsidR="00C755A0" w:rsidRPr="00626F20" w:rsidRDefault="00C755A0" w:rsidP="00171A7B">
            <w:pPr>
              <w:pStyle w:val="NoSpacing"/>
              <w:ind w:firstLine="0"/>
              <w:contextualSpacing/>
              <w:jc w:val="right"/>
              <w:cnfStyle w:val="000000000000" w:firstRow="0" w:lastRow="0" w:firstColumn="0" w:lastColumn="0" w:oddVBand="0" w:evenVBand="0" w:oddHBand="0" w:evenHBand="0" w:firstRowFirstColumn="0" w:firstRowLastColumn="0" w:lastRowFirstColumn="0" w:lastRowLastColumn="0"/>
            </w:pPr>
            <w:r>
              <w:t>0.70</w:t>
            </w:r>
          </w:p>
        </w:tc>
      </w:tr>
    </w:tbl>
    <w:p w14:paraId="6689651F" w14:textId="77777777" w:rsidR="00C755A0" w:rsidRDefault="00C755A0" w:rsidP="00171A7B">
      <w:pPr>
        <w:spacing w:line="240" w:lineRule="auto"/>
      </w:pPr>
    </w:p>
    <w:p w14:paraId="102D8812" w14:textId="77777777" w:rsidR="00171A7B" w:rsidRDefault="00171A7B" w:rsidP="00171A7B">
      <w:pPr>
        <w:spacing w:line="240" w:lineRule="auto"/>
      </w:pPr>
    </w:p>
    <w:p w14:paraId="04F67E57" w14:textId="77777777" w:rsidR="00171A7B" w:rsidRDefault="00171A7B" w:rsidP="00171A7B">
      <w:pPr>
        <w:spacing w:line="240" w:lineRule="auto"/>
      </w:pPr>
    </w:p>
    <w:p w14:paraId="2713BA14" w14:textId="77777777" w:rsidR="00171A7B" w:rsidRDefault="00171A7B" w:rsidP="00171A7B">
      <w:pPr>
        <w:spacing w:line="240" w:lineRule="auto"/>
      </w:pPr>
    </w:p>
    <w:p w14:paraId="330469D6" w14:textId="77777777" w:rsidR="00171A7B" w:rsidRDefault="00171A7B" w:rsidP="00171A7B">
      <w:pPr>
        <w:spacing w:line="240" w:lineRule="auto"/>
      </w:pPr>
    </w:p>
    <w:p w14:paraId="509E1E78" w14:textId="77777777" w:rsidR="00A85903" w:rsidRDefault="00A85903" w:rsidP="00A85903">
      <w:pPr>
        <w:ind w:firstLine="0"/>
      </w:pPr>
      <w:r>
        <w:t xml:space="preserve">before diagnosis and probability of all-cause survival. This was true regardless of the chosen lag time or the relationship of that time to either diagnosis or biological latency (Table V). Full model </w:t>
      </w:r>
      <w:r w:rsidR="00C755A0">
        <w:t>result tables for each cancer site are shown in the appendix. Only one model result, for the association between all-cause mortality and CD score 10 years before diagnosis in people with lung cancer, was statistically significant. However, this result was inconsistent with modeled HRs at other lag times, and there was no clear biological or theoretical importance to the 10-year lag.</w:t>
      </w:r>
    </w:p>
    <w:p w14:paraId="5CCDFFD8" w14:textId="64913A79" w:rsidR="00A85903" w:rsidRDefault="00A85903" w:rsidP="00A85903">
      <w:r>
        <w:t>In each cancer site, adjusted point value HRs were inconsistent and without pattern across time. For example, point value HRs in colorectal cancer were consistent with harmful effects of increasing disadvantage when measured at diagnosis or 20 years before diagnosis; but beneficial effects of increasing disadvantage for the years in between. The adjusted hazard ratio for the effect of CD score at each lag time is plotted in Figure 4 to demonstrate the lack of a trend or pattern to the relationship. Taken together, these results are consistent with either no effect of past CD score</w:t>
      </w:r>
      <w:r w:rsidRPr="00A85903">
        <w:t xml:space="preserve"> </w:t>
      </w:r>
      <w:r>
        <w:t>on risk of death in PSID participants with a history of cancer; or with insufficient power to detect an effect in this cohort and using this approach.</w:t>
      </w:r>
    </w:p>
    <w:p w14:paraId="3FF94528" w14:textId="65DCD982" w:rsidR="00C755A0" w:rsidRDefault="00C755A0" w:rsidP="00A85903"/>
    <w:p w14:paraId="1193A2BE" w14:textId="77777777" w:rsidR="009E577E" w:rsidRDefault="00E9604D" w:rsidP="000C53F0">
      <w:pPr>
        <w:pStyle w:val="FigureLegend"/>
        <w:keepNext/>
      </w:pPr>
      <w:r>
        <w:rPr>
          <w:noProof/>
        </w:rPr>
        <w:lastRenderedPageBreak/>
        <w:drawing>
          <wp:inline distT="0" distB="0" distL="0" distR="0" wp14:anchorId="7AC8EE68" wp14:editId="05FD183D">
            <wp:extent cx="5943600" cy="4492625"/>
            <wp:effectExtent l="0" t="0" r="0" b="3175"/>
            <wp:docPr id="2392504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250449" name="Picture 239250449"/>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43600" cy="4492625"/>
                    </a:xfrm>
                    <a:prstGeom prst="rect">
                      <a:avLst/>
                    </a:prstGeom>
                  </pic:spPr>
                </pic:pic>
              </a:graphicData>
            </a:graphic>
          </wp:inline>
        </w:drawing>
      </w:r>
    </w:p>
    <w:p w14:paraId="57CFA019" w14:textId="53C3877C" w:rsidR="00A85903" w:rsidRDefault="009E577E" w:rsidP="009E577E">
      <w:pPr>
        <w:pStyle w:val="FigureLegend"/>
      </w:pPr>
      <w:bookmarkStart w:id="158" w:name="_Toc149576428"/>
      <w:r>
        <w:t xml:space="preserve">Figure </w:t>
      </w:r>
      <w:fldSimple w:instr=" SEQ Figure \* ARABIC ">
        <w:r w:rsidR="00D83E9C">
          <w:rPr>
            <w:noProof/>
          </w:rPr>
          <w:t>2</w:t>
        </w:r>
      </w:fldSimple>
      <w:r>
        <w:t>. Kaplan-Meier survival estimates stratified by mean historical concentrated disadvantage among PSID participants with each type of cancer: breast (A), prostate (B), colorectal (C), or lung (D)</w:t>
      </w:r>
      <w:bookmarkEnd w:id="158"/>
    </w:p>
    <w:p w14:paraId="30FCBB63" w14:textId="77777777" w:rsidR="00A85903" w:rsidRDefault="00A85903">
      <w:pPr>
        <w:spacing w:after="160" w:line="259" w:lineRule="auto"/>
        <w:ind w:firstLine="0"/>
        <w:rPr>
          <w:szCs w:val="24"/>
        </w:rPr>
      </w:pPr>
      <w:r>
        <w:br w:type="page"/>
      </w:r>
    </w:p>
    <w:p w14:paraId="79AEBE90" w14:textId="2831EAC1" w:rsidR="00C755A0" w:rsidRPr="00010C94" w:rsidRDefault="00C755A0" w:rsidP="00171A7B">
      <w:pPr>
        <w:pStyle w:val="TableName"/>
      </w:pPr>
      <w:bookmarkStart w:id="159" w:name="_Toc148375817"/>
      <w:r w:rsidRPr="00010C94">
        <w:lastRenderedPageBreak/>
        <w:t xml:space="preserve">Table </w:t>
      </w:r>
      <w:r w:rsidR="00171A7B">
        <w:t>V</w:t>
      </w:r>
      <w:r w:rsidRPr="00010C94">
        <w:t>. Adjusted hazard ratios for the association of Census tract-level concentrated disadvantage at different points in time and all-cause mortality among PSID participants who reported a history of breast, colorectal, lung, or prostate cancer, 2005-2019</w:t>
      </w:r>
      <w:bookmarkEnd w:id="159"/>
      <w:r w:rsidR="006C3811" w:rsidRPr="006C3811">
        <w:rPr>
          <w:vertAlign w:val="superscript"/>
        </w:rPr>
        <w:t>1</w:t>
      </w:r>
    </w:p>
    <w:tbl>
      <w:tblPr>
        <w:tblStyle w:val="PlainTable3"/>
        <w:tblW w:w="5000" w:type="pct"/>
        <w:tblLayout w:type="fixed"/>
        <w:tblLook w:val="0420" w:firstRow="1" w:lastRow="0" w:firstColumn="0" w:lastColumn="0" w:noHBand="0" w:noVBand="1"/>
      </w:tblPr>
      <w:tblGrid>
        <w:gridCol w:w="1259"/>
        <w:gridCol w:w="810"/>
        <w:gridCol w:w="810"/>
        <w:gridCol w:w="810"/>
        <w:gridCol w:w="811"/>
        <w:gridCol w:w="811"/>
        <w:gridCol w:w="811"/>
        <w:gridCol w:w="811"/>
        <w:gridCol w:w="811"/>
        <w:gridCol w:w="811"/>
        <w:gridCol w:w="805"/>
      </w:tblGrid>
      <w:tr w:rsidR="00C755A0" w:rsidRPr="008C3932" w14:paraId="5A4EE5A7" w14:textId="77777777" w:rsidTr="001A4831">
        <w:trPr>
          <w:cnfStyle w:val="100000000000" w:firstRow="1" w:lastRow="0" w:firstColumn="0" w:lastColumn="0" w:oddVBand="0" w:evenVBand="0" w:oddHBand="0" w:evenHBand="0" w:firstRowFirstColumn="0" w:firstRowLastColumn="0" w:lastRowFirstColumn="0" w:lastRowLastColumn="0"/>
          <w:trHeight w:val="292"/>
        </w:trPr>
        <w:tc>
          <w:tcPr>
            <w:tcW w:w="673" w:type="pct"/>
            <w:noWrap/>
          </w:tcPr>
          <w:p w14:paraId="3FD18516" w14:textId="77777777" w:rsidR="00C755A0" w:rsidRPr="008C3932" w:rsidRDefault="00C755A0" w:rsidP="001A4831">
            <w:pPr>
              <w:spacing w:line="240" w:lineRule="auto"/>
              <w:ind w:firstLine="0"/>
              <w:rPr>
                <w:rFonts w:eastAsia="Times New Roman" w:cs="Calibri"/>
                <w:color w:val="000000"/>
              </w:rPr>
            </w:pPr>
            <w:bookmarkStart w:id="160" w:name="_Hlk146555466"/>
          </w:p>
        </w:tc>
        <w:tc>
          <w:tcPr>
            <w:tcW w:w="4327" w:type="pct"/>
            <w:gridSpan w:val="10"/>
            <w:noWrap/>
          </w:tcPr>
          <w:p w14:paraId="63EB70AF" w14:textId="77777777" w:rsidR="00C755A0" w:rsidRPr="008C3932" w:rsidRDefault="00C755A0" w:rsidP="001A4831">
            <w:pPr>
              <w:spacing w:line="240" w:lineRule="auto"/>
              <w:ind w:firstLine="0"/>
              <w:jc w:val="center"/>
              <w:rPr>
                <w:rFonts w:eastAsia="Times New Roman" w:cs="Calibri"/>
                <w:caps w:val="0"/>
                <w:color w:val="FF0000"/>
              </w:rPr>
            </w:pPr>
            <w:r w:rsidRPr="008C3932">
              <w:rPr>
                <w:rFonts w:eastAsia="Times New Roman" w:cs="Calibri"/>
                <w:caps w:val="0"/>
                <w:color w:val="000000" w:themeColor="text1"/>
              </w:rPr>
              <w:t>Concentrated Disadvantage</w:t>
            </w:r>
          </w:p>
        </w:tc>
      </w:tr>
      <w:tr w:rsidR="00C755A0" w:rsidRPr="008C3932" w14:paraId="3EB27CD5" w14:textId="77777777" w:rsidTr="001A4831">
        <w:trPr>
          <w:cnfStyle w:val="000000100000" w:firstRow="0" w:lastRow="0" w:firstColumn="0" w:lastColumn="0" w:oddVBand="0" w:evenVBand="0" w:oddHBand="1" w:evenHBand="0" w:firstRowFirstColumn="0" w:firstRowLastColumn="0" w:lastRowFirstColumn="0" w:lastRowLastColumn="0"/>
          <w:trHeight w:val="292"/>
        </w:trPr>
        <w:tc>
          <w:tcPr>
            <w:tcW w:w="673" w:type="pct"/>
            <w:noWrap/>
            <w:hideMark/>
          </w:tcPr>
          <w:p w14:paraId="1FCD3014" w14:textId="77777777" w:rsidR="00C755A0" w:rsidRPr="008C3932" w:rsidRDefault="00C755A0" w:rsidP="001A4831">
            <w:pPr>
              <w:spacing w:line="240" w:lineRule="auto"/>
              <w:ind w:firstLine="0"/>
              <w:rPr>
                <w:rFonts w:eastAsia="Times New Roman" w:cs="Calibri"/>
                <w:color w:val="000000"/>
              </w:rPr>
            </w:pPr>
          </w:p>
        </w:tc>
        <w:tc>
          <w:tcPr>
            <w:tcW w:w="865" w:type="pct"/>
            <w:gridSpan w:val="2"/>
            <w:noWrap/>
            <w:hideMark/>
          </w:tcPr>
          <w:p w14:paraId="1DBA4523"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In year of diagnosis</w:t>
            </w:r>
          </w:p>
        </w:tc>
        <w:tc>
          <w:tcPr>
            <w:tcW w:w="865" w:type="pct"/>
            <w:gridSpan w:val="2"/>
            <w:noWrap/>
            <w:hideMark/>
          </w:tcPr>
          <w:p w14:paraId="0DFB0957"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rPr>
              <w:t>5 years before diagnosis</w:t>
            </w:r>
          </w:p>
        </w:tc>
        <w:tc>
          <w:tcPr>
            <w:tcW w:w="865" w:type="pct"/>
            <w:gridSpan w:val="2"/>
            <w:noWrap/>
            <w:hideMark/>
          </w:tcPr>
          <w:p w14:paraId="72A1F5DD"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10 years before diagnosis</w:t>
            </w:r>
          </w:p>
        </w:tc>
        <w:tc>
          <w:tcPr>
            <w:tcW w:w="865" w:type="pct"/>
            <w:gridSpan w:val="2"/>
            <w:noWrap/>
            <w:hideMark/>
          </w:tcPr>
          <w:p w14:paraId="4A622661"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rPr>
              <w:t>15 years before diagnosis</w:t>
            </w:r>
          </w:p>
        </w:tc>
        <w:tc>
          <w:tcPr>
            <w:tcW w:w="865" w:type="pct"/>
            <w:gridSpan w:val="2"/>
            <w:noWrap/>
            <w:hideMark/>
          </w:tcPr>
          <w:p w14:paraId="32674443"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20 years before diagnosis</w:t>
            </w:r>
          </w:p>
        </w:tc>
      </w:tr>
      <w:tr w:rsidR="00C755A0" w:rsidRPr="008C3932" w14:paraId="179CDEFB" w14:textId="77777777" w:rsidTr="001A4831">
        <w:trPr>
          <w:trHeight w:val="292"/>
        </w:trPr>
        <w:tc>
          <w:tcPr>
            <w:tcW w:w="673" w:type="pct"/>
            <w:noWrap/>
            <w:hideMark/>
          </w:tcPr>
          <w:p w14:paraId="606BBD96"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Cancer Site</w:t>
            </w:r>
          </w:p>
        </w:tc>
        <w:tc>
          <w:tcPr>
            <w:tcW w:w="433" w:type="pct"/>
            <w:hideMark/>
          </w:tcPr>
          <w:p w14:paraId="205504E7"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HR</w:t>
            </w:r>
          </w:p>
        </w:tc>
        <w:tc>
          <w:tcPr>
            <w:tcW w:w="433" w:type="pct"/>
            <w:hideMark/>
          </w:tcPr>
          <w:p w14:paraId="78A9CA7C"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95% CI</w:t>
            </w:r>
          </w:p>
        </w:tc>
        <w:tc>
          <w:tcPr>
            <w:tcW w:w="433" w:type="pct"/>
            <w:hideMark/>
          </w:tcPr>
          <w:p w14:paraId="24C9FC92"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HR</w:t>
            </w:r>
          </w:p>
        </w:tc>
        <w:tc>
          <w:tcPr>
            <w:tcW w:w="433" w:type="pct"/>
            <w:hideMark/>
          </w:tcPr>
          <w:p w14:paraId="73EB3AE3"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95% CI</w:t>
            </w:r>
          </w:p>
        </w:tc>
        <w:tc>
          <w:tcPr>
            <w:tcW w:w="433" w:type="pct"/>
            <w:hideMark/>
          </w:tcPr>
          <w:p w14:paraId="223F0C1B"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HR</w:t>
            </w:r>
          </w:p>
        </w:tc>
        <w:tc>
          <w:tcPr>
            <w:tcW w:w="433" w:type="pct"/>
            <w:hideMark/>
          </w:tcPr>
          <w:p w14:paraId="67C0222D"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95% CI</w:t>
            </w:r>
          </w:p>
        </w:tc>
        <w:tc>
          <w:tcPr>
            <w:tcW w:w="433" w:type="pct"/>
            <w:hideMark/>
          </w:tcPr>
          <w:p w14:paraId="50EC054B"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HR</w:t>
            </w:r>
          </w:p>
        </w:tc>
        <w:tc>
          <w:tcPr>
            <w:tcW w:w="433" w:type="pct"/>
            <w:hideMark/>
          </w:tcPr>
          <w:p w14:paraId="0993EC23"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95% CI</w:t>
            </w:r>
          </w:p>
        </w:tc>
        <w:tc>
          <w:tcPr>
            <w:tcW w:w="433" w:type="pct"/>
            <w:hideMark/>
          </w:tcPr>
          <w:p w14:paraId="0AD69EAF"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HR</w:t>
            </w:r>
          </w:p>
        </w:tc>
        <w:tc>
          <w:tcPr>
            <w:tcW w:w="433" w:type="pct"/>
            <w:hideMark/>
          </w:tcPr>
          <w:p w14:paraId="66925A3E"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95% CI</w:t>
            </w:r>
          </w:p>
        </w:tc>
      </w:tr>
      <w:tr w:rsidR="00C755A0" w:rsidRPr="008C3932" w14:paraId="3C0E128D" w14:textId="77777777" w:rsidTr="001A4831">
        <w:trPr>
          <w:cnfStyle w:val="000000100000" w:firstRow="0" w:lastRow="0" w:firstColumn="0" w:lastColumn="0" w:oddVBand="0" w:evenVBand="0" w:oddHBand="1" w:evenHBand="0" w:firstRowFirstColumn="0" w:firstRowLastColumn="0" w:lastRowFirstColumn="0" w:lastRowLastColumn="0"/>
          <w:trHeight w:val="292"/>
        </w:trPr>
        <w:tc>
          <w:tcPr>
            <w:tcW w:w="673" w:type="pct"/>
            <w:noWrap/>
            <w:hideMark/>
          </w:tcPr>
          <w:p w14:paraId="78231095"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Breast</w:t>
            </w:r>
          </w:p>
        </w:tc>
        <w:tc>
          <w:tcPr>
            <w:tcW w:w="433" w:type="pct"/>
            <w:noWrap/>
            <w:hideMark/>
          </w:tcPr>
          <w:p w14:paraId="74401651"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1.31</w:t>
            </w:r>
          </w:p>
        </w:tc>
        <w:tc>
          <w:tcPr>
            <w:tcW w:w="433" w:type="pct"/>
            <w:noWrap/>
            <w:hideMark/>
          </w:tcPr>
          <w:p w14:paraId="59A51ABC" w14:textId="77777777" w:rsidR="00C755A0" w:rsidRPr="008C3932" w:rsidRDefault="00C755A0" w:rsidP="001A4831">
            <w:pPr>
              <w:spacing w:line="240" w:lineRule="auto"/>
              <w:ind w:firstLine="0"/>
              <w:rPr>
                <w:rFonts w:eastAsia="Times New Roman" w:cs="Times New Roman"/>
              </w:rPr>
            </w:pPr>
            <w:r>
              <w:rPr>
                <w:rFonts w:eastAsia="Times New Roman" w:cs="Times New Roman"/>
              </w:rPr>
              <w:t>[0.62, 2.74]</w:t>
            </w:r>
          </w:p>
        </w:tc>
        <w:tc>
          <w:tcPr>
            <w:tcW w:w="433" w:type="pct"/>
            <w:noWrap/>
            <w:hideMark/>
          </w:tcPr>
          <w:p w14:paraId="2DFF7B22" w14:textId="77777777" w:rsidR="00C755A0" w:rsidRPr="008C3932" w:rsidRDefault="00C755A0" w:rsidP="001A4831">
            <w:pPr>
              <w:spacing w:line="240" w:lineRule="auto"/>
              <w:ind w:firstLine="0"/>
              <w:rPr>
                <w:rFonts w:eastAsia="Times New Roman" w:cs="Times New Roman"/>
              </w:rPr>
            </w:pPr>
            <w:r>
              <w:rPr>
                <w:rFonts w:eastAsia="Times New Roman" w:cs="Times New Roman"/>
              </w:rPr>
              <w:t>1.86</w:t>
            </w:r>
          </w:p>
        </w:tc>
        <w:tc>
          <w:tcPr>
            <w:tcW w:w="433" w:type="pct"/>
            <w:noWrap/>
            <w:hideMark/>
          </w:tcPr>
          <w:p w14:paraId="3D23A337" w14:textId="77777777" w:rsidR="00C755A0" w:rsidRPr="008C3932" w:rsidRDefault="00C755A0" w:rsidP="001A4831">
            <w:pPr>
              <w:spacing w:line="240" w:lineRule="auto"/>
              <w:ind w:firstLine="0"/>
              <w:rPr>
                <w:rFonts w:eastAsia="Times New Roman" w:cs="Times New Roman"/>
              </w:rPr>
            </w:pPr>
            <w:r>
              <w:rPr>
                <w:rFonts w:eastAsia="Times New Roman" w:cs="Times New Roman"/>
              </w:rPr>
              <w:t>[0.86, 4.01]</w:t>
            </w:r>
          </w:p>
        </w:tc>
        <w:tc>
          <w:tcPr>
            <w:tcW w:w="433" w:type="pct"/>
            <w:noWrap/>
            <w:hideMark/>
          </w:tcPr>
          <w:p w14:paraId="1B3942FC" w14:textId="77777777" w:rsidR="00C755A0" w:rsidRPr="008C3932" w:rsidRDefault="00C755A0" w:rsidP="001A4831">
            <w:pPr>
              <w:spacing w:line="240" w:lineRule="auto"/>
              <w:ind w:firstLine="0"/>
              <w:rPr>
                <w:rFonts w:eastAsia="Times New Roman" w:cs="Times New Roman"/>
              </w:rPr>
            </w:pPr>
            <w:r>
              <w:rPr>
                <w:rFonts w:eastAsia="Times New Roman" w:cs="Times New Roman"/>
              </w:rPr>
              <w:t>1.18</w:t>
            </w:r>
          </w:p>
        </w:tc>
        <w:tc>
          <w:tcPr>
            <w:tcW w:w="433" w:type="pct"/>
            <w:noWrap/>
            <w:hideMark/>
          </w:tcPr>
          <w:p w14:paraId="7ECB7464" w14:textId="77777777" w:rsidR="00C755A0" w:rsidRPr="008C3932" w:rsidRDefault="00C755A0" w:rsidP="001A4831">
            <w:pPr>
              <w:spacing w:line="240" w:lineRule="auto"/>
              <w:ind w:firstLine="0"/>
              <w:rPr>
                <w:rFonts w:eastAsia="Times New Roman" w:cs="Times New Roman"/>
              </w:rPr>
            </w:pPr>
            <w:r>
              <w:rPr>
                <w:rFonts w:eastAsia="Times New Roman" w:cs="Times New Roman"/>
              </w:rPr>
              <w:t>[0.55, 2.55]</w:t>
            </w:r>
          </w:p>
        </w:tc>
        <w:tc>
          <w:tcPr>
            <w:tcW w:w="433" w:type="pct"/>
            <w:noWrap/>
            <w:hideMark/>
          </w:tcPr>
          <w:p w14:paraId="5E3D1F08" w14:textId="77777777" w:rsidR="00C755A0" w:rsidRPr="008C3932" w:rsidRDefault="00C755A0" w:rsidP="001A4831">
            <w:pPr>
              <w:spacing w:line="240" w:lineRule="auto"/>
              <w:ind w:firstLine="0"/>
              <w:rPr>
                <w:rFonts w:eastAsia="Times New Roman" w:cs="Times New Roman"/>
              </w:rPr>
            </w:pPr>
            <w:r>
              <w:rPr>
                <w:rFonts w:eastAsia="Times New Roman" w:cs="Times New Roman"/>
              </w:rPr>
              <w:t>1.18</w:t>
            </w:r>
          </w:p>
        </w:tc>
        <w:tc>
          <w:tcPr>
            <w:tcW w:w="433" w:type="pct"/>
            <w:noWrap/>
            <w:hideMark/>
          </w:tcPr>
          <w:p w14:paraId="69DC55BD" w14:textId="77777777" w:rsidR="00C755A0" w:rsidRPr="008C3932" w:rsidRDefault="00C755A0" w:rsidP="001A4831">
            <w:pPr>
              <w:spacing w:line="240" w:lineRule="auto"/>
              <w:ind w:firstLine="0"/>
              <w:rPr>
                <w:rFonts w:eastAsia="Times New Roman" w:cs="Times New Roman"/>
              </w:rPr>
            </w:pPr>
            <w:r>
              <w:rPr>
                <w:rFonts w:eastAsia="Times New Roman" w:cs="Times New Roman"/>
              </w:rPr>
              <w:t>[0.61, 2.29]</w:t>
            </w:r>
          </w:p>
        </w:tc>
        <w:tc>
          <w:tcPr>
            <w:tcW w:w="433" w:type="pct"/>
            <w:noWrap/>
            <w:hideMark/>
          </w:tcPr>
          <w:p w14:paraId="44D219B6"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0.79</w:t>
            </w:r>
          </w:p>
        </w:tc>
        <w:tc>
          <w:tcPr>
            <w:tcW w:w="433" w:type="pct"/>
            <w:noWrap/>
            <w:hideMark/>
          </w:tcPr>
          <w:p w14:paraId="4B314417"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[0.34, 1.82]</w:t>
            </w:r>
          </w:p>
        </w:tc>
      </w:tr>
      <w:tr w:rsidR="00C755A0" w:rsidRPr="008C3932" w14:paraId="7104A610" w14:textId="77777777" w:rsidTr="001A4831">
        <w:trPr>
          <w:trHeight w:val="292"/>
        </w:trPr>
        <w:tc>
          <w:tcPr>
            <w:tcW w:w="673" w:type="pct"/>
            <w:noWrap/>
            <w:hideMark/>
          </w:tcPr>
          <w:p w14:paraId="02EA9028"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Colorectal</w:t>
            </w:r>
          </w:p>
        </w:tc>
        <w:tc>
          <w:tcPr>
            <w:tcW w:w="433" w:type="pct"/>
            <w:noWrap/>
            <w:hideMark/>
          </w:tcPr>
          <w:p w14:paraId="7BA8F557"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1.60</w:t>
            </w:r>
          </w:p>
        </w:tc>
        <w:tc>
          <w:tcPr>
            <w:tcW w:w="433" w:type="pct"/>
            <w:noWrap/>
            <w:hideMark/>
          </w:tcPr>
          <w:p w14:paraId="1BD90E42" w14:textId="77777777" w:rsidR="00C755A0" w:rsidRPr="008C3932" w:rsidRDefault="00C755A0" w:rsidP="001A4831">
            <w:pPr>
              <w:spacing w:line="240" w:lineRule="auto"/>
              <w:ind w:firstLine="0"/>
              <w:rPr>
                <w:rFonts w:eastAsia="Times New Roman" w:cs="Times New Roman"/>
              </w:rPr>
            </w:pPr>
            <w:r>
              <w:rPr>
                <w:rFonts w:eastAsia="Times New Roman" w:cs="Times New Roman"/>
              </w:rPr>
              <w:t>[0.55, 4.63]</w:t>
            </w:r>
          </w:p>
        </w:tc>
        <w:tc>
          <w:tcPr>
            <w:tcW w:w="433" w:type="pct"/>
            <w:noWrap/>
            <w:hideMark/>
          </w:tcPr>
          <w:p w14:paraId="7104C9EC" w14:textId="77777777" w:rsidR="00C755A0" w:rsidRPr="008C3932" w:rsidRDefault="00C755A0" w:rsidP="001A4831">
            <w:pPr>
              <w:spacing w:line="240" w:lineRule="auto"/>
              <w:ind w:firstLine="0"/>
              <w:rPr>
                <w:rFonts w:eastAsia="Times New Roman" w:cs="Times New Roman"/>
              </w:rPr>
            </w:pPr>
            <w:r>
              <w:rPr>
                <w:rFonts w:eastAsia="Times New Roman" w:cs="Times New Roman"/>
              </w:rPr>
              <w:t>0.35</w:t>
            </w:r>
          </w:p>
        </w:tc>
        <w:tc>
          <w:tcPr>
            <w:tcW w:w="433" w:type="pct"/>
            <w:noWrap/>
            <w:hideMark/>
          </w:tcPr>
          <w:p w14:paraId="5FC35BAB" w14:textId="77777777" w:rsidR="00C755A0" w:rsidRPr="008C3932" w:rsidRDefault="00C755A0" w:rsidP="001A4831">
            <w:pPr>
              <w:spacing w:line="240" w:lineRule="auto"/>
              <w:ind w:firstLine="0"/>
              <w:rPr>
                <w:rFonts w:eastAsia="Times New Roman" w:cs="Times New Roman"/>
              </w:rPr>
            </w:pPr>
            <w:r>
              <w:rPr>
                <w:rFonts w:eastAsia="Times New Roman" w:cs="Times New Roman"/>
              </w:rPr>
              <w:t>[0.11, 1.07]</w:t>
            </w:r>
          </w:p>
        </w:tc>
        <w:tc>
          <w:tcPr>
            <w:tcW w:w="433" w:type="pct"/>
            <w:noWrap/>
            <w:hideMark/>
          </w:tcPr>
          <w:p w14:paraId="64A08F8D"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0.55</w:t>
            </w:r>
          </w:p>
        </w:tc>
        <w:tc>
          <w:tcPr>
            <w:tcW w:w="433" w:type="pct"/>
            <w:noWrap/>
            <w:hideMark/>
          </w:tcPr>
          <w:p w14:paraId="7EB00BA8"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[0.16, 1.89]</w:t>
            </w:r>
          </w:p>
        </w:tc>
        <w:tc>
          <w:tcPr>
            <w:tcW w:w="433" w:type="pct"/>
            <w:noWrap/>
            <w:hideMark/>
          </w:tcPr>
          <w:p w14:paraId="42BC1A67"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0.75</w:t>
            </w:r>
          </w:p>
        </w:tc>
        <w:tc>
          <w:tcPr>
            <w:tcW w:w="433" w:type="pct"/>
            <w:noWrap/>
            <w:hideMark/>
          </w:tcPr>
          <w:p w14:paraId="454DAA53" w14:textId="77777777" w:rsidR="00C755A0" w:rsidRPr="008C3932" w:rsidRDefault="00C755A0" w:rsidP="001A4831">
            <w:pPr>
              <w:spacing w:line="240" w:lineRule="auto"/>
              <w:ind w:firstLine="0"/>
              <w:rPr>
                <w:rFonts w:eastAsia="Times New Roman" w:cs="Times New Roman"/>
              </w:rPr>
            </w:pPr>
            <w:r>
              <w:rPr>
                <w:rFonts w:eastAsia="Times New Roman" w:cs="Times New Roman"/>
              </w:rPr>
              <w:t>[0.30, 1.88]</w:t>
            </w:r>
          </w:p>
        </w:tc>
        <w:tc>
          <w:tcPr>
            <w:tcW w:w="433" w:type="pct"/>
            <w:noWrap/>
            <w:hideMark/>
          </w:tcPr>
          <w:p w14:paraId="4F8C01E0" w14:textId="77777777" w:rsidR="00C755A0" w:rsidRPr="008C3932" w:rsidRDefault="00C755A0" w:rsidP="001A4831">
            <w:pPr>
              <w:spacing w:line="240" w:lineRule="auto"/>
              <w:ind w:firstLine="0"/>
              <w:rPr>
                <w:rFonts w:eastAsia="Times New Roman" w:cs="Times New Roman"/>
              </w:rPr>
            </w:pPr>
            <w:r>
              <w:rPr>
                <w:rFonts w:eastAsia="Times New Roman" w:cs="Times New Roman"/>
              </w:rPr>
              <w:t>2.01</w:t>
            </w:r>
          </w:p>
        </w:tc>
        <w:tc>
          <w:tcPr>
            <w:tcW w:w="433" w:type="pct"/>
            <w:noWrap/>
            <w:hideMark/>
          </w:tcPr>
          <w:p w14:paraId="4930D267" w14:textId="77777777" w:rsidR="00C755A0" w:rsidRPr="008C3932" w:rsidRDefault="00C755A0" w:rsidP="001A4831">
            <w:pPr>
              <w:spacing w:line="240" w:lineRule="auto"/>
              <w:ind w:firstLine="0"/>
              <w:rPr>
                <w:rFonts w:eastAsia="Times New Roman" w:cs="Times New Roman"/>
              </w:rPr>
            </w:pPr>
            <w:r>
              <w:rPr>
                <w:rFonts w:eastAsia="Times New Roman" w:cs="Times New Roman"/>
              </w:rPr>
              <w:t>[0.66, 6.17]</w:t>
            </w:r>
          </w:p>
        </w:tc>
      </w:tr>
      <w:tr w:rsidR="00C755A0" w:rsidRPr="008C3932" w14:paraId="26506DB3" w14:textId="77777777" w:rsidTr="001A4831">
        <w:trPr>
          <w:cnfStyle w:val="000000100000" w:firstRow="0" w:lastRow="0" w:firstColumn="0" w:lastColumn="0" w:oddVBand="0" w:evenVBand="0" w:oddHBand="1" w:evenHBand="0" w:firstRowFirstColumn="0" w:firstRowLastColumn="0" w:lastRowFirstColumn="0" w:lastRowLastColumn="0"/>
          <w:trHeight w:val="292"/>
        </w:trPr>
        <w:tc>
          <w:tcPr>
            <w:tcW w:w="673" w:type="pct"/>
            <w:noWrap/>
            <w:hideMark/>
          </w:tcPr>
          <w:p w14:paraId="5A639C30"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Lung</w:t>
            </w:r>
          </w:p>
        </w:tc>
        <w:tc>
          <w:tcPr>
            <w:tcW w:w="433" w:type="pct"/>
            <w:noWrap/>
            <w:hideMark/>
          </w:tcPr>
          <w:p w14:paraId="3A6BB854"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0.99</w:t>
            </w:r>
          </w:p>
        </w:tc>
        <w:tc>
          <w:tcPr>
            <w:tcW w:w="433" w:type="pct"/>
            <w:noWrap/>
            <w:hideMark/>
          </w:tcPr>
          <w:p w14:paraId="518B2EA7" w14:textId="77777777" w:rsidR="00C755A0" w:rsidRPr="008C3932" w:rsidRDefault="00C755A0" w:rsidP="001A4831">
            <w:pPr>
              <w:spacing w:line="240" w:lineRule="auto"/>
              <w:ind w:firstLine="0"/>
              <w:rPr>
                <w:rFonts w:eastAsia="Times New Roman" w:cs="Times New Roman"/>
              </w:rPr>
            </w:pPr>
            <w:r>
              <w:rPr>
                <w:rFonts w:eastAsia="Times New Roman" w:cs="Times New Roman"/>
              </w:rPr>
              <w:t>[0.45, 2.15]</w:t>
            </w:r>
          </w:p>
        </w:tc>
        <w:tc>
          <w:tcPr>
            <w:tcW w:w="433" w:type="pct"/>
            <w:noWrap/>
            <w:hideMark/>
          </w:tcPr>
          <w:p w14:paraId="6389A916" w14:textId="77777777" w:rsidR="00C755A0" w:rsidRPr="008C3932" w:rsidRDefault="00C755A0" w:rsidP="001A4831">
            <w:pPr>
              <w:spacing w:line="240" w:lineRule="auto"/>
              <w:ind w:firstLine="0"/>
              <w:rPr>
                <w:rFonts w:eastAsia="Times New Roman" w:cs="Times New Roman"/>
              </w:rPr>
            </w:pPr>
            <w:r>
              <w:rPr>
                <w:rFonts w:eastAsia="Times New Roman" w:cs="Times New Roman"/>
              </w:rPr>
              <w:t>1.74</w:t>
            </w:r>
          </w:p>
        </w:tc>
        <w:tc>
          <w:tcPr>
            <w:tcW w:w="433" w:type="pct"/>
            <w:noWrap/>
            <w:hideMark/>
          </w:tcPr>
          <w:p w14:paraId="3328AAD4" w14:textId="77777777" w:rsidR="00C755A0" w:rsidRPr="008C3932" w:rsidRDefault="00C755A0" w:rsidP="001A4831">
            <w:pPr>
              <w:spacing w:line="240" w:lineRule="auto"/>
              <w:ind w:firstLine="0"/>
              <w:rPr>
                <w:rFonts w:eastAsia="Times New Roman" w:cs="Times New Roman"/>
              </w:rPr>
            </w:pPr>
            <w:r>
              <w:rPr>
                <w:rFonts w:eastAsia="Times New Roman" w:cs="Times New Roman"/>
              </w:rPr>
              <w:t>[0.60, 5.07]</w:t>
            </w:r>
          </w:p>
        </w:tc>
        <w:tc>
          <w:tcPr>
            <w:tcW w:w="433" w:type="pct"/>
            <w:noWrap/>
            <w:hideMark/>
          </w:tcPr>
          <w:p w14:paraId="3A2E47D4" w14:textId="6FE278CB" w:rsidR="00C755A0" w:rsidRPr="008C3932" w:rsidRDefault="00C755A0" w:rsidP="001A4831">
            <w:pPr>
              <w:spacing w:line="240" w:lineRule="auto"/>
              <w:ind w:firstLine="0"/>
              <w:rPr>
                <w:rFonts w:eastAsia="Times New Roman" w:cs="Times New Roman"/>
              </w:rPr>
            </w:pPr>
            <w:r>
              <w:rPr>
                <w:rFonts w:eastAsia="Times New Roman" w:cs="Times New Roman"/>
              </w:rPr>
              <w:t>0.25</w:t>
            </w:r>
            <w:r w:rsidR="006C3811">
              <w:rPr>
                <w:rFonts w:eastAsia="Times New Roman" w:cs="Times New Roman"/>
              </w:rPr>
              <w:t>*</w:t>
            </w:r>
          </w:p>
        </w:tc>
        <w:tc>
          <w:tcPr>
            <w:tcW w:w="433" w:type="pct"/>
            <w:noWrap/>
            <w:hideMark/>
          </w:tcPr>
          <w:p w14:paraId="1C866E6E" w14:textId="77777777" w:rsidR="00C755A0" w:rsidRPr="008C3932" w:rsidRDefault="00C755A0" w:rsidP="001A4831">
            <w:pPr>
              <w:spacing w:line="240" w:lineRule="auto"/>
              <w:ind w:firstLine="0"/>
              <w:rPr>
                <w:rFonts w:eastAsia="Times New Roman" w:cs="Times New Roman"/>
              </w:rPr>
            </w:pPr>
            <w:r>
              <w:rPr>
                <w:rFonts w:eastAsia="Times New Roman" w:cs="Times New Roman"/>
              </w:rPr>
              <w:t>[0.07, 0.90]</w:t>
            </w:r>
          </w:p>
        </w:tc>
        <w:tc>
          <w:tcPr>
            <w:tcW w:w="433" w:type="pct"/>
            <w:noWrap/>
            <w:hideMark/>
          </w:tcPr>
          <w:p w14:paraId="6C472057"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0.68</w:t>
            </w:r>
          </w:p>
        </w:tc>
        <w:tc>
          <w:tcPr>
            <w:tcW w:w="433" w:type="pct"/>
            <w:noWrap/>
            <w:hideMark/>
          </w:tcPr>
          <w:p w14:paraId="7FB09426"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[0.24, 1.97]</w:t>
            </w:r>
          </w:p>
        </w:tc>
        <w:tc>
          <w:tcPr>
            <w:tcW w:w="433" w:type="pct"/>
            <w:noWrap/>
            <w:hideMark/>
          </w:tcPr>
          <w:p w14:paraId="34308166"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1.60</w:t>
            </w:r>
          </w:p>
        </w:tc>
        <w:tc>
          <w:tcPr>
            <w:tcW w:w="433" w:type="pct"/>
            <w:noWrap/>
            <w:hideMark/>
          </w:tcPr>
          <w:p w14:paraId="43E0E8D1" w14:textId="77777777" w:rsidR="00C755A0" w:rsidRPr="008C3932" w:rsidRDefault="00C755A0" w:rsidP="001A4831">
            <w:pPr>
              <w:spacing w:line="240" w:lineRule="auto"/>
              <w:ind w:firstLine="0"/>
              <w:rPr>
                <w:rFonts w:eastAsia="Times New Roman" w:cs="Times New Roman"/>
              </w:rPr>
            </w:pPr>
            <w:r>
              <w:rPr>
                <w:rFonts w:eastAsia="Times New Roman" w:cs="Times New Roman"/>
              </w:rPr>
              <w:t>[0.61, 4.18]</w:t>
            </w:r>
          </w:p>
        </w:tc>
      </w:tr>
      <w:tr w:rsidR="00C755A0" w:rsidRPr="008C3932" w14:paraId="06C055CA" w14:textId="77777777" w:rsidTr="001A4831">
        <w:trPr>
          <w:trHeight w:val="292"/>
        </w:trPr>
        <w:tc>
          <w:tcPr>
            <w:tcW w:w="673" w:type="pct"/>
            <w:noWrap/>
            <w:hideMark/>
          </w:tcPr>
          <w:p w14:paraId="768D2259" w14:textId="77777777" w:rsidR="00C755A0" w:rsidRPr="008C3932" w:rsidRDefault="00C755A0" w:rsidP="001A4831">
            <w:pPr>
              <w:spacing w:line="240" w:lineRule="auto"/>
              <w:ind w:firstLine="0"/>
              <w:rPr>
                <w:rFonts w:eastAsia="Times New Roman" w:cs="Calibri"/>
                <w:color w:val="000000"/>
              </w:rPr>
            </w:pPr>
            <w:r w:rsidRPr="008C3932">
              <w:rPr>
                <w:rFonts w:eastAsia="Times New Roman" w:cs="Calibri"/>
                <w:color w:val="000000"/>
              </w:rPr>
              <w:t>Prostate</w:t>
            </w:r>
          </w:p>
        </w:tc>
        <w:tc>
          <w:tcPr>
            <w:tcW w:w="433" w:type="pct"/>
            <w:noWrap/>
            <w:hideMark/>
          </w:tcPr>
          <w:p w14:paraId="1F6BA4A0"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1.14</w:t>
            </w:r>
          </w:p>
        </w:tc>
        <w:tc>
          <w:tcPr>
            <w:tcW w:w="433" w:type="pct"/>
            <w:noWrap/>
            <w:hideMark/>
          </w:tcPr>
          <w:p w14:paraId="7F973E00"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[0.49, 2.65]</w:t>
            </w:r>
          </w:p>
        </w:tc>
        <w:tc>
          <w:tcPr>
            <w:tcW w:w="433" w:type="pct"/>
            <w:noWrap/>
            <w:hideMark/>
          </w:tcPr>
          <w:p w14:paraId="683288D3"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0.97</w:t>
            </w:r>
          </w:p>
        </w:tc>
        <w:tc>
          <w:tcPr>
            <w:tcW w:w="433" w:type="pct"/>
            <w:noWrap/>
            <w:hideMark/>
          </w:tcPr>
          <w:p w14:paraId="75B7E62F"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[0.42, 2.24]</w:t>
            </w:r>
          </w:p>
        </w:tc>
        <w:tc>
          <w:tcPr>
            <w:tcW w:w="433" w:type="pct"/>
            <w:noWrap/>
            <w:hideMark/>
          </w:tcPr>
          <w:p w14:paraId="2B06899E"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1.22</w:t>
            </w:r>
          </w:p>
        </w:tc>
        <w:tc>
          <w:tcPr>
            <w:tcW w:w="433" w:type="pct"/>
            <w:noWrap/>
            <w:hideMark/>
          </w:tcPr>
          <w:p w14:paraId="34DA45A5"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[0.57, 2.65]</w:t>
            </w:r>
          </w:p>
        </w:tc>
        <w:tc>
          <w:tcPr>
            <w:tcW w:w="433" w:type="pct"/>
            <w:noWrap/>
            <w:hideMark/>
          </w:tcPr>
          <w:p w14:paraId="34AE9D37"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1.81</w:t>
            </w:r>
          </w:p>
        </w:tc>
        <w:tc>
          <w:tcPr>
            <w:tcW w:w="433" w:type="pct"/>
            <w:noWrap/>
            <w:hideMark/>
          </w:tcPr>
          <w:p w14:paraId="29D20B64" w14:textId="77777777" w:rsidR="00C755A0" w:rsidRPr="008C3932" w:rsidRDefault="00C755A0" w:rsidP="001A4831">
            <w:pPr>
              <w:spacing w:line="240" w:lineRule="auto"/>
              <w:ind w:firstLine="0"/>
              <w:rPr>
                <w:rFonts w:eastAsia="Times New Roman" w:cs="Calibri"/>
                <w:color w:val="000000"/>
              </w:rPr>
            </w:pPr>
            <w:r>
              <w:rPr>
                <w:rFonts w:eastAsia="Times New Roman" w:cs="Calibri"/>
                <w:color w:val="000000"/>
              </w:rPr>
              <w:t>[0.82, 3.97]</w:t>
            </w:r>
          </w:p>
        </w:tc>
        <w:tc>
          <w:tcPr>
            <w:tcW w:w="433" w:type="pct"/>
            <w:noWrap/>
            <w:hideMark/>
          </w:tcPr>
          <w:p w14:paraId="7A0BCEF2"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1.41</w:t>
            </w:r>
          </w:p>
        </w:tc>
        <w:tc>
          <w:tcPr>
            <w:tcW w:w="433" w:type="pct"/>
            <w:noWrap/>
            <w:hideMark/>
          </w:tcPr>
          <w:p w14:paraId="320F0F07" w14:textId="77777777" w:rsidR="00C755A0" w:rsidRPr="008C3932" w:rsidRDefault="00C755A0" w:rsidP="001A4831">
            <w:pPr>
              <w:spacing w:line="240" w:lineRule="auto"/>
              <w:ind w:firstLine="0"/>
              <w:rPr>
                <w:rFonts w:eastAsia="Times New Roman" w:cs="Calibri"/>
                <w:b/>
                <w:bCs/>
                <w:color w:val="000000"/>
              </w:rPr>
            </w:pPr>
            <w:r w:rsidRPr="008C3932">
              <w:rPr>
                <w:rFonts w:eastAsia="Times New Roman" w:cs="Calibri"/>
                <w:b/>
                <w:bCs/>
                <w:color w:val="000000"/>
              </w:rPr>
              <w:t>[0.63, 3.16]</w:t>
            </w:r>
          </w:p>
        </w:tc>
      </w:tr>
    </w:tbl>
    <w:bookmarkEnd w:id="160"/>
    <w:p w14:paraId="1BA7DC7C" w14:textId="2A1EBDDE" w:rsidR="00C755A0" w:rsidRDefault="006C3811" w:rsidP="00C755A0">
      <w:pPr>
        <w:spacing w:line="240" w:lineRule="auto"/>
        <w:ind w:firstLine="0"/>
        <w:contextualSpacing/>
      </w:pPr>
      <w:r w:rsidRPr="006C3811">
        <w:rPr>
          <w:vertAlign w:val="superscript"/>
        </w:rPr>
        <w:t>1</w:t>
      </w:r>
      <w:r w:rsidR="00C755A0" w:rsidRPr="00010C94">
        <w:t xml:space="preserve">Bolded cells </w:t>
      </w:r>
      <w:r w:rsidR="00C755A0">
        <w:t>indicate model</w:t>
      </w:r>
      <w:r w:rsidR="00C755A0" w:rsidRPr="00010C94">
        <w:t xml:space="preserve"> results for the CD score lag nearest to biological latency </w:t>
      </w:r>
    </w:p>
    <w:p w14:paraId="11C23A12" w14:textId="77777777" w:rsidR="00C755A0" w:rsidRDefault="00C755A0" w:rsidP="00C755A0">
      <w:pPr>
        <w:spacing w:line="240" w:lineRule="auto"/>
        <w:ind w:firstLine="0"/>
        <w:contextualSpacing/>
      </w:pPr>
      <w:r>
        <w:t>* p &lt;0.05</w:t>
      </w:r>
    </w:p>
    <w:p w14:paraId="234AF7B4" w14:textId="77777777" w:rsidR="00171A7B" w:rsidRPr="00010C94" w:rsidRDefault="00171A7B" w:rsidP="00C755A0">
      <w:pPr>
        <w:spacing w:line="240" w:lineRule="auto"/>
        <w:ind w:firstLine="0"/>
        <w:contextualSpacing/>
      </w:pPr>
    </w:p>
    <w:p w14:paraId="633A80C8" w14:textId="77777777" w:rsidR="00C755A0" w:rsidRDefault="00C755A0" w:rsidP="00171A7B">
      <w:pPr>
        <w:spacing w:line="240" w:lineRule="auto"/>
      </w:pPr>
    </w:p>
    <w:p w14:paraId="634D982C" w14:textId="77777777" w:rsidR="00171A7B" w:rsidRDefault="00171A7B" w:rsidP="00171A7B">
      <w:pPr>
        <w:spacing w:line="240" w:lineRule="auto"/>
      </w:pPr>
    </w:p>
    <w:p w14:paraId="7E128AB7" w14:textId="77777777" w:rsidR="00171A7B" w:rsidRDefault="00171A7B" w:rsidP="00171A7B">
      <w:pPr>
        <w:spacing w:line="240" w:lineRule="auto"/>
      </w:pPr>
    </w:p>
    <w:p w14:paraId="59B6199F" w14:textId="77777777" w:rsidR="000C53F0" w:rsidRDefault="000C53F0" w:rsidP="00171A7B">
      <w:pPr>
        <w:spacing w:line="240" w:lineRule="auto"/>
      </w:pPr>
    </w:p>
    <w:p w14:paraId="349FB6A1" w14:textId="77777777" w:rsidR="00607735" w:rsidRDefault="000C53F0" w:rsidP="00607735">
      <w:r>
        <w:t>After adjustment for CD score and race in all sites, and sex in colorectal and lung cancer, lagged income was also not significantly associated with survival in any cancer group. Hazard ratios for the adjusted association between income and survival were consistent with no effect.</w:t>
      </w:r>
    </w:p>
    <w:p w14:paraId="5612A1E9" w14:textId="4845B0E2" w:rsidR="00607735" w:rsidRDefault="00607735" w:rsidP="00607735">
      <w:r>
        <w:t>Race was not significantly associated with survival in any cancer, but the specific results varied somewhat by site. Hazard ratios were consistent with increased risk of death in white participants with breast cancer (HR 1.30, 95% CI 0.60, 2.82) and lung cancer (HR 1.91, 95% CI 0.75, 4.88). For participants with colorectal cancer (HR 1.50, 95% CI 0.66, 3.43) or prostate cancer (HR 1.16, 95% CI 0.53, 2.55), survival was non-significantly poorer in Black participants. Results were generally not consistent with racial inequities in cancer mortality in the general population, where Black people are consistently disadvantaged.</w:t>
      </w:r>
    </w:p>
    <w:p w14:paraId="1D406655" w14:textId="23DA5E42" w:rsidR="000C53F0" w:rsidRDefault="000C53F0" w:rsidP="000C53F0"/>
    <w:p w14:paraId="5BA27B3E" w14:textId="77777777" w:rsidR="009E577E" w:rsidRDefault="006A2744" w:rsidP="000C53F0">
      <w:pPr>
        <w:pStyle w:val="FigureLegend"/>
        <w:keepNext/>
      </w:pPr>
      <w:r w:rsidRPr="006A2744">
        <w:rPr>
          <w:noProof/>
        </w:rPr>
        <w:lastRenderedPageBreak/>
        <w:drawing>
          <wp:inline distT="0" distB="0" distL="0" distR="0" wp14:anchorId="2FBFE79F" wp14:editId="223497E0">
            <wp:extent cx="4754563" cy="4022725"/>
            <wp:effectExtent l="0" t="0" r="8255" b="15875"/>
            <wp:docPr id="1350222654" name="Chart 1">
              <a:extLst xmlns:a="http://schemas.openxmlformats.org/drawingml/2006/main">
                <a:ext uri="{FF2B5EF4-FFF2-40B4-BE49-F238E27FC236}">
                  <a16:creationId xmlns:a16="http://schemas.microsoft.com/office/drawing/2014/main" id="{2A1FDF61-3A40-B273-D380-D746614BFB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C57156D" w14:textId="221866A4" w:rsidR="00171A7B" w:rsidRDefault="009E577E" w:rsidP="000C53F0">
      <w:pPr>
        <w:pStyle w:val="FigureLegend"/>
      </w:pPr>
      <w:bookmarkStart w:id="161" w:name="_Toc149576429"/>
      <w:r>
        <w:t xml:space="preserve">Figure </w:t>
      </w:r>
      <w:fldSimple w:instr=" SEQ Figure \* ARABIC ">
        <w:r w:rsidR="00D83E9C">
          <w:rPr>
            <w:noProof/>
          </w:rPr>
          <w:t>3</w:t>
        </w:r>
      </w:fldSimple>
      <w:r>
        <w:t>. Relationship between CD score and survival at each point in time for PSID participants with a history of breast, colorectal, lung, or prostate cancer</w:t>
      </w:r>
      <w:bookmarkEnd w:id="161"/>
    </w:p>
    <w:p w14:paraId="7361FF48" w14:textId="77777777" w:rsidR="000C53F0" w:rsidRDefault="000C53F0" w:rsidP="000C53F0">
      <w:pPr>
        <w:pStyle w:val="NoSpacing"/>
      </w:pPr>
    </w:p>
    <w:p w14:paraId="6F16952F" w14:textId="77777777" w:rsidR="000C53F0" w:rsidRDefault="000C53F0" w:rsidP="000C53F0">
      <w:pPr>
        <w:pStyle w:val="NoSpacing"/>
      </w:pPr>
    </w:p>
    <w:p w14:paraId="78E8E68B" w14:textId="77777777" w:rsidR="000C53F0" w:rsidRDefault="000C53F0" w:rsidP="000C53F0">
      <w:pPr>
        <w:pStyle w:val="NoSpacing"/>
      </w:pPr>
    </w:p>
    <w:p w14:paraId="73B18015" w14:textId="77777777" w:rsidR="000C53F0" w:rsidRDefault="000C53F0" w:rsidP="000C53F0">
      <w:pPr>
        <w:pStyle w:val="NoSpacing"/>
      </w:pPr>
    </w:p>
    <w:p w14:paraId="11415B68" w14:textId="77777777" w:rsidR="00C755A0" w:rsidRDefault="00C755A0" w:rsidP="00C755A0">
      <w:pPr>
        <w:pStyle w:val="Heading2"/>
        <w:ind w:left="0" w:firstLine="720"/>
      </w:pPr>
      <w:bookmarkStart w:id="162" w:name="_Toc145757062"/>
      <w:bookmarkStart w:id="163" w:name="_Toc145757299"/>
      <w:bookmarkStart w:id="164" w:name="_Toc145757506"/>
      <w:bookmarkStart w:id="165" w:name="_Toc148375781"/>
      <w:r>
        <w:t>Discussion</w:t>
      </w:r>
      <w:bookmarkEnd w:id="162"/>
      <w:bookmarkEnd w:id="163"/>
      <w:bookmarkEnd w:id="164"/>
      <w:bookmarkEnd w:id="165"/>
    </w:p>
    <w:p w14:paraId="135C5437" w14:textId="77777777" w:rsidR="00C755A0" w:rsidRDefault="00C755A0" w:rsidP="00C755A0">
      <w:r>
        <w:t>Concentrated disadvantage around the time of disease initiation does not predict all-cause survival in PSID participants with an adult history of breast, prostate, colorectal, or lung cancer. Both the design and procedures of the PSID, and the true mortality experience of PSID participants, likely contributed to this result. Lessons learned from this analysis may be informative to other epidemiologists seeking to leverage sociological surveys as a source of residential history data or to evaluate associations between social conditions and health outcomes.</w:t>
      </w:r>
    </w:p>
    <w:p w14:paraId="581774A1" w14:textId="7ECD885B" w:rsidR="00C755A0" w:rsidRDefault="00C755A0" w:rsidP="00C755A0">
      <w:r>
        <w:t xml:space="preserve">Despite the large sample size and long duration of the PSID as a whole, this analysis was underpowered compared to initial expectations. Original sample persons were adult heads of </w:t>
      </w:r>
      <w:r>
        <w:lastRenderedPageBreak/>
        <w:t xml:space="preserve">household or spouses in 1968, but the first cancer history questions were not asked until 1999, and cancer site information was not collected until 2005. As a result, many potential cancer cases were never ascertained in this cohort—particularly in participants who died due to any cause before 2005. Because the most detailed health information is collected from adult heads of household and spouses (termed sample persons), remote family history information was only relevant in this subgroup of PSID participants, rather than in all people who contributed data to the survey as household members. There were 26,084 individuals in the 2019 survey wave, the last conducted in the data set used for this analysis. However, only 9,694 participants were sample persons in that year </w:t>
      </w:r>
      <w:r>
        <w:fldChar w:fldCharType="begin"/>
      </w:r>
      <w:r w:rsidR="00770B11">
        <w:instrText xml:space="preserve"> ADDIN ZOTERO_ITEM CSL_CITATION {"citationID":"az5tKxpQ","properties":{"formattedCitation":"(73)","plainCitation":"(73)","noteIndex":0},"citationItems":[{"id":3369,"uris":["http://zotero.org/users/1353333/items/KYMH2NUI"],"itemData":{"id":3369,"type":"report","publisher":"Institute for Social Research, University of Michigan","title":"PSID Main Interview User Manual: Release 2021","URL":"https://psidonline.isr.umich.edu/data/Documentation/UserGuide2019.pdf","accessed":{"date-parts":[["2023",1,21]]},"issued":{"date-parts":[["2021",3]]}}}],"schema":"https://github.com/citation-style-language/schema/raw/master/csl-citation.json"} </w:instrText>
      </w:r>
      <w:r>
        <w:fldChar w:fldCharType="separate"/>
      </w:r>
      <w:r w:rsidR="00770B11" w:rsidRPr="00770B11">
        <w:t>(73)</w:t>
      </w:r>
      <w:r>
        <w:fldChar w:fldCharType="end"/>
      </w:r>
      <w:r>
        <w:t>. From 2005-20</w:t>
      </w:r>
      <w:r w:rsidR="001D3D23">
        <w:t>1</w:t>
      </w:r>
      <w:r>
        <w:t>9, 1,449 sample persons met the inclusion criteria of reporting an adult history of any non-skin cancer site; of these, 1,410 had usable geographic data to construct the CD scores. These 1,410 individuals varied further by the cancer site they reported, resulting in a relatively small number of cases available for each survival model.</w:t>
      </w:r>
      <w:r w:rsidR="00F2682F">
        <w:t xml:space="preserve"> </w:t>
      </w:r>
    </w:p>
    <w:p w14:paraId="16E23C9A" w14:textId="683C959E" w:rsidR="00C755A0" w:rsidRDefault="00C755A0" w:rsidP="00C755A0">
      <w:r>
        <w:t xml:space="preserve">The primary endpoint in this analysis was relative survival after cancer diagnosis, a time-dependent outcome. Even within the restricted datasets, few precise dates relating to PSID participants are routinely available to researchers. For example, participants report the age at which they were diagnosed with cancer and their birth and death dates are given with a month and year only. This analysis used age as the time scale in models with stratification by birth cohort. This approach avoided introducing further measurement error by estimating exact dates. It also allowed control of calendar effects. However, additional measurement error was likely introduced by recall bias among PSID participants. While a previous analysis by Zajacova et al. determined that cancer recall errors were random within the PSID cohort, the loss of power was likely meaningful given the site-specific sample sizes available for this analysis </w:t>
      </w:r>
      <w:r>
        <w:fldChar w:fldCharType="begin"/>
      </w:r>
      <w:r w:rsidR="00F85975">
        <w:instrText xml:space="preserve"> ADDIN ZOTERO_ITEM CSL_CITATION {"citationID":"AGB2TSpq","properties":{"formattedCitation":"(53)","plainCitation":"(53)","noteIndex":0},"citationItems":[{"id":1011,"uris":["http://zotero.org/users/1353333/items/WPHRIMLZ"],"itemData":{"id":1011,"type":"article-journal","abstract":"Many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B."}],"issued":{"date-parts":[["2010",12]]}}}],"schema":"https://github.com/citation-style-language/schema/raw/master/csl-citation.json"} </w:instrText>
      </w:r>
      <w:r>
        <w:fldChar w:fldCharType="separate"/>
      </w:r>
      <w:r w:rsidR="00321573" w:rsidRPr="00321573">
        <w:t>(53)</w:t>
      </w:r>
      <w:r>
        <w:fldChar w:fldCharType="end"/>
      </w:r>
      <w:r>
        <w:t>.</w:t>
      </w:r>
    </w:p>
    <w:p w14:paraId="3A3FAD91" w14:textId="0976EE8B" w:rsidR="00F2682F" w:rsidRDefault="00C755A0" w:rsidP="00C755A0">
      <w:r>
        <w:t xml:space="preserve">Multiple previous studies have evaluated the quality of health data in the PSID and its comparability to national health surveys and registries </w:t>
      </w:r>
      <w:r>
        <w:fldChar w:fldCharType="begin"/>
      </w:r>
      <w:r w:rsidR="00F85975">
        <w:instrText xml:space="preserve"> ADDIN ZOTERO_ITEM CSL_CITATION {"citationID":"t9pwRtYm","properties":{"formattedCitation":"(15,16,53)","plainCitation":"(15,16,53)","noteIndex":0},"citationItems":[{"id":1167,"uris":["http://zotero.org/users/1353333/items/3P4XKW3I"],"itemData":{"id":1167,"type":"report","collection-title":"Technical Series","event-place":"Ann Arbor, MI","language":"en","number":"17-01","page":"13","publisher":"Panel Study of Income Dynamics, University of Michigan Institute for Social Research","publisher-place":"Ann Arbor, MI","source":"Zotero","title":"Comparing Health Estimates in the PSID and NHIS, 2001-2015","author":[{"family":"Insolera","given":"Noura E"},{"family":"Freedman","given":"Vicki A"}],"issued":{"date-parts":[["2017",5,6]]}},"label":"page"},{"id":94,"uris":["http://zotero.org/users/1353333/items/JE9Z7IFF"],"itemData":{"id":94,"type":"article-journal","language":"en","page":"18","source":"Zotero","title":"An Analysis of the Quality of the Health Data in the Panel Study of Income Dynamics","author":[{"family":"Andreski","given":"Patricia"},{"family":"McGonagle","given":"Katherine"},{"family":"Schoeni","given":"Bob"}],"issued":{"date-parts":[["2009",9,15]]}},"label":"page"},{"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B."}],"issued":{"date-parts":[["2010",12]]}},"label":"page"}],"schema":"https://github.com/citation-style-language/schema/raw/master/csl-citation.json"} </w:instrText>
      </w:r>
      <w:r>
        <w:fldChar w:fldCharType="separate"/>
      </w:r>
      <w:r w:rsidR="00321573" w:rsidRPr="00321573">
        <w:t>(15,16,53)</w:t>
      </w:r>
      <w:r>
        <w:fldChar w:fldCharType="end"/>
      </w:r>
      <w:r>
        <w:t xml:space="preserve">. These analyses found that health indicators derived from the PSID were broadly comparable to those obtained from the NHIS and </w:t>
      </w:r>
      <w:r>
        <w:lastRenderedPageBreak/>
        <w:t xml:space="preserve">SEER. </w:t>
      </w:r>
      <w:r w:rsidR="00F2682F">
        <w:t>Since the cancer questions were revised in 2005, this section of the PSID questionnaire has been substantially similar to the largest and most relevant comparison survey, the NHIS.</w:t>
      </w:r>
      <w:r w:rsidR="00F22E53">
        <w:t xml:space="preserve"> Adult participants in the 2023 NHIS were asked, “Have you EVER been told by a doctor or other health professional that you had … Cancer or malignancy of any kind?”; participants who answer “yes” can report the site of the cancer </w:t>
      </w:r>
      <w:r w:rsidR="00F22E53">
        <w:fldChar w:fldCharType="begin"/>
      </w:r>
      <w:r w:rsidR="00770B11">
        <w:instrText xml:space="preserve"> ADDIN ZOTERO_ITEM CSL_CITATION {"citationID":"eCmUknf8","properties":{"formattedCitation":"(74)","plainCitation":"(74)","noteIndex":0},"citationItems":[{"id":3696,"uris":["http://zotero.org/users/1353333/items/6HGPC9DY"],"itemData":{"id":3696,"type":"document","title":"National Health Interview Survey (NHIS) Questionnaire","URL":"https://ftp.cdc.gov/pub/Health_Statistics/NCHS/Survey_Questionnaires/NHIS/2023/EnglishQuest-508.pdf","author":[{"literal":"National Center for Health Statistics"}],"accessed":{"date-parts":[["2023",9,30]]},"issued":{"date-parts":[["2023"]]}}}],"schema":"https://github.com/citation-style-language/schema/raw/master/csl-citation.json"} </w:instrText>
      </w:r>
      <w:r w:rsidR="00F22E53">
        <w:fldChar w:fldCharType="separate"/>
      </w:r>
      <w:r w:rsidR="00770B11" w:rsidRPr="00770B11">
        <w:t>(74)</w:t>
      </w:r>
      <w:r w:rsidR="00F22E53">
        <w:fldChar w:fldCharType="end"/>
      </w:r>
      <w:r w:rsidR="00F22E53">
        <w:t xml:space="preserve">. The wording of this NHIS question similar in 1999, when a more limited cancer question was added to the PSID. Since 2005, the main difference between the cancer history data collected in the NHIS and PSID is in the number of cancer sites recorded. In 1999, the PSID recorded self-reports of non-skin cancers. In 2005, the updated questions collected structured data on 10 cancer sites. In 2013, the questions were updated again and recorded 13 cancer sites. The NHIS, a larger and health focused survey, has collected structured data on history of cancer in 29 sites since at least 1999 </w:t>
      </w:r>
      <w:r w:rsidR="00F22E53">
        <w:fldChar w:fldCharType="begin"/>
      </w:r>
      <w:r w:rsidR="00770B11">
        <w:instrText xml:space="preserve"> ADDIN ZOTERO_ITEM CSL_CITATION {"citationID":"mMVy8Yle","properties":{"formattedCitation":"(75)","plainCitation":"(75)","noteIndex":0},"citationItems":[{"id":3698,"uris":["http://zotero.org/users/1353333/items/GZNF4N7S"],"itemData":{"id":3698,"type":"document","title":"National Health Interview Survey (NHIS) Questionnaire","URL":"https://ftp.cdc.gov/pub/Health_Statistics/NCHS/Survey_Questionnaires/NHIS/1999/QSAMADLT.pdf","author":[{"literal":"National Center for Health Statistics"}],"accessed":{"date-parts":[["2023",9,30]]},"issued":{"date-parts":[["1999"]]}}}],"schema":"https://github.com/citation-style-language/schema/raw/master/csl-citation.json"} </w:instrText>
      </w:r>
      <w:r w:rsidR="00F22E53">
        <w:fldChar w:fldCharType="separate"/>
      </w:r>
      <w:r w:rsidR="00770B11" w:rsidRPr="00770B11">
        <w:t>(75)</w:t>
      </w:r>
      <w:r w:rsidR="00F22E53">
        <w:fldChar w:fldCharType="end"/>
      </w:r>
      <w:r w:rsidR="00F22E53">
        <w:t>. The NHIS and PSID are alike in asking participants the age at which their cancer was diagnosed. The ability to evaluate the consistency of self-reported age at diagnosis may be regarded as a strength of the PSID’s longitudinal design.</w:t>
      </w:r>
      <w:r w:rsidR="003503F6">
        <w:t xml:space="preserve"> Researchers planning to use survey data to study cancer outcomes should consider that these questions elicit information on lifetime prevalence of cancers diagnosed in adults. The decision to use self-reported age at diagnosis to estimate cancer occurrence rests on assumptions of accuracy that may not be testable in cross-sectional studies.</w:t>
      </w:r>
    </w:p>
    <w:p w14:paraId="003B99F2" w14:textId="2C61AD3C" w:rsidR="00C755A0" w:rsidRDefault="00C755A0" w:rsidP="00C755A0">
      <w:r>
        <w:t xml:space="preserve">However, some relevant patterns in the PSID sample have not been fully explained. Even after weighting, PSID sample persons are significantly more likely than NHIS participants to report that they have limited ability to work (18-20% of PSID participants vs. 11-12% of NHIS participants) </w:t>
      </w:r>
      <w:r>
        <w:fldChar w:fldCharType="begin"/>
      </w:r>
      <w:r w:rsidR="00F85975">
        <w:instrText xml:space="preserve"> ADDIN ZOTERO_ITEM CSL_CITATION {"citationID":"JMNfwtqj","properties":{"formattedCitation":"(15)","plainCitation":"(15)","noteIndex":0},"citationItems":[{"id":1167,"uris":["http://zotero.org/users/1353333/items/3P4XKW3I"],"itemData":{"id":1167,"type":"report","collection-title":"Technical Series","event-place":"Ann Arbor, MI","language":"en","number":"17-01","page":"13","publisher":"Panel Study of Income Dynamics, University of Michigan Institute for Social Research","publisher-place":"Ann Arbor, MI","source":"Zotero","title":"Comparing Health Estimates in the PSID and NHIS, 2001-2015","author":[{"family":"Insolera","given":"Noura E"},{"family":"Freedman","given":"Vicki A"}],"issued":{"date-parts":[["2017",5,6]]}}}],"schema":"https://github.com/citation-style-language/schema/raw/master/csl-citation.json"} </w:instrText>
      </w:r>
      <w:r>
        <w:fldChar w:fldCharType="separate"/>
      </w:r>
      <w:r w:rsidR="00321573" w:rsidRPr="00321573">
        <w:t>(15)</w:t>
      </w:r>
      <w:r>
        <w:fldChar w:fldCharType="end"/>
      </w:r>
      <w:r>
        <w:t xml:space="preserve">. In an analysis of the 1999-2005 survey waves, Zajacova, et al. found that all-site cancer prevalence was gradually increasing in the PSID sample even after weighting </w:t>
      </w:r>
      <w:r>
        <w:fldChar w:fldCharType="begin"/>
      </w:r>
      <w:r w:rsidR="00F85975">
        <w:instrText xml:space="preserve"> ADDIN ZOTERO_ITEM CSL_CITATION {"citationID":"eKR8R3qb","properties":{"formattedCitation":"(53)","plainCitation":"(53)","noteIndex":0},"citationItems":[{"id":1011,"uris":["http://zotero.org/users/1353333/items/WPHRIMLZ"],"itemData":{"id":1011,"type":"article-journal","abstract":"Many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B."}],"issued":{"date-parts":[["2010",12]]}}}],"schema":"https://github.com/citation-style-language/schema/raw/master/csl-citation.json"} </w:instrText>
      </w:r>
      <w:r>
        <w:fldChar w:fldCharType="separate"/>
      </w:r>
      <w:r w:rsidR="00321573" w:rsidRPr="00321573">
        <w:t>(53)</w:t>
      </w:r>
      <w:r>
        <w:fldChar w:fldCharType="end"/>
      </w:r>
      <w:r>
        <w:t xml:space="preserve">. The reason for this pattern remains unclear. However, it is consistent with the finding in this study that Black PSID participants with cancer were not at greater risk of death compared to their white counterparts. Because of the requirement that residential histories be available, people who met </w:t>
      </w:r>
      <w:r>
        <w:lastRenderedPageBreak/>
        <w:t>the inclusion criteria for this study were long-term participants by definition. This raises the possibility of a healthy participant bias that could also have influenced the results. If PSID participants are living longer with chronic illnesses or activity limitations compared to the general population, and racial survival disparities are reduced or absent, this could explain the gradually increasing prevalence of cancer in this cohort.</w:t>
      </w:r>
    </w:p>
    <w:p w14:paraId="098D7CA9" w14:textId="24D8546C" w:rsidR="00C755A0" w:rsidRDefault="00C755A0" w:rsidP="00C755A0">
      <w:r>
        <w:t xml:space="preserve">Finally, the approach taken in this study—focused on a single measure of neighborhood conditions, but agnostic to place—may not be the best suited to understand the hypothesized relationship in which exposure to segregation might influence survival with cancer. Segregation has been described as a fundamental cause of health inequities through its influence on access to resources </w:t>
      </w:r>
      <w:r>
        <w:fldChar w:fldCharType="begin"/>
      </w:r>
      <w:r w:rsidR="00F85975">
        <w:instrText xml:space="preserve"> ADDIN ZOTERO_ITEM CSL_CITATION {"citationID":"eEvSOVmO","properties":{"formattedCitation":"(37)","plainCitation":"(37)","noteIndex":0},"citationItems":[{"id":86,"uris":["http://zotero.org/users/1353333/items/TP64RD2L"],"itemData":{"id":86,"type":"article-journal","container-title":"Public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R"},{"family":"Collins","given":"Chiquita"}],"issued":{"date-parts":[["2001"]]}}}],"schema":"https://github.com/citation-style-language/schema/raw/master/csl-citation.json"} </w:instrText>
      </w:r>
      <w:r>
        <w:fldChar w:fldCharType="separate"/>
      </w:r>
      <w:r w:rsidR="00321573" w:rsidRPr="00321573">
        <w:t>(37)</w:t>
      </w:r>
      <w:r>
        <w:fldChar w:fldCharType="end"/>
      </w:r>
      <w:r>
        <w:t xml:space="preserve">. This relationship is supported by evidence that access to relevant resources, especially health care, is associated with cancer outcomes and partially accounts for outcome disparities </w:t>
      </w:r>
      <w:r>
        <w:fldChar w:fldCharType="begin"/>
      </w:r>
      <w:r w:rsidR="00770B11">
        <w:instrText xml:space="preserve"> ADDIN ZOTERO_ITEM CSL_CITATION {"citationID":"DAzNMHeM","properties":{"formattedCitation":"(5,76,77)","plainCitation":"(5,76,77)","noteIndex":0},"citationItems":[{"id":53,"uris":["http://zotero.org/users/1353333/items/A6N7P9JY"],"itemData":{"id":53,"type":"article-journal","abstract":"BACKGROUND: Spatial access to primary care has been associated with late-stage and fatal breast cancer, but less is known about its relation to outcomes of other screening-preventable cancers such as colorectal cancer. This population-based retrospective cohort study examined whether spatial access to primary care providers associates with colorectal cancer-specific survival.\nMETHODS: Approximately 26 600 incident colorectal cancers diagnosed between 2000 and 2008 in adults residing in Cook County, Illinois were identified through the state cancer registry and georeferenced to the census tract of residence at diagnosis. An enhanced two-step floating catchment area method measured tract-level access to primary care physicians (PCPs) in the year of diagnosis using practice locations obtained from the American Medical Association. Vital status and underlying cause of death were determined using the National Death Index. Fine-Gray proportional subdistribution hazard models analyzed the association between tract-level PCP access scores and colorectal cancer-specific survival after accounting for tract-level socioeconomic status, case demographics, tumor characteristics, and other factors.\nRESULTS: Increased tract-level access to PCPs was associated with a lower risk of death from colorectal cancer (hazard ratio [HR], 95% confidence interval [CI]) = 0.87 [0.79, 0.96], P = .008, highest vs lowest quintile), especially among persons diagnosed with regional-stage tumors (HR, 95% CI = 0.80 [0.69, 0.93], P = .004, highest vs lowest quintile).\nCONCLUSIONS: Spatial access to primary care providers is a predictor of colorectal cancer-specific survival in Cook County, Illinois. Future research is needed to determine which areas within the cancer care continuum are most affected by spatial accessibility to primary care such as referral for screening, accessibility of screening and diagnostic testing, referral for treatment, and access to appropriate survivorship-related care.","container-title":"Cancer Medicine","DOI":"10.1002/cam4.2957","ISSN":"2045-7634","issue":"9","journalAbbreviation":"Cancer Med","language":"eng","note":"PMID: 32130791\nPMCID: PMC7196057","page":"3211-3223","source":"PubMed","title":"Spatial access to primary care providers and colorectal cancer-specific survival in Cook County, Illinois","volume":"9","author":[{"family":"Freeman","given":"Vincent L."},{"family":"Naylor","given":"Keith B."},{"family":"Boylan","given":"Emma E."},{"family":"Booth","given":"Benjamin J."},{"family":"Pugach","given":"Oksana"},{"family":"Barrett","given":"Richard E."},{"family":"Campbell","given":"Richard T."},{"family":"McLafferty","given":"Sara L."}],"issued":{"date-parts":[["2020",5]]}},"label":"page"},{"id":699,"uris":["http://zotero.org/users/1353333/items/HHFDUA2C"],"itemData":{"id":699,"type":"article-journal","abstract":"This paper reports a study examining the association between colorectal cancer (CRC) survival and access to healthcare in Texas using data from the Texas cancer registry. We geo-referenced the data to the census tract level and used an enhanced 2-step floating catchment area method and factor analysis to estimate people's spatial and non-spatial access to healthcare. In addition, Cox proportional hazard regression was employed to assess the influence of different factors on CRC survival, and a spatial scan statistic was used to investigate the geographic disparity of CRC survival and the influence of access to healthcare. The analyses revealed that Hispanics, non-Hispanic blacks, and residents from several regions in Texas were more likely to die from CRC than others. Disadvantaged population groups based on factors rather than spatial access had an increased risk of CRC-specific mortality. Spatial access to oncologists has a significant association with CRC survival in non-urban areas but not in urban areas. Geographic disparities of CRC survival were largely influenced by factors rather than spatial access to healthcare.","container-title":"Health &amp; Place","DOI":"10.1016/j.healthplace.2011.10.007","ISSN":"1353-8292","issue":"2","journalAbbreviation":"Health &amp; Place","page":"321-329","source":"ScienceDirect","title":"Access to healthcare and disparities in colorectal cancer survival in Texas","volume":"18","author":[{"family":"Wan","given":"Neng"},{"family":"Zhan","given":"F. Benjamin"},{"family":"Lu","given":"Yongmei"},{"family":"Tiefenbacher","given":"John P."}],"issued":{"date-parts":[["2012",3]]}},"label":"page"},{"id":408,"uris":["http://zotero.org/users/1353333/items/E6BNMES9"],"itemData":{"id":408,"type":"article-journal","abstract":"The variations of breast cancer mortality rates from place to place reflect both underlying differences in breast cancer prevalence and differences in diagnosis and treatment that affect the risk of death. This article examines the role of access to health care in explaining the variation of late-stage diagnosis of breast cancer. We use cancer registry data for the state of Illinois by zip code to investigate spatial variation in late diagnosis. Geographic information systems and spatial analysis methods are used to create detailed measures of spatial access to health care such as convenience of visiting primary care physicians and travel time from the nearest mammography facility. The effects of spatial access, in combination with the influences of socioeconomic factors, on late-stage breast cancer diagnosis are assessed using statistical methods. The results suggest that for breast cancer, poor geographical access to primary health care significantly increases the risk of late diagnosis for persons living outside the city of Chicago. Disadvantaged population groups including those with low income and racial and ethnic minorities tend to experience high rates of late diagnosis. In Illinois, poor spatial access to primary health care is more strongly associated with late diagnosis than is spatial access to mammography. This suggests the importance of primary care physicians as gatekeepers in early breast cancer detection.","container-title":"The Professional geographer : the journal of the Association of American Geographers","DOI":"10.1080/00330120701724087","ISSN":"0033-0124","issue":"1","journalAbbreviation":"Prof Geogr","note":"PMID: 18458760\nPMCID: PMC2367325","page":"54-69","source":"PubMed Central","title":"Late-Stage Breast Cancer Diagnosis and Health Care Access in Illinois","volume":"60","author":[{"family":"Wang","given":"Fahui"},{"family":"McLafferty","given":"Sara"},{"family":"Escamilla","given":"Veronica"},{"family":"Luo","given":"Lan"}],"issued":{"date-parts":[["2008",2]]}},"label":"page"}],"schema":"https://github.com/citation-style-language/schema/raw/master/csl-citation.json"} </w:instrText>
      </w:r>
      <w:r>
        <w:fldChar w:fldCharType="separate"/>
      </w:r>
      <w:r w:rsidR="00770B11" w:rsidRPr="00770B11">
        <w:t>(5,76,77)</w:t>
      </w:r>
      <w:r>
        <w:fldChar w:fldCharType="end"/>
      </w:r>
      <w:r>
        <w:t xml:space="preserve">. Evidence also supports a relationship between concentrated disadvantage and cancer disparities </w:t>
      </w:r>
      <w:r>
        <w:fldChar w:fldCharType="begin"/>
      </w:r>
      <w:r w:rsidR="00F85975">
        <w:instrText xml:space="preserve"> ADDIN ZOTERO_ITEM CSL_CITATION {"citationID":"Z03hEmdz","properties":{"formattedCitation":"(17,18)","plainCitation":"(17,18)","noteIndex":0},"citationItems":[{"id":1166,"uris":["http://zotero.org/users/1353333/items/9696ULHB"],"itemData":{"id":1166,"type":"article-journal","abstract":"This paper examines the effect of neighborhood disadvantage on racial disparities in ovarian cancer-specific survival. Despite treatment advances for ovarian cancer, survival remains shorter for African-American compared to White women. Neighborhood disadvantage is implicated in racial disparities across a variety of health outcomes and may contribute to racial disparities in ovarian cancer-specific survival. Data were obtained from 581 women (100 African-American and 481 White) diagnosed with epithelial ovarian cancer between June 1, 1994, and December 31, 1998 in Cook County, Illinois, which includes the city of Chicago. Neighborhood disadvantage score at the time of diagnosis was calculated for each woman based on Browning and Cagney’s index of concentrated disadvantage. Cox proportional hazard models measured the association of self-identified African-American race with ovarian cancer-specific survival after adjusting for age, tumor characteristics, surgical debulking, and neighborhood disadvantage. There was a statistically significant negative association (-0.645) between ovarian cancer-specific survival and neighborhood disadvantage (p = 0.008). After adjusting for age and tumor characteristics, African-American women were more likely than Whites to die of ovarian cancer (HR = 1.59, p = 0.003). After accounting for neighborhood disadvantage, this risk was attenuated (HR = 1.32, p = 0.10). These findings demonstrate that neighborhood disadvantage is associated with ovarian cancer-specific survival and may contribute to the racial disparity in survival.","container-title":"Frontiers in Public Health","DOI":"10.3389/fpubh.2015.00008","ISSN":"2296-2565","journalAbbreviation":"Front. Public Health","language":"English","note":"https://www.frontiersin.org/articles/10.3389/fpubh.2015.00008/full","source":"Frontiers","title":"The Effect of Neighborhood Disadvantage on the Racial Disparity in Ovarian Cancer-Specific Survival in a Large Hospital-Based Study in Cook County, Illinois","volume":"3","author":[{"family":"Peterson","given":"Caryn E."},{"family":"Rauscher","given":"Garth H."},{"family":"Johnson","given":"Timothy P."},{"family":"Kirschner","given":"Carolyn V."},{"family":"Freels","given":"Sally"},{"family":"Barrett","given":"Richard E."},{"family":"Kim","given":"Seijeoung"},{"family":"Fitzgibbon","given":"Marian L."},{"family":"Joslin","given":"Charlotte E."},{"family":"Davis","given":"Faith G."}],"accessed":{"date-parts":[["2019",12,6]]},"issued":{"date-parts":[["2015"]]}},"label":"page"},{"id":1017,"uris":["http://zotero.org/users/1353333/items/ZN9REB3H"],"itemData":{"id":1017,"type":"article-journal","abstract":"BACKGROUND: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B."}],"issued":{"date-parts":[["2011",10]]}},"label":"page"}],"schema":"https://github.com/citation-style-language/schema/raw/master/csl-citation.json"} </w:instrText>
      </w:r>
      <w:r>
        <w:fldChar w:fldCharType="separate"/>
      </w:r>
      <w:r w:rsidR="00321573" w:rsidRPr="00321573">
        <w:t>(17,18)</w:t>
      </w:r>
      <w:r>
        <w:fldChar w:fldCharType="end"/>
      </w:r>
      <w:r>
        <w:t xml:space="preserve">. However, geographic patterns of residential segregation, and the specific policies used to enforce it, vary by jurisdiction, with different practical effects on access to care </w:t>
      </w:r>
      <w:r>
        <w:fldChar w:fldCharType="begin"/>
      </w:r>
      <w:r w:rsidR="00770B11">
        <w:instrText xml:space="preserve"> ADDIN ZOTERO_ITEM CSL_CITATION {"citationID":"ZgikpUQg","properties":{"formattedCitation":"(2,78\\uc0\\u8211{}80)","plainCitation":"(2,78–80)","noteIndex":0},"citationItems":[{"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J."}],"issued":{"date-parts":[["2016",12,30]]}},"label":"page"},{"id":3224,"uris":["http://zotero.org/users/1353333/items/GJXSIBSU"],"itemData":{"id":3224,"type":"article-journal","abstract":"A recent surge of interest in identifying the health effects of structural racism has coincided with the ongoing attention to neighborhood effects in both epidemiology and sociology. Mindful of these currents in the literature, it makes sense that we are seeing an emergent tendency in health disparities research to operationalize structural racism as either neighborhood disadvantage or racial residential segregation. This review essay synthesizes findings on the relevance of neighborhood disadvantage and residential segregation to the study of structural racism and health. It then draws on recent literature to propose four lessons for moving beyond traditional neighborhood effects approaches in the study of structural racism and health. These lessons are (1) to shift the focus of research from census tracts to theoretically meaningful units of analysis, (2) to leverage historic and geographic variation in race relations, (3) to combine data from multiple sources, and (4) to challenge normative framing that aims to explain away racial health disparities without discussing racism or racial hierarchy. The author concludes that research on the health effects of structural racism should go beyond traditional neighborhood effects approaches if it is to guide intervention to reduce racial and ethnic health disparities.","container-title":"Journal of Racial and Ethnic Health Disparities","DOI":"10.1007/s40615-017-0378-5","ISSN":"2196-8837","issue":"2","journalAbbreviation":"J. Racial and Ethnic Health Disparities","language":"en","page":"357-365","source":"Springer Link","title":"Neighborhood Disadvantage, Residential Segregation, and Beyond—Lessons for Studying Structural Racism and Health","volume":"5","author":[{"family":"Riley","given":"Alicia R."}],"issued":{"date-parts":[["2018",4,1]]}},"label":"page"},{"id":986,"uris":["http://zotero.org/users/1353333/items/4B7KZKR9"],"itemData":{"id":986,"type":"article-journal","abstract":"The usefulness of gravity-based spatial access models is limited because of the uncertainty introduced by the range of values of the impedance coefficient. To solve this problem, this paper proposes the concept of spatial access ratio (SPAR) derived from the enhanced 2-step floating catchment area (E2SFCA) method — a recent extension of the gravity model — to assess potential spatial access. First, a sensitivity assessment is conducted to verify the effectiveness of SPAR and its advantages in overcoming the uncertainty problem. Then, the E2SFCA method and the shortest travel time method are employed to measure potential spatial access to colorectal cancer (CRC) prevention and treatment services in Texas based on data at the census tract level. The socio-demographic and geographic distributions of potential spatial access to CRC services are also examined. The sensitivity assessment reveals substantial fluctuations in the values of the spatial access index calculated directly by the E2SFCA method under different values of the impedance coefficient. However, the values of SPAR remain stable under different values of the coefficient. A comparative analysis indicates that potential spatial access to primary care physicians (PCPs), CRC screening facilities, and oncologists varied among different racial/ethnic and socioeconomic population groups as well as in different geographic regions in Texas. Non-Hispanic blacks, Asians, and people in affluent areas had a geographical advantage in accessing CRC services than other groups. The urban/rural difference was more obvious and serious than those of different racial/ethnic groups and groups with different socio-economic statuses, as metropolitan residents had more than three times the potential spatial access than isolated rural residents.","container-title":"Applied Geography","DOI":"10.1016/j.apgeog.2011.05.001","ISSN":"0143-6228","issue":"2","journalAbbreviation":"Applied Geography","page":"291-299","source":"ScienceDirect","title":"A relative spatial access assessment approach for analyzing potential spatial access to colorectal cancer services in Texas","volume":"32","author":[{"family":"Wan","given":"Neng"},{"family":"Zhan","given":"F. Benjamin"},{"family":"Zou","given":"Bin"},{"family":"Chow","given":"Edwin"}],"issued":{"date-parts":[["2012",3,1]]}},"label":"page"},{"id":407,"uris":["http://zotero.org/users/1353333/items/72Q8TDW6"],"itemData":{"id":407,"type":"article-journal","abstract":"Rural – urban inequalities in health and access to health care have long been of concern in health-policy formulation. Understanding these inequalities is critically important in efforts to plan a more effective geographical distribution of public health resources and programs. Socially and ethnically diverse populations are likely to exhibit different rural – urban gradients in health and well-being because of their varying experiences of place environments, yet little is known about the interplay between social and spatial inequalities. Using data from the Illinois State Cancer Registry, we investigate rural – urban inequalities in late-stage breast cancer diagnosis both for the overall population and for African-Americans, and the impacts of socioeconomic deprivation and spatial access to health care. Changes over time are analyzed from 1988 – 92 to 1998 – 2002, periods of heightened breast cancer awareness and increased access to screening. In both time periods, the risk of late-stage diagnosis is highest among patients living in the most urbanized areas, an indication of urban disadvantage. Multilevel modeling results indicate that rural – urban inequalities in risk are associated with differences in the demographic characteristics of area populations and differences in the social and spatial characteristics of the places in which they live. For African-American breast cancer patients, the rural – urban gradient is reversed, with higher risks among patients living outside the city of Chicago, suggesting a distinct set of health-related risks and place experiences that inhibit early breast cancer detection. Findings emphasize the need for combining spatial and social targeting in locating cancer prevention and treatment programs.","container-title":"Environment and planning. B, Planning &amp; design","ISSN":"0265-8135","issue":"4","journalAbbreviation":"Environ Plann B Plann Des","note":"PMID: 23335830\nPMCID: PMC3547633","page":"724-740","source":"PubMed Central","title":"Rural – urban inequalities in late-stage breast cancer: spatial and social dimensions of risk and access","title-short":"Rural – urban inequalities in late-stage breast cancer","volume":"38","author":[{"family":"McLafferty","given":"Sara"},{"family":"Wang","given":"Fahui"},{"family":"Luo","given":"Lan"},{"family":"Butler","given":"Jared"}],"issued":{"date-parts":[["2011"]]}},"label":"page"}],"schema":"https://github.com/citation-style-language/schema/raw/master/csl-citation.json"} </w:instrText>
      </w:r>
      <w:r>
        <w:fldChar w:fldCharType="separate"/>
      </w:r>
      <w:r w:rsidR="00770B11" w:rsidRPr="00770B11">
        <w:rPr>
          <w:rFonts w:cs="Times New Roman"/>
          <w:szCs w:val="24"/>
        </w:rPr>
        <w:t>(2,78–80)</w:t>
      </w:r>
      <w:r>
        <w:fldChar w:fldCharType="end"/>
      </w:r>
      <w:r>
        <w:t xml:space="preserve">. Researchers interested in capturing the health effects of racial segregation may need to limit their studies to specific geographic areas at the time points of </w:t>
      </w:r>
      <w:r w:rsidR="005A03FF">
        <w:t>interest and</w:t>
      </w:r>
      <w:r>
        <w:t xml:space="preserve"> accept the resulting limitations on the types of residential histories represented in their studies. The interpretation and relevance of concentrated disadvantage is also likely to vary over both space and time. For example, the negative associations, if any, of living in a female-headed household were very different in Chicago in the 1990s than in a national study conducted in 2022 </w:t>
      </w:r>
      <w:r>
        <w:fldChar w:fldCharType="begin"/>
      </w:r>
      <w:r w:rsidR="00F85975">
        <w:instrText xml:space="preserve"> ADDIN ZOTERO_ITEM CSL_CITATION {"citationID":"BEBiVKpa","properties":{"formattedCitation":"(10)","plainCitation":"(10)","noteIndex":0},"citationItems":[{"id":192,"uris":["http://zotero.org/users/1353333/items/STVKBBZB"],"itemData":{"id":192,"type":"article-journal","abstract":"Our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A."}],"issued":{"date-parts":[["2002",12]]}}}],"schema":"https://github.com/citation-style-language/schema/raw/master/csl-citation.json"} </w:instrText>
      </w:r>
      <w:r>
        <w:fldChar w:fldCharType="separate"/>
      </w:r>
      <w:r w:rsidR="00321573" w:rsidRPr="00321573">
        <w:t>(10)</w:t>
      </w:r>
      <w:r>
        <w:fldChar w:fldCharType="end"/>
      </w:r>
      <w:r>
        <w:t xml:space="preserve">. Even for components with more enduring relevance, the meaning of a specific unemployment rate or rate of educational attainment depends on the economy and norms of the region. To be interpreted as a consequence of segregation, neighborhood concentrated disadvantage must be able to be evaluated relative to nearby neighborhoods, not to the entire country. Segregation and its consequences may also occur in metropolitan regions, crossing jurisdictional boundaries. They should be thought of as </w:t>
      </w:r>
      <w:r>
        <w:lastRenderedPageBreak/>
        <w:t xml:space="preserve">scale dependent, and measured in geographic units that are relevant to both local patterns of disparity and potential policy solutions </w:t>
      </w:r>
      <w:r>
        <w:fldChar w:fldCharType="begin"/>
      </w:r>
      <w:r w:rsidR="00770B11">
        <w:instrText xml:space="preserve"> ADDIN ZOTERO_ITEM CSL_CITATION {"citationID":"Ha9vtQwe","properties":{"formattedCitation":"(78)","plainCitation":"(78)","noteIndex":0},"citationItems":[{"id":3224,"uris":["http://zotero.org/users/1353333/items/GJXSIBSU"],"itemData":{"id":3224,"type":"article-journal","abstract":"A recent surge of interest in identifying the health effects of structural racism has coincided with the ongoing attention to neighborhood effects in both epidemiology and sociology. Mindful of these currents in the literature, it makes sense that we are seeing an emergent tendency in health disparities research to operationalize structural racism as either neighborhood disadvantage or racial residential segregation. This review essay synthesizes findings on the relevance of neighborhood disadvantage and residential segregation to the study of structural racism and health. It then draws on recent literature to propose four lessons for moving beyond traditional neighborhood effects approaches in the study of structural racism and health. These lessons are (1) to shift the focus of research from census tracts to theoretically meaningful units of analysis, (2) to leverage historic and geographic variation in race relations, (3) to combine data from multiple sources, and (4) to challenge normative framing that aims to explain away racial health disparities without discussing racism or racial hierarchy. The author concludes that research on the health effects of structural racism should go beyond traditional neighborhood effects approaches if it is to guide intervention to reduce racial and ethnic health disparities.","container-title":"Journal of Racial and Ethnic Health Disparities","DOI":"10.1007/s40615-017-0378-5","ISSN":"2196-8837","issue":"2","journalAbbreviation":"J. Racial and Ethnic Health Disparities","language":"en","page":"357-365","source":"Springer Link","title":"Neighborhood Disadvantage, Residential Segregation, and Beyond—Lessons for Studying Structural Racism and Health","volume":"5","author":[{"family":"Riley","given":"Alicia R."}],"issued":{"date-parts":[["2018",4,1]]}}}],"schema":"https://github.com/citation-style-language/schema/raw/master/csl-citation.json"} </w:instrText>
      </w:r>
      <w:r>
        <w:fldChar w:fldCharType="separate"/>
      </w:r>
      <w:r w:rsidR="00770B11" w:rsidRPr="00770B11">
        <w:t>(78)</w:t>
      </w:r>
      <w:r>
        <w:fldChar w:fldCharType="end"/>
      </w:r>
      <w:r>
        <w:t>.</w:t>
      </w:r>
    </w:p>
    <w:p w14:paraId="13F4052A" w14:textId="44AC1C1C" w:rsidR="00C755A0" w:rsidRDefault="00C755A0" w:rsidP="00C755A0">
      <w:r>
        <w:t xml:space="preserve">Lessons learned from this study can support other health research using the PSID, particularly of conditions and behaviors that are more common, have shorter latency, or are more commonly measured by self-report. Other chronic conditions self-reported by PSID sample persons include arthritis, asthma, hypertension, diabetes, heart disease, history of heart attack or stroke, and chronic lung disease. Most of these were asked in every odd-year survey wave since 1999. Sample persons have also answered questions about activities of daily living since 1999, smoking in 1986 and repeatedly since 1999, and rated their general health status since 1984. Additional health information was collected regarding the health status and behavior of children, adolescents, and young adults in the Child Development Supplement and Transition to Adulthood Supplement. Despite this study’s negative findings, health inequities have been observed among PSID participants. For example, Johnson, et al. documented racial disparities in self-reported health status and found that these disparities were partly explained by neighborhood conditions experienced in young adulthood </w:t>
      </w:r>
      <w:r>
        <w:fldChar w:fldCharType="begin"/>
      </w:r>
      <w:r w:rsidR="00770B11">
        <w:instrText xml:space="preserve"> ADDIN ZOTERO_ITEM CSL_CITATION {"citationID":"DThwjc8N","properties":{"formattedCitation":"(81)","plainCitation":"(81)","noteIndex":0},"citationItems":[{"id":1128,"uris":["http://zotero.org/users/1353333/items/7J5CPRDU"],"itemData":{"id":1128,"type":"article-journal","abstract":"The relationship between neighborhoods of residence in young adulthood and health in mid-to-late life in the United States are examined using the 1968-2005 waves of the Panel Study of Income Dynamics (PSID). The sample consists of persons who were aged 20-30 in 1968 and are followed for a period of 38 years (N=2730). Four-level hierarchical random effects models of self-assessed general health status as a function of individual, family, and neighborhood factors are estimated. Using the original sampling design of the PSID, we analyze adult health trajectories of married couples and neighbors followed from young adulthood through elderly ages to assess the magnitudes of the possible causal effects of family and neighborhood characteristics in young adulthood on health in mid-to-late life. Estimates suggest disparities in neighborhood conditions in young adulthood account for one-quarter of the variation in mid-to-late life health. Living in poor neighborhoods during young adulthood is strongly associated with negative health outcomes in later-life. This result is robust even in the presence of a reasonably large amount of potential unobservable individual and family factors that may significantly affect both neighborhood of residence and subsequent health status. Racial differences in health status in mid-to-late life are also associated with family and neighborhood socioeconomic conditions earlier in life. Three quarters of the black-white gap in health status at ages over 55 can be accounted for by differences in childhood socioeconomic status and neighborhood and family factors in young adulthood.","container-title":"Social Science &amp; Medicine (1982)","DOI":"10.1016/j.socscimed.2011.10.021","ISSN":"1873-5347","issue":"4","journalAbbreviation":"Soc Sci Med","language":"eng","note":"PMID: 22212443\nPMCID: PMC4100798","page":"625-636","source":"PubMed","title":"Health disparities in mid-to-late life: the role of earlier life family and neighborhood socioeconomic conditions","title-short":"Health disparities in mid-to-late life","volume":"74","author":[{"family":"Johnson","given":"Rucker C."},{"family":"Schoeni","given":"Robert F."},{"family":"Rogowski","given":"Jeannette A."}],"issued":{"date-parts":[["2012",2]]}}}],"schema":"https://github.com/citation-style-language/schema/raw/master/csl-citation.json"} </w:instrText>
      </w:r>
      <w:r>
        <w:fldChar w:fldCharType="separate"/>
      </w:r>
      <w:r w:rsidR="00770B11" w:rsidRPr="00770B11">
        <w:t>(81)</w:t>
      </w:r>
      <w:r>
        <w:fldChar w:fldCharType="end"/>
      </w:r>
      <w:r>
        <w:t>. Strengths of this study included its choice of a health outcome with a plausible link to residential history, control of calendar effects through restriction to a single age cohort, and choice of exposure measurements tied to the life course rather than a self-reported disease time point.</w:t>
      </w:r>
    </w:p>
    <w:p w14:paraId="1376CCBB" w14:textId="77777777" w:rsidR="00C755A0" w:rsidRPr="008B7B66" w:rsidRDefault="00C755A0" w:rsidP="00C755A0">
      <w:r>
        <w:t>The PSID remains an exceptional source of longitudinal data on social and economic conditions measured at the individual and household level. The health effects of state level policies could be studied, where appropriate, using data on current state of residence, state of birth, and the state in which sample persons grew up, available in the public data index.</w:t>
      </w:r>
    </w:p>
    <w:p w14:paraId="4F98DA2B" w14:textId="77777777" w:rsidR="00C755A0" w:rsidRDefault="00C755A0" w:rsidP="00C755A0">
      <w:pPr>
        <w:pStyle w:val="Heading2"/>
        <w:ind w:left="0" w:firstLine="720"/>
      </w:pPr>
      <w:bookmarkStart w:id="166" w:name="_Toc145757063"/>
      <w:bookmarkStart w:id="167" w:name="_Toc145757300"/>
      <w:bookmarkStart w:id="168" w:name="_Toc145757507"/>
      <w:bookmarkStart w:id="169" w:name="_Toc148375782"/>
      <w:r w:rsidRPr="00B61937">
        <w:t>Conclusion</w:t>
      </w:r>
      <w:bookmarkEnd w:id="166"/>
      <w:bookmarkEnd w:id="167"/>
      <w:bookmarkEnd w:id="168"/>
      <w:bookmarkEnd w:id="169"/>
    </w:p>
    <w:p w14:paraId="41C3B5D4" w14:textId="3B426F1C" w:rsidR="00C270FD" w:rsidRDefault="00C755A0">
      <w:pPr>
        <w:sectPr w:rsidR="00C270FD" w:rsidSect="00C270FD">
          <w:pgSz w:w="12240" w:h="15840"/>
          <w:pgMar w:top="1440" w:right="1440" w:bottom="1440" w:left="1440" w:header="720" w:footer="720" w:gutter="0"/>
          <w:cols w:space="720"/>
          <w:docGrid w:linePitch="360"/>
        </w:sectPr>
      </w:pPr>
      <w:r>
        <w:t xml:space="preserve">Concentrated disadvantage around the time of disease initiation did not predict all-cause survival in PSID participants with an adult history of breast, prostate, colorectal, or lung cancer in </w:t>
      </w:r>
      <w:r>
        <w:lastRenderedPageBreak/>
        <w:t xml:space="preserve">our study. This finding differs from a body of research literature linking unequal socioeconomic conditions in general, and concentrated disadvantage specifically, to inequities in cancer outcomes. Findings were likely influenced both by limitations of the PSID data set that were relevant to this study design, and an apparent lack of racial cancer survival disparities among PSID sample persons. Social epidemiologists considering using PSID data to study health inequities should focus on common conditions and behaviors, socioeconomic factors that have the same interpretation across the entire study </w:t>
      </w:r>
      <w:r w:rsidR="00F340C5">
        <w:t>area and</w:t>
      </w:r>
      <w:r>
        <w:t xml:space="preserve"> evaluate whether the specific outcomes or disparities observed in the PSID sample reflect those observed in the general population.</w:t>
      </w:r>
      <w:r w:rsidR="00C270FD">
        <w:br w:type="page"/>
      </w:r>
    </w:p>
    <w:p w14:paraId="746D6E7C" w14:textId="65607466" w:rsidR="00C270FD" w:rsidRDefault="00146D91" w:rsidP="00C270FD">
      <w:pPr>
        <w:pStyle w:val="Heading1"/>
      </w:pPr>
      <w:bookmarkStart w:id="170" w:name="_Toc145757064"/>
      <w:bookmarkStart w:id="171" w:name="_Toc145757301"/>
      <w:bookmarkStart w:id="172" w:name="_Toc145757508"/>
      <w:bookmarkStart w:id="173" w:name="_Toc145771906"/>
      <w:bookmarkStart w:id="174" w:name="_Toc148375783"/>
      <w:r>
        <w:lastRenderedPageBreak/>
        <w:t>Planned mediation analysis in the PSID Cohort is not Justified by Prior Results</w:t>
      </w:r>
      <w:bookmarkEnd w:id="170"/>
      <w:bookmarkEnd w:id="171"/>
      <w:bookmarkEnd w:id="172"/>
      <w:bookmarkEnd w:id="173"/>
      <w:bookmarkEnd w:id="174"/>
    </w:p>
    <w:p w14:paraId="5BBDEEDA" w14:textId="77777777" w:rsidR="00FE66A9" w:rsidRDefault="00146D91" w:rsidP="00774924">
      <w:r>
        <w:t>The original Aim 2 for this study was to “</w:t>
      </w:r>
      <w:r w:rsidRPr="00971D21">
        <w:t>Conduct a mediation analysis to determine whether neighborhood disadvantage at diagnosis mediates the relationship between past neighborhood disadvantage and all cause mortality among people with cancer in the PSID cohort. This analysis will provide an initial estimate of whether residences in the distant past can affect present-day cancer outcomes; and if so, how much of their effect is contained in the address at diagnosis.</w:t>
      </w:r>
      <w:r>
        <w:t>”</w:t>
      </w:r>
    </w:p>
    <w:p w14:paraId="2907CDD6" w14:textId="0DADEEFB" w:rsidR="00146D91" w:rsidRDefault="00146D91" w:rsidP="00774924">
      <w:r>
        <w:t xml:space="preserve">However, as Chapter III describes, there was no meaningful relationship between neighborhood CD score and all-cause survival following a cancer diagnosis in the PSID cohort. This was true regardless of whether neighborhood CD score was measured in the past or in the same year </w:t>
      </w:r>
      <w:r w:rsidR="00FE66A9">
        <w:t>the cancer was diagnosed. Therefore, no mediation analysis was justified or conducted.</w:t>
      </w:r>
    </w:p>
    <w:p w14:paraId="012070A4" w14:textId="77777777" w:rsidR="00774924" w:rsidRDefault="00774924">
      <w:pPr>
        <w:sectPr w:rsidR="00774924" w:rsidSect="00C270FD">
          <w:pgSz w:w="12240" w:h="15840"/>
          <w:pgMar w:top="1440" w:right="1440" w:bottom="1440" w:left="1440" w:header="720" w:footer="720" w:gutter="0"/>
          <w:cols w:space="720"/>
          <w:docGrid w:linePitch="360"/>
        </w:sectPr>
      </w:pPr>
      <w:r>
        <w:br w:type="page"/>
      </w:r>
    </w:p>
    <w:p w14:paraId="019810A8" w14:textId="1D661AD0" w:rsidR="00774924" w:rsidRDefault="00C755A0" w:rsidP="00774924">
      <w:pPr>
        <w:pStyle w:val="Heading1"/>
      </w:pPr>
      <w:bookmarkStart w:id="175" w:name="_Toc145757065"/>
      <w:bookmarkStart w:id="176" w:name="_Toc145757302"/>
      <w:bookmarkStart w:id="177" w:name="_Toc145757509"/>
      <w:bookmarkStart w:id="178" w:name="_Toc145771907"/>
      <w:bookmarkStart w:id="179" w:name="_Toc148375784"/>
      <w:bookmarkStart w:id="180" w:name="_Hlk114769265"/>
      <w:r>
        <w:lastRenderedPageBreak/>
        <w:t>Neighborhood Concentrated Disadvantage Predicts Survival but Not Stage at Diagnosis in a Colorectal Cancer Cohort</w:t>
      </w:r>
      <w:bookmarkEnd w:id="175"/>
      <w:bookmarkEnd w:id="176"/>
      <w:bookmarkEnd w:id="177"/>
      <w:bookmarkEnd w:id="178"/>
      <w:bookmarkEnd w:id="179"/>
    </w:p>
    <w:p w14:paraId="56AB4860" w14:textId="77777777" w:rsidR="00C755A0" w:rsidRDefault="00C755A0" w:rsidP="00C755A0">
      <w:pPr>
        <w:pStyle w:val="Heading2"/>
        <w:numPr>
          <w:ilvl w:val="0"/>
          <w:numId w:val="8"/>
        </w:numPr>
        <w:tabs>
          <w:tab w:val="num" w:pos="360"/>
        </w:tabs>
        <w:ind w:left="0" w:firstLine="720"/>
      </w:pPr>
      <w:bookmarkStart w:id="181" w:name="_Toc145757066"/>
      <w:bookmarkStart w:id="182" w:name="_Toc145757303"/>
      <w:bookmarkStart w:id="183" w:name="_Toc145757510"/>
      <w:bookmarkStart w:id="184" w:name="_Toc148375785"/>
      <w:r>
        <w:t>Introduction</w:t>
      </w:r>
      <w:bookmarkEnd w:id="181"/>
      <w:bookmarkEnd w:id="182"/>
      <w:bookmarkEnd w:id="183"/>
      <w:bookmarkEnd w:id="184"/>
    </w:p>
    <w:p w14:paraId="04046B16" w14:textId="70660223" w:rsidR="00C755A0" w:rsidRDefault="00C755A0" w:rsidP="00C755A0">
      <w:r>
        <w:t xml:space="preserve">Racial inequities in colorectal cancer in the United States result in disease-specific mortality rates that are 37% greater in non-Hispanic Black people than in non-Hispanic whites </w:t>
      </w:r>
      <w:r>
        <w:fldChar w:fldCharType="begin"/>
      </w:r>
      <w:r w:rsidR="006502FC">
        <w:instrText xml:space="preserve"> ADDIN ZOTERO_ITEM CSL_CITATION {"citationID":"GQFAwZ7H","properties":{"formattedCitation":"(82)","plainCitation":"(82)","noteIndex":0},"citationItems":[{"id":3145,"uris":["http://zotero.org/users/1353333/items/CT3FGXIA"],"itemData":{"id":3145,"type":"report","event-place":"Atlanta, GA","language":"en","publisher":"American Cancer Society","publisher-place":"Atlanta, GA","source":"Zotero","title":"Colorectal Cancer Facts &amp; Figures 2020-2022","URL":"https://www.cancer.org/research/cancer-facts-statistics.html","author":[{"literal":"American Cancer Society"}],"issued":{"date-parts":[["2020"]]}}}],"schema":"https://github.com/citation-style-language/schema/raw/master/csl-citation.json"} </w:instrText>
      </w:r>
      <w:r>
        <w:fldChar w:fldCharType="separate"/>
      </w:r>
      <w:r w:rsidR="00770B11" w:rsidRPr="00770B11">
        <w:t>(82)</w:t>
      </w:r>
      <w:r>
        <w:fldChar w:fldCharType="end"/>
      </w:r>
      <w:r>
        <w:t xml:space="preserve">. No genetic or biological factor can convincingly explain this disparity, which operates across the cancer continuum and means that Black people experience higher CRC incidence, are less likely to be screened, are diagnosed at younger ages and more advanced stages compared to white people, and are less likely to receive appropriate treatment in a timely manner </w:t>
      </w:r>
      <w:r>
        <w:fldChar w:fldCharType="begin"/>
      </w:r>
      <w:r w:rsidR="00F85975">
        <w:instrText xml:space="preserve"> ADDIN ZOTERO_ITEM CSL_CITATION {"citationID":"Jg4IZA3X","properties":{"formattedCitation":"(19\\uc0\\u8211{}26)","plainCitation":"(19–26)","noteIndex":0},"citationItems":[{"id":572,"uris":["http://zotero.org/users/1353333/items/2N24HM36"],"itemData":{"id":572,"type":"article-journal","abstract":"African Americans are disproportionately burdened with colorectal cancer. Although incidence and mortality rates have declined in the past two decades, the disparity in health outcomes has progressively increased. This comprehensive review examines the existing literature regarding racial disparities in colorectal cancer screening, stage at diagnosis, and treatment to determine if differences exist in the quality of care delivered to African Americans. A comprehensive review of relevant literature was performed. Two databases (EBSCOHOST Academic Search Premier and Scopus) were searched from 2000 to 2007. Articles that assessed racial disparities in colorectal cancer screening, stage of disease at diagnosis, and treatment were selected. The majority of studies identified examined colorectal cancer screening outcomes. Although racial disparities in screening have diminished in recent years, African American men and women continue to have higher colorectal cancer incidence and mortality rates and are diagnosed at more advanced stages. Several studies regarding stage of disease at diagnosis identified socioeconomic status (SES) and health insurance status as major determinants of disparity. However, some studies found significant racial disparities even after controlling for these factors. Racial disparities in treatment were also found at various diagnostic stages. Many factors affecting disparities between African Americans and Whites in colorectal cancer incidence and mortality remain unexplained. Although the importance of tumor biology, genetics, and lifestyle risk factors have been established, prime sociodemographic factors need further examination to understand variances in the care of African Americans diagnosed with colorectal cancer.","container-title":"Journal of Psychosocial Oncology","DOI":"10.1080/07347330802614840","ISSN":"1540-7586","issue":"1","journalAbbreviation":"J Psychosoc Oncol","language":"eng","note":"PMID: 19197679","page":"59-83","source":"PubMed","title":"Examining racial disparities in colorectal cancer care","volume":"27","author":[{"family":"Berry","given":"Jamillah"},{"family":"Bumpers","given":"Kevin"},{"family":"Ogunlade","given":"Vickie"},{"family":"Glover","given":"Roni"},{"family":"Davis","given":"Sharon"},{"family":"Counts-Spriggs","given":"Margaret"},{"family":"Kauh","given":"John"},{"family":"Flowers","given":"Christopher"}],"issued":{"date-parts":[["2009"]]}},"label":"act"},{"id":1057,"uris":["http://zotero.org/users/1353333/items/593GRS2J"],"itemData":{"id":1057,"type":"article-journal","abstract":"INTRODUCTION: Although African Americans have the highest incidence and mortality from colorectal cancer (CRC), they are less likely than other racial groups to undergo CRC screening. Previous research has identified barriers to CRC screening among African Americans. However we lack a systematic review that synthesizes contributing factors and informs interventions to address persistent disparities.\nMETHODS: We conducted a systematic review to evaluate barriers to colonoscopic CRC screening in African Americans. We developed a conceptual model to summarize the patient-, provider-, and system-level barriers and suggest strategies to address these barriers.\nRESULTS: Nineteen studies met inclusion criteria. Patient barriers to colonoscopy included fear, poor knowledge of CRC risk, and low perceived benefit of colonoscopy. Provider-level factors included failure to recommend screening and knowledge deficits about guidelines and barriers to screening. System barriers included financial obstacles, lack of insurance and access to care, and intermittent primary care visits.\nCONCLUSIONS: There are modifiable barriers to colonoscopic CRC screening among African Americans. Future interventions should confront patient fear, patient and physician knowledge about barriers, and access to healthcare services. As the Affordable Care Act aims to improve uptake of preventive services, focused interventions to increase CRC screening in African Americans are essential and timely.","container-title":"Preventive Medicine","DOI":"10.1016/j.ypmed.2014.11.022","ISSN":"1096-0260","journalAbbreviation":"Prev Med","language":"eng","note":"PMID: 25481094\nPMCID: PMC4329030","page":"40-48","source":"PubMed","title":"Explaining persistent under-use of colonoscopic cancer screening in African Americans: a systematic review","title-short":"Explaining persistent under-use of colonoscopic cancer screening in African Americans","volume":"71","author":[{"family":"Bromley","given":"Erica G."},{"family":"May","given":"Folasade P."},{"family":"Federer","given":"Lisa"},{"family":"Spiegel","given":"Brennan M. R."},{"family":"Oijen","given":"Martijn G. H.","non-dropping-particle":"van"}],"issued":{"date-parts":[["2015",2]]}},"label":"act"},{"id":89,"uris":["http://zotero.org/users/1353333/items/2SIXPGS2"],"itemData":{"id":89,"type":"article-journal","abstract":"Background \nAvailable cancer statistics pertain primarily to white and African American populations. This study describes racial or ethnic patterns of cancer-specific survival and relative risks (RRs) of cancer death for all cancers combined and for cancers of the colon and rectum, lung and bronchus, prostate, and female breast for the 6 major US racial or ethnic groups.Methods\nCancer-specific survival rates were analyzed for more than 1.78 million patients who resided in the 9 SEER (Surveillance, Epidemiology, and End Results) Program geographic areas and were diagnosed between 1975 and 1997 as having an incident invasive cancer, by 6 racial or ethnic groups (non-Hispanic whites, Hispanic whites, African Americans, Asian Americans, Hawaiian natives, and American Indians and Alaskan natives).Results\nSurvival rates improved between 1988 to 1997 for virtually all racial or ethnic groups. However, racial or ethnic differences in RRs of cancer death persisted after controlling for age for all cancers combined and for age and stage for specific cancer sites (P&lt;.01). African American, American Indian and Alaskan native, and Hawaiian native patients tended to have higher RRs of cancer death than the other groups. American Indians and Alaskan natives generally exhibited the highest RRs of cancer death, except for colorectal cancer in males.Conclusions\nSurvival rates in patients with cancer have improved in recent years, but racial or ethnic differences in survival rates and in RRs of cancer death persist. Additional studies are needed to clarify the socioeconomic, medical, biological, cultural, and other determinants of these findings.","container-title":"Archives of Internal Medicine","DOI":"10.1001/archinte.162.17.1985","ISSN":"0003-9926","issue":"17","journalAbbreviation":"Arch Intern Med","page":"1985-1993","source":"Silverchair","title":"Cancer survival among us whites and minorities: A seer (surveillance, epidemiology, and end results) program population-based study","title-short":"Cancer survival among us whites and minorities","volume":"162","author":[{"family":"Clegg","given":"LX"},{"family":"Li","given":"FP"},{"family":"Hankey","given":"BF"},{"family":"Chu","given":"K"},{"family":"Edwards","given":"BK"}],"issued":{"date-parts":[["2002",9,23]]}},"label":"act"},{"id":565,"uris":["http://zotero.org/users/1353333/items/NBWCMGSX"],"itemData":{"id":565,"type":"article-journal","abstract":"This study examined surgery for colorectal cancer among Medicare beneficiaries 65 years of age or older with an initial diagnosis in 1987 (n = 81 579). Black patients were less likely than White to undergo surgical resection (68% vs 78%), even after age, comorbidity, and location and extent of tumor were controlled for. Among those who underwent resection, Black patients were more likely to die (a 2-year mortality rate of 40.0% vs 33.5% in White patients); this disparity also remained after confounders had been controlled. The disparities were similar in teaching and nonteaching hospitals and in private and public hospitals. These data may indicate racially based differences among Medicare beneficiaries in access to and quality of care for colorectal cancer.","container-title":"American Journal of Public Health","ISSN":"0090-0036","issue":"4","journalAbbreviation":"Am J Public Health","note":"PMID: 8604797\nPMCID: PMC1380567","page":"582-586","source":"PubMed Central","title":"Surgery for colorectal cancer: Race-related differences in rates and survival among Medicare beneficiaries.","title-short":"Surgery for colorectal cancer","volume":"86","author":[{"family":"Cooper","given":"G S"},{"family":"Yuan","given":"Z"},{"family":"Landefeld","given":"C S"},{"family":"Rimm","given":"A A"}],"issued":{"date-parts":[["1996",4]]}},"label":"act"},{"id":569,"uris":["http://zotero.org/users/1353333/items/K5I28DCZ"],"itemData":{"id":569,"type":"article-journal","abstract":"Purpose\nTo evaluate black to white differences in treatment for colorectal cancer.\nMethods\nOnly whites or blacks diagnosed with colon or rectal cancer between 1988 and 1997 were identified from SEER database.\nResults\nA total of 106,377 (91.3% white, 50.5% male) patients formed the study population. The vast majority of these patients received standard cancer treatment. Although the number of subjects who did not receive such treatment was small, their proportion was higher among blacks than among whites. The odds of non-receipt of surgical treatment was higher among blacks than whites for stage I (OR = 2.08, 95% CI, 1.41, 3.03 among males; OR = 2.38, 95% CI, 1.69, 3.45 among females) and stage IV colon cancer (OR = 1.25, 95% CI, 1.01, 1.56 among males; OR = 1.41; 95% CI, 1.14, 1.72 among females). A similar pattern was also seen for most stages of rectal cancer.\nConclusions\nMost black and white colorectal cancer patients received standard treatment. Although the number of subjects without standard treatment was small, their proportion was higher among blacks than among whites. Blacks were also more likely to refuse recommended treatment. Efforts in educating black patients about the benefits of treatment may help to eliminate the remaining racial disparity.","container-title":"Annals of Epidemiology","DOI":"10.1016/j.annepidem.2003.08.002","ISSN":"1047-2797","issue":"3","journalAbbreviation":"Annals of Epidemiology","page":"215-221","source":"ScienceDirect","title":"Racial differences in the treatment of colorectal cancer: a comparison of surgical and radiation therapy between Whites and Blacks","title-short":"Racial differences in the treatment of colorectal cancer","volume":"14","author":[{"family":"Demissie","given":"Kitaw"},{"family":"Oluwole","given":"Olalekan O"},{"family":"Balasubramanian","given":"Bijal A"},{"family":"Osinubi","given":"Omowunmi O"},{"family":"August","given":"David"},{"family":"Rhoads","given":"George G"}],"issued":{"date-parts":[["2004",3]]}},"label":"act"},{"id":578,"uris":["http://zotero.org/users/1353333/items/HN7AAACT"],"itemData":{"id":578,"type":"article-journal","abstract":"BACKGROUND\nAfrican-American (AA) patients with colorectal carcinoma have a worse prognosis compared with Caucasians. To analyze the causes of this disparity in survival, a retrospective study of patients with colorectal carcinoma was undertaken. The impact of treatments received and the role of socioeconomic factors such as income, education, and poverty levels were studied.\nMETHODS\nA retrospective analysis of patients with colorectal carcinoma at a single institution was conducted. The overall survival of AA and Caucasians, stage at presentation, treatment received, and socioeconomic factors were analyzed using the institutional tumor registry and 1990 census data.\nRESULTS\nThe overall survival of AA patients was worse compared with Caucasians, both due to all causes (P &lt; 0.001) and cancer-related deaths (P &lt; 0.001). The relative risk of death due to all causes was 1.4 (95% confidence interval [CI] 1.2–1.8) for AA, 4.3 for patients with Stage IV disease (95% CI 3.2–5.7), and 2.3 for patients not undergoing surgery (95% CI 1.7–3.1). After multivariate adjustment for gender, site, socioeconomic factors, and therapeutic modalities, the relative risks for death were 1.5 (95% CI 1.2) for AA, 1.4 (95% CI 1.1–1.7) for patients 60 years of age or older, and 4.2 (95% CI 3.4–5.2) for Stage IV disease. The survival difference between AA and Caucasians was not influenced by income, poverty level, and education. African Americans were treated less frequently with chemotherapy and radiation therapy compared with their Caucasian counterparts.\nCONCLUSIONS\nAfrican American patients with colorectal carcinoma have a poorer prognosis compared with Caucasians. This discrepancy may be due to decreased utilization of chemotherapy and radiation therapy. Socioeconomic factors and lack of access to health care do not entirely explain the worse prognosis of AA. These factors should be identified and dealt with to improve the health care of AA patients with various malignant disorders. Cancer 2003;97:493–8. © 2003 American Cancer Society.DOI 10.1002/cncr.11067","container-title":"Cancer","DOI":"10.1002/cncr.11067","ISSN":"1097-0142","issue":"2","journalAbbreviation":"Cancer","language":"en","license":"Copyright © 2003 American Cancer Society","page":"493-498","source":"Wiley Online Library","title":"Racial differences in the outcome of patients with colorectal carcinoma","volume":"97","author":[{"family":"Govindarajan","given":"Rangaswamy"},{"family":"Shah","given":"Rajesh V."},{"family":"Erkman","given":"Linda G."},{"family":"Hutchins","given":"Laura F."}],"issued":{"date-parts":[["2003",1,15]]}},"label":"act"},{"id":359,"uris":["http://zotero.org/users/1353333/items/JZB4G6SQ"],"itemData":{"id":359,"type":"article-journal","abstract":"Background\nRacial difference in cancer-related mortality has been described in epidemiological studies and evidence points towards higher mortalities in the minorities. To determine the magnitude of racial disparities and sex differences in GI cancer-related mortalities in the US population, we analyzed the data using the third National Health and Nutrition Examination Survey (NHANES III) and related mortality data files.\n\nMethods\nNHANES III and its related public linked mortality files were used for this study. Our study cohort included subjects who were ≥18 years and were part of the longitudinal mortality follow-up database. The overall GI cancers related mortality was calculated using combined mortality from malignant neoplasm of esophagus, stomach, colon, liver and pancreas. The evaluation of independent predictors of overall GI cancer-related mortality and of each individual GI cancer was carried out using the Cox proportional hazards model.\n\nResults\nA total of 13,221 individuals were included in the analyses with the average person year follow-up of 13.9 years. During the follow-up period, 4,146 subjects died. Of these, 199 were from GI-related cancers. Non-Hispanic black (NHB) had significantly higher overall GI-cancer related mortality compared to non-Hispanic white (NHW, adjusted hazard ratio, aHR: 2.31, 95 % CI 1.57–3.38, p &lt; 0.001). Subgroup analyses by sex demonstrated higher mortality from gastric, colorectal and primary liver cancer related mortality in NHB men compared to NHW men. Esophageal and pancreatic cancer mortalities were higher in NHB women compared to NHW women.\n\nConclusion\nOverall GI cancer-related mortality is significantly higher among NHB compared to NHW in the US population.","container-title":"Digestive diseases and sciences","DOI":"10.1007/s10620-012-2312-3","ISSN":"0163-2116","issue":"1","journalAbbreviation":"Dig Dis Sci","note":"PMID: 22797822\nPMCID: PMC3632293","page":"236-243","source":"PubMed Central","title":"Racial Disparities in Gastrointestinal Cancers-Related Mortality in the US Population","volume":"58","author":[{"family":"Jinjuvadia","given":"Raxitkumar"},{"family":"Jinjuvadia","given":"Kartikkumar"},{"family":"Liangpunsakul","given":"Suthat"}],"issued":{"date-parts":[["2013",1]]}},"label":"act"},{"id":361,"uris":["http://zotero.org/users/1353333/items/T9P7CRPX"],"itemData":{"id":361,"type":"article-journal","abstract":"Background: African-Americans are more likely than Caucasians to be diagnosed at an advanced stage of colorectal, lung, breast, cervical, and prostate cancers. This study explores if racial differences in stage at diagnosis can be explained by socioeconomic status (SES) differences. Previous studies investigating this association have used aggregate SES indicators from census tract of residence; we used census block-group data, representing a smaller, potentially more homogenous group. Methods: We included all African-American and Caucasian invasive cancers of the colon and rectum, lung and bronchus, female breast, cervix uteri, and prostate that were diagnosed between January 1, 1988 and December 31, 1992 in the Detroit area. Stage of disease at diagnosis was grouped as local or non-local. An SES value was calculated for each case using aggregate 1990 US Census data for education, poverty status, and occupation specific to each case's census block-group. Logistic regression analysis was used to model the probability of non-local stage using SES, race, age group, and sex as covariates. Results: SES was an independent predictor of stage at diagnosis for each cancer site, with cases from the highest SES block-group more likely to present with local stage disease than those from the lowest SES group. Race independently predicted stage only for breast and prostate cancers; African-Americans presented with more advanced stage than Caucasians. Conclusions: Based on census block-group aggregate data, SES is an important predictor of stage at diagnosis, most likely accounting for much of the disparity in stage between African-Americans and Caucasians for colorectal, lung, and cervical cancers. Biological factors may play a role in racial disparities for breast and prostate cancer stage at diagnosis.","container-title":"Cancer Causes &amp; Control","DOI":"10.1023/A:1026321923883","ISSN":"0957-5243, 1573-7225","issue":"8","journalAbbreviation":"Cancer Causes Control","language":"en","page":"761-766","source":"link.springer.com.proxy.cc.uic.edu","title":"Race, socioeconomic status and stage at diagnosis for five common malignancies","volume":"14","author":[{"family":"Schwartz","given":"Kendra L."},{"family":"Crossley-May","given":"Heather"},{"family":"Vigneau","given":"Fawn D."},{"family":"Brown","given":"Karl"},{"family":"Banerjee","given":"Mousumi"}],"issued":{"date-parts":[["2003",10,1]]}},"label":"act"}],"schema":"https://github.com/citation-style-language/schema/raw/master/csl-citation.json"} </w:instrText>
      </w:r>
      <w:r>
        <w:fldChar w:fldCharType="separate"/>
      </w:r>
      <w:r w:rsidR="00321573" w:rsidRPr="00321573">
        <w:rPr>
          <w:rFonts w:cs="Times New Roman"/>
          <w:szCs w:val="24"/>
        </w:rPr>
        <w:t>(19–26)</w:t>
      </w:r>
      <w:r>
        <w:fldChar w:fldCharType="end"/>
      </w:r>
      <w:r>
        <w:t xml:space="preserve">. While risk of CRC remained similar between Black and white people through the mid-1980s, mortality disparities emerged in the late 1970s even as screening tests for CRC became available and treatment options improved </w:t>
      </w:r>
      <w:r>
        <w:fldChar w:fldCharType="begin"/>
      </w:r>
      <w:r w:rsidR="006502FC">
        <w:instrText xml:space="preserve"> ADDIN ZOTERO_ITEM CSL_CITATION {"citationID":"tnNDkI79","properties":{"formattedCitation":"(82\\uc0\\u8211{}84)","plainCitation":"(82–84)","noteIndex":0},"citationItems":[{"id":3145,"uris":["http://zotero.org/users/1353333/items/CT3FGXIA"],"itemData":{"id":3145,"type":"report","event-place":"Atlanta, GA","language":"en","publisher":"American Cancer Society","publisher-place":"Atlanta, GA","source":"Zotero","title":"Colorectal Cancer Facts &amp; Figures 2020-2022","URL":"https://www.cancer.org/research/cancer-facts-statistics.html","author":[{"literal":"American Cancer Society"}],"issued":{"date-parts":[["2020"]]}}},{"id":3157,"uris":["http://zotero.org/users/1353333/items/ZFNYL4WL"],"itemData":{"id":3157,"type":"article-journal","container-title":"Oncology (Williston Park, N.Y.)","ISSN":"0890-9091","issue":"12","journalAbbreviation":"Oncology (Williston Park)","language":"eng","note":"PMID: 19322951","page":"1441-1442, 1444","source":"PubMed","title":"Thirty years of rectal cancer research: a brief history","title-short":"Thirty years of rectal cancer research","volume":"22","author":[{"family":"Czito","given":"Brian G."},{"family":"Willett","given":"Christopher G."}],"issued":{"date-parts":[["2008",11,15]]}}},{"id":3159,"uris":["http://zotero.org/users/1353333/items/4YHHDH3M"],"itemData":{"id":3159,"type":"webpage","abstract":"Cancer Progress Timeline","container-title":"ASCO","language":"en","title":"Colorectal Cancer Progress Timeline","URL":"https://www.asco.org/research-guidelines/cancer-progress-timeline/colorectal-cancer","author":[{"literal":"American Society of Clinical Oncology"}],"accessed":{"date-parts":[["2022",8,6]]}}}],"schema":"https://github.com/citation-style-language/schema/raw/master/csl-citation.json"} </w:instrText>
      </w:r>
      <w:r>
        <w:fldChar w:fldCharType="separate"/>
      </w:r>
      <w:r w:rsidR="00770B11" w:rsidRPr="00770B11">
        <w:rPr>
          <w:rFonts w:cs="Times New Roman"/>
          <w:szCs w:val="24"/>
        </w:rPr>
        <w:t>(82–84)</w:t>
      </w:r>
      <w:r>
        <w:fldChar w:fldCharType="end"/>
      </w:r>
      <w:r>
        <w:t xml:space="preserve">. Yet differences in receptivity to treatment are also not to blame: Black and white patients with CRC have similar responses to appropriate cancer-directed treatment </w:t>
      </w:r>
      <w:r>
        <w:fldChar w:fldCharType="begin"/>
      </w:r>
      <w:r w:rsidR="006502FC">
        <w:instrText xml:space="preserve"> ADDIN ZOTERO_ITEM CSL_CITATION {"citationID":"OcGGzNQP","properties":{"formattedCitation":"(1,85,86)","plainCitation":"(1,85,86)","noteIndex":0},"citationItems":[{"id":1018,"uris":["http://zotero.org/users/1353333/items/4ABY2HDM"],"itemData":{"id":1018,"type":"report","event-place":"Atlanta, GA","language":"en","publisher":"American Cancer Society","publisher-place":"Atlanta, GA","source":"Zotero","title":"Colorectal Cancer Facts &amp; Figures 2017-2019","URL":"https://www.cancer.org/research/cancer-facts-statistics.html","author":[{"literal":"American Cancer Society"}],"issued":{"date-parts":[["2017"]]}},"label":"act"},{"id":3174,"uris":["http://zotero.org/users/1353333/items/S8YT7I82"],"itemData":{"id":3174,"type":"article-journal","abstract":"PURPOSE: In 1990, fluorouracil (FU) plus levamisole for 1 year became standard adjuvant treatment for patients with high-risk stages II and III colon cancer. Intergroup (INT) 0089 assessed the relative contributions of leucovorin and levamisole in such patients.\nPATIENTS AND METHODS: From 1988 to 1992, 3,794 patients were randomly assigned. Experimental treatment consisted of one of three chemotherapy regimens: the low-dose leucovorin plus FU (Mayo Clinic; LDLV) regimen, the high-dose leucovorin plus FU (Roswell Park; HDLV) regimen, and the low-dose leucovorin plus levamisole plus FU (LDLV plus LEV) regimen, each administered for 30 to 32 weeks. The control arm was levamisole plus FU (LEV) for 1 year.\nRESULTS: After a median follow-up of 10 years, of 3,561 eligible patients, 1,691 (47%) have died and 1,330 (37%) have experienced disease recurrence; 137 (10%) of those experiencing recurrence are still alive. A total of 481 patients (13%) died without evidence of recurrence, and 1,723 (48%) are alive and disease free. Although there were toxicity differences among the four arms, none was statistically superior in disease-free or overall survival.\nCONCLUSION: The 6- to 8-month regimens of LDLV and HDLV without levamisole used in this trial, rather than the previous standard regimen of 12 months of LEV, have become widely used. INT-0089 has long-term follow-up of the largest clinical trial of patients with high-risk colon cancer, documenting not only the durability of the treatment effects, but also the natural history of patients with high-risk colon cancer, and analyses of treatment based on age, race, and comorbid conditions such as obesity, diabetes, and second primary cancers.","container-title":"Journal of Clinical Oncology: Official Journal of the American Society of Clinical Oncology","DOI":"10.1200/JCO.2004.00.5686","ISSN":"0732-183X","issue":"34","journalAbbreviation":"J Clin Oncol","language":"eng","note":"PMID: 16314627","page":"8671-8678","source":"PubMed","title":"Phase III study of fluorouracil, leucovorin, and levamisole in high-risk stage II and III colon cancer: final report of Intergroup 0089","title-short":"Phase III study of fluorouracil, leucovorin, and levamisole in high-risk stage II and III colon cancer","volume":"23","author":[{"family":"Haller","given":"Daniel G."},{"family":"Catalano","given":"Paul J."},{"family":"Macdonald","given":"John S."},{"family":"O'Rourke","given":"Mark A."},{"family":"Frontiera","given":"Michael S."},{"family":"Jackson","given":"Don V."},{"family":"Mayer","given":"Robert J."}],"issued":{"date-parts":[["2005",12,1]]}},"label":"act"},{"id":3168,"uris":["http://zotero.org/users/1353333/items/JQA5BNUD"],"itemData":{"id":3168,"type":"article-journal","abstract":"Non-Hispanic black (NHB) adults with cancer may have longer time-to-treatment than non-Hispanic whites (NHW) in the United States. Unequal access to medical care may partially account for this racial disparity. This study aimed to investigate whether there were racial differences in time-to-treatment and in treatment delays for patients diagnosed with colon cancer in the equal-access Military Health System (MHS).Patients age 18–79 years diagnosed with colon adenocarcinoma between January 1, 1998, and December 31, 2014, were identified in the Department of Defense Central Cancer Registry and the MHS Data Repository–linked databases. Median time-to-treatment (surgery and chemotherapy) and 95% confidence intervals were compared between NHBs and NHWs in multivariable quantile regression models. Odds ratios and 95% confidence intervals of receiving delayed treatment defined by guidelines for NHBs relative to NHWs were estimated using multivariable logistic regression.Patients (n = 3067) had a mean age at diagnosis of 58.4 (12.2) years and the racial distribution was 76.7% NHW and 23.3% NHB. Median adjusted time-to-treatment was similar for NHB compared to NHW patients. The likelihood of receiving delayed treatment was similar between NHB and NHW patients.In the MHS, there was no evidence of treatment delays for NHBs compared to NHWs, suggesting the role of equal access to medical care and insurance coverage in reducing racial disparities in colon cancer treatment.","container-title":"JNCI: Journal of the National Cancer Institute","DOI":"10.1093/jnci/djz135","ISSN":"0027-8874","issue":"4","journalAbbreviation":"JNCI: Journal of the National Cancer Institute","page":"410-417","source":"Silverchair","title":"Racial Comparisons in Timeliness of Colon Cancer Treatment in an Equal-Access Health System","volume":"112","author":[{"family":"Eaglehouse","given":"Yvonne L"},{"family":"Georg","given":"Matthew W"},{"family":"Shriver","given":"Craig D"},{"family":"Zhu","given":"Kangmin"}],"issued":{"date-parts":[["2020",4,1]]}},"label":"act"}],"schema":"https://github.com/citation-style-language/schema/raw/master/csl-citation.json"} </w:instrText>
      </w:r>
      <w:r>
        <w:fldChar w:fldCharType="separate"/>
      </w:r>
      <w:r w:rsidR="00770B11" w:rsidRPr="00770B11">
        <w:t>(1,85,86)</w:t>
      </w:r>
      <w:r>
        <w:fldChar w:fldCharType="end"/>
      </w:r>
      <w:r>
        <w:t xml:space="preserve">. In equal access health care systems, disparities in receipt of this treatment are reduced or eliminated, and disparities in outcomes are correspondingly reduced </w:t>
      </w:r>
      <w:r>
        <w:fldChar w:fldCharType="begin"/>
      </w:r>
      <w:r w:rsidR="00F85975">
        <w:instrText xml:space="preserve"> ADDIN ZOTERO_ITEM CSL_CITATION {"citationID":"wLvQaU71","properties":{"formattedCitation":"(27\\uc0\\u8211{}31)","plainCitation":"(27–31)","noteIndex":0},"citationItems":[{"id":502,"uris":["http://zotero.org/users/1353333/items/DPFBD7SN"],"itemData":{"id":502,"type":"article-journal","abstract":"Background\nPopulation-based studies from Medicare and privately insured individuals have consistently identified lower rates of colorectal cancer-screening tests among African-American versus white individuals. The purpose of this study was to evaluate whether, at a Veterans Affairs (VA) medical center, similar racial/ethnic differences in colorectal cancer screening could be identified.\nMethods\nStudy participants were male veterans, aged ≥50, attending a general medicine clinic in a VA hospital, who had not had either a fecal occult blood test (FOBT) within the past year or a flexible sigmoidoscopy/colonoscopy within the past 5 years. Based on review of electronic medical records, rates of physician recommendation for FOBT, flexible sigmoidoscopy, or colonoscopy, and patient completion of these tests were obtained and compared by race/ethnicity.\nResults\nSixty percent of 1599 veterans had not undergone recent colorectal cancer screening. Physicians recommended colorectal screening tests equally among African-American and white patients (71.0% vs 68.2%, p=0.44). African-American patients were 1.3 times more likely than white patients to receive colorectal screening procedures (36.3% vs 28.9%, p=0.03).\nConclusions\nIn contrast to other settings, in a general medicine clinic at a VA hospital, rates of colorectal cancer-screening tests were not lower for African-American patients compared to white patients.","container-title":"American Journal of Preventive Medicine","DOI":"10.1016/j.amepre.2005.02.002","ISSN":"0749-3797","issue":"5","journalAbbreviation":"American Journal of Preventive Medicine","page":"479-482","source":"ScienceDirect","title":"Colorectal Cancer Screening Among African-American and White Male Veterans","volume":"28","author":[{"family":"Dolan","given":"Nancy C."},{"family":"Ferreira","given":"M. Rosario"},{"family":"Fitzgibbon","given":"Marian L."},{"family":"Davis","given":"Terry C."},{"family":"Rademaker","given":"Alfred W."},{"family":"Liu","given":"Dachao"},{"family":"Lee","given":"June"},{"family":"Wolf","given":"Michael"},{"family":"Schmitt","given":"Brian P."},{"family":"Bennett","given":"Charles L."}],"issued":{"date-parts":[["2005",6]]}},"label":"page"},{"id":505,"uris":["http://zotero.org/users/1353333/items/9ZXBM6UQ"],"itemData":{"id":505,"type":"article-journal","abstract":"BACKGROUND\nThe aim of this study was to assess the influence of race on the treatment and survival of patients with colorectal carcinoma.\nMETHODS\nThis retrospective cohort study included all white or black male veterans given a new diagnosis of colorectal carcinoma in 1989 at Veterans Affairs Medical Centers nationwide. After adjusting for patient demographics, comorbidity, distant metastases, and tumor location, the authors determined the likelihood of surgical resection, chemotherapy, radiation therapy, and death in each case.\nRESULTS\nOf the 3176 veterans identified, 569 (17.9%) were black. Bivariate analyses and logistic regression revealed no significant differences in the proportions of patients undergoing surgical resection (70% vs. 73%, odds ratio 0.92, 95% confidence interval 0.74-1.15), chemotherapy (23% vs. 23%, odds ratio 0.99, 95% confidence interval 0.78-1.24), or radiation therapy (17% vs. 16%, odds ratio 1.10, 95% confidence interval 0.85-1.43) for black versus white patients. Five-year relative survival rates were similar for black and white patients (42% vs. 39%, respectively; P = 0.16), though the adjusted mortality risk ratio was modestly increased (risk ratio 1.13, 95% confidence interval 1.01-1.28).\nCONCLUSIONS\nOverall, race was not associated with the use of surgery, chemotherapy, or radiation therapy in the treatment of colorectal carcinoma among veterans seeking health care at Veterans Affairs Medical Centers. Although mortality from all causes was higher among black veterans with colorectal carcinoma, this finding may be attributed to underlying racial differences associated with survival. This study suggests that when there is equal access to care, there are no differences with regard to race.  Cancer 1998;82:2312-2320. © 1998 American Cancer Society.","container-title":"Cancer","DOI":"10.1002/(SICI)1097-0142(19980615)82:12&lt;2312::AID-CNCR3&gt;3.0.CO;2-U","ISSN":"1097-0142","issue":"12","journalAbbreviation":"Cancer","language":"en","license":"Copyright © 1998 American Cancer Society","page":"2312-2320","source":"Wiley Online Library","title":"Race, treatment, and survival among colorectal carcinoma patients in an equal-access medical system","volume":"82","author":[{"family":"Dominitz","given":"Jason A."},{"family":"Samsa","given":"Gregory P."},{"family":"Landsman","given":"Pamela"},{"family":"Provenzale","given":"Dawn"}],"issued":{"date-parts":[["1998",6,15]]}},"label":"page"},{"id":574,"uris":["http://zotero.org/users/1353333/items/GE6PQG5U"],"itemData":{"id":574,"type":"article-journal","abstract":"Background\nEthnicity is implicated as a factor for disparate outcomes in colorectal cancer. We sought to evaluate this relationship at a military medical center organized to deliver equitable health care.\nMethods\nRetrospective analysis of colorectal cancer patients comparing demographics, grade, American Joint Committee on Cancer (AJCC) stage, and adjuvant therapy.\nResults\nFrom January 1994 to January 2004, 398 patients were treated with colorectal cancer (74 [19%] nonwhites). Comparatively, nonwhites were younger and had fewer stage II tumors with a increased proportion of stage III tumors (P &amp;lt; .01). With a median follow-up period of 52 (0–151) months, there were no disparities in surgical resection, adjuvant therapy, or disease recurrence. Kaplan-Meier analysis revealed no disparity in disease-free and cancer-specific survival (P = .585 and P = .132); Cox regression revealed increased age and AJCC stage III as the only independent predictors of lower survival (P &amp;lt; .05).\nConclusions\nEthnicity was associated with differences in age and AJCC stage at presentation. In an equitable health care system, these differences did not impact patients' treatment or survival.","container-title":"The American Journal of Surgery","DOI":"10.1016/j.amjsurg.2008.01.017","ISSN":"0002-9610","issue":"4","journalAbbreviation":"The American Journal of Surgery","page":"485-490","source":"ScienceDirect","title":"Race does not impact colorectal cancer treatment or outcomes with equal access","volume":"197","author":[{"family":"Hassan","given":"Monique O."},{"family":"Arthurs","given":"Zachary"},{"family":"Sohn","given":"Vance Y."},{"family":"Steele","given":"Scott R."}],"issued":{"date-parts":[["2009",4]]}},"label":"page"},{"id":744,"uris":["http://zotero.org/users/1353333/items/N8XH3KEU"],"itemData":{"id":744,"type":"article-journal","abstract":"Background\nIn the general US population, blacks and whites have been shown to undergo colon cancer treatment at disproportionate rates. Accessibility to medical care may be the most important factor influencing differences in colon cancer treatment among whites and blacks.\n\nObjective\nThis study assessed whether racial disparities in colon cancer surgery and chemotherapy existed in an equal-access healthcare system. Additionally, we sought to examine whether racial differences varied by demographic and tumor characteristics.\n\nDesign and Setting\nDatabase research using the United States Department of Defense’s (DoD) Military Health System.\n\nPatients\nPatients included 2,560 Non-Hispanic Whites (NHW) and Non-Hispanic Blacks (NHB) with colon cancer diagnosed from 1998 to 2007.\n\nMain Outcome Measures\nLogistic regression was used to assess the associations between race and the receipt of colon cancer surgery or chemotherapy, while controlling for available potential confounders, both overall and stratified by age at diagnosis, sex, and tumor stage.\n\nResults\nAfter multivariate adjustment, the odds of receiving colon cancer surgery or chemotherapy NHBs versus NHWs were similar (OR: 0.75, 95% CI: 0.37–1.53; OR: 0.79, 95% CI: 0.59–1.04; respectively). Additionally, no effect modification by age at diagnosis, sex, and tumor stage were observed.\n\nLimitations\nTreatment data might not be complete for beneficiaries who also had non-DoD health insurance.\n\nConclusions\nWhen access to medical care is equal, racial disparities in the provision of colon cancer surgery and chemotherapy were not apparent. Thus, it is possible that the inequalities in access to care play a major role in the racial disparities seen in colon cancer treatment in the general population.","container-title":"Diseases of the colon and rectum","DOI":"10.1097/DCR.0000000000000177","ISSN":"0012-3706","issue":"9","journalAbbreviation":"Dis Colon Rectum","note":"PMID: 25101601\nPMCID: PMC4126203","page":"1059-1065","source":"PubMed Central","title":"Colon cancer treatment: Are there racial disparities in an equal-access healthcare system?","title-short":"Colon cancer treatment","volume":"57","author":[{"family":"Gill","given":"Abegail A."},{"family":"Enewold","given":"Lindsey"},{"family":"Zahm","given":"Shelia H."},{"family":"Shriver","given":"Craig D."},{"family":"Stojadinovic","given":"Alexander"},{"family":"McGlynn","given":"Katherine A."},{"family":"Zhu","given":"Kangmin"}],"issued":{"date-parts":[["2014",9]]}},"label":"page"},{"id":501,"uris":["http://zotero.org/users/1353333/items/TCAFIPVQ"],"itemData":{"id":501,"type":"article-journal","abstract":"OBJECTIVES: A recent analysis based on data from the Surveillance, Epidemiology, and End Results (SEER) Program of the National Cancer Institute indicates that no survival benefit occurred, for white or for black individuals, in colorectal cancer diagnosed during 1986-1997, and that blacks fared worse than whites. The objective of this research was to evaluate recent temporal trends in the survival of patients with colorectal cancer admitted to hospitals in the Veterans Affairs (VA) system, which offers equal access to care and facilitates systemwide implementation of prevention and treatment services.\nMETHODS: This research was a cohort study of patients admitted to all VA hospitals with a new diagnosis of colorectal cancer between October, 1987, and September, 1998, and followed through September, 2001. Temporal changes in observed 5-yr survival were evaluated for the periods 1987-1989, 1990-1992, 1993-1995, and 1996-1998. Cumulative survival was obtained from Kaplan-Meier estimates, whereas adjusted risk of death was calculated using a Cox proportional hazards model. Adjustment was made for differences in patient characteristics, including comorbidity.\nRESULTS: We identified 46,044 individuals with colorectal cancer in VA hospitals during 1987-1998, 98.5% of whom were men. The mean age was 67.7 yr, and the two largest racial/ethnic groups were whites (76.5%) and blacks (17.1%). Significant differences in survival were seen over time (p &lt; 0.001, log rank test) with longer survival in patients diagnosed in the more recent time periods. In the multivariable Cox model, survival showed an 18% increase over time (1987-1998) after adjusting for differences in age, race, comorbidity, cancer site, and extent of disease. There was a small but statistically significant decrease in chance of survival in blacks compared with whites (adjusted relative survival 0.96, 95% CI = 0.92-0.99).\nCONCLUSIONS: Recent non-VA studies have shown stable survival for colorectal cancer patients over time, coupled with significantly decreased survival for blacks compared with whites. In contrast, in the VA system, survival has improved for both white and black patients; in addition, the racial discrepancy in survival is markedly attenuated. These results suggest that the benefits of prevention and treatment advances may be more readily achieved in the VA's equal access, integrated health care system.","container-title":"The American Journal of Gastroenterology","DOI":"10.1111/j.1572-0241.2003.07448.x","ISSN":"0002-9270","issue":"5","journalAbbreviation":"Am. J. Gastroenterol.","language":"eng","note":"PMID: 12809847","page":"1186-1192","source":"PubMed","title":"Survival of colorectal cancer patients hospitalized in the Veterans Affairs Health Care System","volume":"98","author":[{"family":"Rabeneck","given":"Linda"},{"family":"Souchek","given":"Julianne"},{"family":"El-Serag","given":"Hashem B."}],"issued":{"date-parts":[["2003",5]]}},"label":"page"}],"schema":"https://github.com/citation-style-language/schema/raw/master/csl-citation.json"} </w:instrText>
      </w:r>
      <w:r>
        <w:fldChar w:fldCharType="separate"/>
      </w:r>
      <w:r w:rsidR="00321573" w:rsidRPr="00321573">
        <w:rPr>
          <w:rFonts w:cs="Times New Roman"/>
          <w:szCs w:val="24"/>
        </w:rPr>
        <w:t>(27–31)</w:t>
      </w:r>
      <w:r>
        <w:fldChar w:fldCharType="end"/>
      </w:r>
      <w:r>
        <w:t>.</w:t>
      </w:r>
    </w:p>
    <w:p w14:paraId="388CE729" w14:textId="5E9B7D21" w:rsidR="00C755A0" w:rsidRDefault="00C755A0" w:rsidP="00C755A0">
      <w:r>
        <w:t xml:space="preserve">Social epidemiologists have argued that segregation, and the conditions of segregated neighborhoods, are a fundamental cause of health inequities </w:t>
      </w:r>
      <w:r>
        <w:fldChar w:fldCharType="begin"/>
      </w:r>
      <w:r w:rsidR="00F85975">
        <w:instrText xml:space="preserve"> ADDIN ZOTERO_ITEM CSL_CITATION {"citationID":"GMPsOK5l","properties":{"formattedCitation":"(37)","plainCitation":"(37)","noteIndex":0},"citationItems":[{"id":86,"uris":["http://zotero.org/users/1353333/items/TP64RD2L"],"itemData":{"id":86,"type":"article-journal","container-title":"Public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R"},{"family":"Collins","given":"Chiquita"}],"issued":{"date-parts":[["2001"]]}}}],"schema":"https://github.com/citation-style-language/schema/raw/master/csl-citation.json"} </w:instrText>
      </w:r>
      <w:r>
        <w:fldChar w:fldCharType="separate"/>
      </w:r>
      <w:r w:rsidR="00321573" w:rsidRPr="00321573">
        <w:t>(37)</w:t>
      </w:r>
      <w:r>
        <w:fldChar w:fldCharType="end"/>
      </w:r>
      <w:r>
        <w:t xml:space="preserve">. The negative health effects of segregation have persisted across time, regardless of the local policies used to segregate or the people being targeted for exclusion, and are consistent whether the health outcome of interest concerns chronic disease or COVID-19 </w:t>
      </w:r>
      <w:r>
        <w:fldChar w:fldCharType="begin"/>
      </w:r>
      <w:r w:rsidR="00770B11">
        <w:instrText xml:space="preserve"> ADDIN ZOTERO_ITEM CSL_CITATION {"citationID":"sPUogr9s","properties":{"formattedCitation":"(87\\uc0\\u8211{}90)","plainCitation":"(87–90)","noteIndex":0},"citationItems":[{"id":72,"uris":["http://zotero.org/users/1353333/items/FNJ8LNML"],"itemData":{"id":72,"type":"article-journal","abstract":"BACKGROUND: Spatial access to primary care has been associated with late-stage and fatal breast cancer, but less is known about its relation to outcomes of other screening-preventable cancers such as colorectal cancer. This population-based retrospective cohort study examined whether spatial access to primary care providers associates with colorectal cancer-specific survival.\nMETHODS: Approximately 26 600 incident colorectal cancers diagnosed between 2000 and 2008 in adults residing in Cook County, Illinois were identified through the state cancer registry and georeferenced to the census tract of residence at diagnosis. An enhanced two-step floating catchment area method measured tract-level access to primary care physicians (PCPs) in the year of diagnosis using practice locations obtained from the American Medical Association. Vital status and underlying cause of death were determined using the National Death Index. Fine-Gray proportional subdistribution hazard models analyzed the association between tract-level PCP access scores and colorectal cancer-specific survival after accounting for tract-level socioeconomic status, case demographics, tumor characteristics, and other factors.\nRESULTS: Increased tract-level access to PCPs was associated with a lower risk of death from colorectal cancer (hazard ratio [HR], 95% confidence interval [CI]) = 0.87 [0.79, 0.96], P = .008, highest vs lowest quintile), especially among persons diagnosed with regional-stage tumors (HR, 95% CI = 0.80 [0.69, 0.93], P = .004, highest vs lowest quintile).\nCONCLUSIONS: Spatial access to primary care providers is a predictor of colorectal cancer-specific survival in Cook County, Illinois. Future research is needed to determine which areas within the cancer care continuum are most affected by spatial accessibility to primary care such as referral for screening, accessibility of screening and diagnostic testing, referral for treatment, and access to appropriate survivorship-related care.","container-title":"Cancer Medicine","DOI":"10.1002/cam4.2957","ISSN":"2045-7634","journalAbbreviation":"Cancer Med","language":"eng","note":"PMID: 32130791","source":"PubMed","title":"Spatial access to primary care providers and colorectal cancer-specific survival in Cook County, Illinois","author":[{"family":"Freeman","given":"Vincent L."},{"family":"Naylor","given":"Keith B."},{"family":"Boylan","given":"Emma E."},{"family":"Booth","given":"Benjamin J."},{"family":"Pugach","given":"Oksana"},{"family":"Barrett","given":"Richard E."},{"family":"Campbell","given":"Richard T."},{"family":"McLafferty","given":"Sara L."}],"issued":{"date-parts":[["2020",3,4]]}},"label":"page"},{"id":87,"uris":["http://zotero.org/users/1353333/items/YVWC3BZW"],"itemData":{"id":87,"type":"report","event-place":"Washington, DC","publisher":"Joint Center for Political and Economic Studies","publisher-place":"Washington, DC","title":"Segregated Spaces, Risky Places: The Effects of Racial Segregation on Health Inequities","URL":"https://www.racialequitytools.org/resourcefiles/SegregatedSpaces.pdf","author":[{"family":"LaVeist","given":"Thomas A."},{"family":"Gaskin","given":"Darrell"},{"family":"Trujillo","given":"Antonio J."}],"accessed":{"date-parts":[["2020",3,5]]},"issued":{"date-parts":[["2011",9]]}},"label":"page"},{"id":1148,"uris":["http://zotero.org/users/1353333/items/YV7HA9VA"],"itemData":{"id":1148,"type":"article-newspaper","abstract":"People of color have suffered most from COVID-19. Now that vaccines are here, they are far less likely to have received a first dose for many of the same reasons.","container-title":"USA Today","event-place":"Chicago, IL","language":"en","publisher-place":"Chicago, IL","title":"'Just not equal at all': Vaccine rollout in Chicago a microcosm of racial disparities nationwide","title-short":"'Just not equal at all'","URL":"https://www.usatoday.com/in-depth/news/health/2021/02/12/data-analysis-chicago-vaccine-rollout-reflects-us-racial-disparities/4418978001/","author":[{"literal":"Nadia Hassanein"},{"literal":"Grace Hauck"},{"literal":"Jayme Fraser"},{"literal":"Aleszu Bajak"}],"accessed":{"date-parts":[["2021",4,30]]},"issued":{"date-parts":[["2021",2,12]]}},"label":"page"},{"id":1122,"uris":["http://zotero.org/users/1353333/items/TU3XBGH5"],"itemData":{"id":1122,"type":"document","publisher":"The Brookings Institution","title":"Mapping racial inequity amid COVID-19 underscores policy discriminations against Black Americans","URL":"https://www.brookings.edu/blog/the-avenue/2020/04/16/mapping-racial-inequity-amid-the-spread-of-covid-19/","author":[{"family":"Perry","given":"Andre M."},{"family":"Harshbarger","given":"David"},{"family":"Romer","given":"Carl"}],"accessed":{"date-parts":[["2022",1,24]]},"issued":{"date-parts":[["2020",4,16]]}},"label":"page"}],"schema":"https://github.com/citation-style-language/schema/raw/master/csl-citation.json"} </w:instrText>
      </w:r>
      <w:r>
        <w:fldChar w:fldCharType="separate"/>
      </w:r>
      <w:r w:rsidR="00770B11" w:rsidRPr="00770B11">
        <w:rPr>
          <w:rFonts w:cs="Times New Roman"/>
          <w:szCs w:val="24"/>
        </w:rPr>
        <w:t>(87–90)</w:t>
      </w:r>
      <w:r>
        <w:fldChar w:fldCharType="end"/>
      </w:r>
      <w:r>
        <w:t xml:space="preserve">. Neighborhood conditions influence both access to health care and other resources, and exposure to environmental hazards and discrimination. Measures of the social and economic conditions of segregated neighborhoods, such as concentrated disadvantage (CD), are associated with racial disparities in cancer survival and other chronic diseases when measured at diagnosis </w:t>
      </w:r>
      <w:r>
        <w:fldChar w:fldCharType="begin"/>
      </w:r>
      <w:r w:rsidR="00F85975">
        <w:instrText xml:space="preserve"> ADDIN ZOTERO_ITEM CSL_CITATION {"citationID":"GC0nFBPo","properties":{"formattedCitation":"(9,17,18)","plainCitation":"(9,17,18)","noteIndex":0},"citationItems":[{"id":191,"uris":["http://zotero.org/users/1353333/items/58FACAUB"],"itemData":{"id":191,"type":"article-journal","abstract":"OBJECTIVE: We explore differences in the prevalence of asthma and other respiratory diseases at the neighborhood level. In addition to traditional metrics of neighborhood structure (e.g., concentrated disadvantage, residential stability), we incorporate residents' evaluations of neighborhood context. We examine the extent to which indicators such as disorder (observable signs of physical and social decay) and collective efficacy (trust and shared expectations for beneficial community action) account for differences in the prevalence of asthma and other respiratory diseases.\nMETHODS: We examine 338 Chicago neighborhoods, combining 3 data sources from the 1990s: 1) the Metropolitan Chicago Information Center Metro Survey; 2) the Decennial Census; and 3) the Project on Human Development in Chicago Neighborhoods Community Survey. We use a multilevel statistical approach to disentangle neighborhood- from individual-level effects.\nMEASUREMENTS: A survey-based response to whether a physician has diagnosed asthma, bronchitis, emphysema, or other breathing problems.\nRESULTS: Findings indicate that individual- and neighborhood-level factors are associated with asthma/breathing problems. At the individual level, female gender, smoking, and a weight problem are positively associated with asthma/breathing problems, while Latino ethnicity is protective. At the neighborhood level, collective efficacy is protective against asthma/breathing problems. Residential stability is positively associated only when levels of collective efficacy are controlled.\nCONCLUSIONS: Neighborhood context, particularly collective efficacy, may be an underlying factor that reduces vulnerability to asthma and other respiratory diseases. Collective efficacy may enhance the ability to garner health-relevant resources, eliminate environmental hazards that trigger asthma, and promote communication among residents which, in turn, enables dissemination of information relevant to respiratory ailments.","container-title":"Journal of General Internal Medicine","ISSN":"0884-8734","issue":"3","journalAbbreviation":"J Gen Intern Med","language":"eng","note":"PMID: 15009777\nPMCID: PMC1492148","page":"229-236","source":"PubMed","title":"Exploring neighborhood-level variation in asthma and other respiratory diseases: the contribution of neighborhood social context","title-short":"Exploring neighborhood-level variation in asthma and other respiratory diseases","volume":"19","author":[{"family":"Cagney","given":"Kathleen A."},{"family":"Browning","given":"Christopher R."}],"issued":{"date-parts":[["2004",3]]}},"label":"page"},{"id":1017,"uris":["http://zotero.org/users/1353333/items/ZN9REB3H"],"itemData":{"id":1017,"type":"article-journal","abstract":"BACKGROUND: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B."}],"issued":{"date-parts":[["2011",10]]}},"label":"page"},{"id":1166,"uris":["http://zotero.org/users/1353333/items/9696ULHB"],"itemData":{"id":1166,"type":"article-journal","abstract":"This paper examines the effect of neighborhood disadvantage on racial disparities in ovarian cancer-specific survival. Despite treatment advances for ovarian cancer, survival remains shorter for African-American compared to White women. Neighborhood disadvantage is implicated in racial disparities across a variety of health outcomes and may contribute to racial disparities in ovarian cancer-specific survival. Data were obtained from 581 women (100 African-American and 481 White) diagnosed with epithelial ovarian cancer between June 1, 1994, and December 31, 1998 in Cook County, Illinois, which includes the city of Chicago. Neighborhood disadvantage score at the time of diagnosis was calculated for each woman based on Browning and Cagney’s index of concentrated disadvantage. Cox proportional hazard models measured the association of self-identified African-American race with ovarian cancer-specific survival after adjusting for age, tumor characteristics, surgical debulking, and neighborhood disadvantage. There was a statistically significant negative association (-0.645) between ovarian cancer-specific survival and neighborhood disadvantage (p = 0.008). After adjusting for age and tumor characteristics, African-American women were more likely than Whites to die of ovarian cancer (HR = 1.59, p = 0.003). After accounting for neighborhood disadvantage, this risk was attenuated (HR = 1.32, p = 0.10). These findings demonstrate that neighborhood disadvantage is associated with ovarian cancer-specific survival and may contribute to the racial disparity in survival.","container-title":"Frontiers in Public Health","DOI":"10.3389/fpubh.2015.00008","ISSN":"2296-2565","journalAbbreviation":"Front. Public Health","language":"English","note":"https://www.frontiersin.org/articles/10.3389/fpubh.2015.00008/full","source":"Frontiers","title":"The Effect of Neighborhood Disadvantage on the Racial Disparity in Ovarian Cancer-Specific Survival in a Large Hospital-Based Study in Cook County, Illinois","volume":"3","author":[{"family":"Peterson","given":"Caryn E."},{"family":"Rauscher","given":"Garth H."},{"family":"Johnson","given":"Timothy P."},{"family":"Kirschner","given":"Carolyn V."},{"family":"Freels","given":"Sally"},{"family":"Barrett","given":"Richard E."},{"family":"Kim","given":"Seijeoung"},{"family":"Fitzgibbon","given":"Marian L."},{"family":"Joslin","given":"Charlotte E."},{"family":"Davis","given":"Faith G."}],"accessed":{"date-parts":[["2019",12,6]]},"issued":{"date-parts":[["2015"]]}},"label":"page"}],"schema":"https://github.com/citation-style-language/schema/raw/master/csl-citation.json"} </w:instrText>
      </w:r>
      <w:r>
        <w:fldChar w:fldCharType="separate"/>
      </w:r>
      <w:r w:rsidR="00321573" w:rsidRPr="00321573">
        <w:t>(9,17,18)</w:t>
      </w:r>
      <w:r>
        <w:fldChar w:fldCharType="end"/>
      </w:r>
      <w:r>
        <w:t xml:space="preserve">. The biosocial process by which neighborhood </w:t>
      </w:r>
      <w:r>
        <w:lastRenderedPageBreak/>
        <w:t xml:space="preserve">conditions undermine the health of non-Hispanic Black people has been termed “weathering”, and as the name implies, it is a cumulative process </w:t>
      </w:r>
      <w:r>
        <w:fldChar w:fldCharType="begin"/>
      </w:r>
      <w:r w:rsidR="00770B11">
        <w:instrText xml:space="preserve"> ADDIN ZOTERO_ITEM CSL_CITATION {"citationID":"FCZN2j5I","properties":{"formattedCitation":"(91)","plainCitation":"(91)","noteIndex":0},"citationItems":[{"id":971,"uris":["http://zotero.org/users/1353333/items/D5FJ587Y"],"itemData":{"id":971,"type":"article-journal","container-title":"Journal of Urban Health","DOI":"10.1007/s11524-011-9582-5","ISSN":"1099-3460, 1468-2869","issue":"3","language":"en","page":"417-435","source":"CrossRef","title":"“Weathering” HOPE VI: The Importance of Evaluating the Population Health Impact of Public Housing Demolition and Displacement","title-short":"“Weathering” HOPE VI","volume":"88","author":[{"family":"Keene","given":"Danya E."},{"family":"Geronimus","given":"Arline T."}],"issued":{"date-parts":[["2011",6]]}}}],"schema":"https://github.com/citation-style-language/schema/raw/master/csl-citation.json"} </w:instrText>
      </w:r>
      <w:r>
        <w:fldChar w:fldCharType="separate"/>
      </w:r>
      <w:r w:rsidR="00770B11" w:rsidRPr="00770B11">
        <w:t>(91)</w:t>
      </w:r>
      <w:r>
        <w:fldChar w:fldCharType="end"/>
      </w:r>
      <w:r>
        <w:t>. However, because information about past residences is not normally available from cancer registries, cancer epidemiologists usually do not know if a person’s address at diagnosis is typical of the environments in which they have lived over time. This limits our understanding of how reducing segregation and improving neighborhood conditions might benefit health, and what other policies might be necessary to eliminate racial cancer inequities.</w:t>
      </w:r>
    </w:p>
    <w:p w14:paraId="108CE444" w14:textId="0555F10C" w:rsidR="00C755A0" w:rsidRDefault="00C755A0" w:rsidP="00C755A0">
      <w:r>
        <w:t xml:space="preserve">To address lack of information about historical exposures, cancer epidemiologists are increasingly turning to commercial public records databases to reconstruct the residential histories of people diagnosed with cancer </w:t>
      </w:r>
      <w:r>
        <w:fldChar w:fldCharType="begin"/>
      </w:r>
      <w:r w:rsidR="00770B11">
        <w:instrText xml:space="preserve"> ADDIN ZOTERO_ITEM CSL_CITATION {"citationID":"bKYyYeZD","properties":{"formattedCitation":"(49,92\\uc0\\u8211{}94)","plainCitation":"(49,92–94)","noteIndex":0},"citationItems":[{"id":1284,"uris":["http://zotero.org/users/1353333/items/NRUBHZV9"],"itemData":{"id":1284,"type":"article-journal","abstract":"A key problem facing epidemiologists who wish to account for residential mobility in their analyses is the cost and difficulty of obtaining residential histories. Commercial residential history data of acceptable accuracy, cost, and coverage would be of great value. The present research evaluated the accuracy of residential histories from LexisNexis, Inc. The authors chose LexisNexis because the Michigan Cancer Registry has considered using their data, they have excellent procedures for privacy protection, and they make available residential histories at 25 cents per person. Only first and last name and address at last-known residence are required to access the residential history. The authors compared lifetime residential histories collected through the use of written surveys in a case-control study of bladder cancer in Michigan to the 3 residential addresses routinely available in the address history from LexisNexis. The LexisNexis address matches, as a whole, accounted for 71.5% of participants’ lifetime addresses. These results provided a level of accuracy that indicates routine use of residential histories from commercial vendors is feasible. More detailed residential histories are available at a higher cost but were not analyzed in this study. Although higher accuracy is desirable, LexisNexis data are a vast improvement over the assumption of immobile individuals currently used in many spatial and spatiotemporal studies.","container-title":"American Journal of Epidemiology","DOI":"10.1093/aje/kwq350","ISSN":"0002-9262","issue":"2","journalAbbreviation":"Am J Epidemiol","note":"PMID: 21084554\nPMCID: PMC3025779","page":"236-243","source":"PubMed Central","title":"Accuracy of Commercially Available Residential Histories for Epidemiologic Studies","volume":"173","author":[{"family":"Jacquez","given":"Geoffrey M."},{"family":"Slotnick","given":"Melissa J."},{"family":"Meliker","given":"Jaymie R."},{"family":"AvRuskin","given":"Gillian"},{"family":"Copeland","given":"Glenn"},{"family":"Nriagu","given":"Jerome"}],"issued":{"date-parts":[["2011",1,15]]}},"label":"page"},{"id":1267,"uris":["http://zotero.org/users/1353333/items/54J5XQXG"],"itemData":{"id":1267,"type":"article-journal","abstract":"Methods for analyzing space-time variation in risk in case-control studies typically ignore residential mobility. We develop an approach for analyzing case-control data for mobile individuals and apply it to study bladder cancer in 11 counties in southeastern Michigan. At this time data collection is incomplete and no inferences should be drawn – we analyze these data to demonstrate the novel methods. Global, local and focused clustering of residential histories for 219 cases and 437 controls is quantified using time-dependent nearest neighbor relationships. Business address histories for 268 industries that release known or suspected bladder cancer carcinogens are analyzed. A logistic model accounting for smoking, gender, age, race and education specifies the probability of being a case, and is incorporated into the cluster randomization procedures. Sensitivity of clustering to definition of the proximity metric is assessed for 1 to 75 k nearest neighbors.","container-title":"International Journal of Health Geographics","DOI":"10.1186/1476-072X-5-32","ISSN":"1476-072X","issue":"1","journalAbbreviation":"International Journal of Health Geographics","page":"32","source":"BioMed Central","title":"Case-control geographic clustering for residential histories accounting for risk factors and covariates","volume":"5","author":[{"family":"Jacquez","given":"Geoffrey M."},{"family":"Meliker","given":"Jaymie R."},{"family":"AvRuskin","given":"Gillian A."},{"family":"Goovaerts","given":"Pierre"},{"family":"Kaufmann","given":"Andy"},{"family":"Wilson","given":"Mark L."},{"family":"Nriagu","given":"Jerome"}],"issued":{"date-parts":[["2006",8,3]]}},"label":"page"},{"id":1206,"uris":["http://zotero.org/users/1353333/items/MLQSYHU7"],"itemData":{"id":1206,"type":"article-journal","abstract":"Space-time interaction arises when nearby cases occur at about the same time, and may be attributable to an infectious etiology or from exposures that cause a geographically localized increase in risk. But available techniques for detecting interaction do not account for residential mobility, nor do they evaluate sensitivity to induction and latency periods. This is an important problem for cancer, where latencies of a decade or more occur.","container-title":"International Journal of Health Geographics","DOI":"10.1186/1476-072X-6-35","ISSN":"1476-072X","issue":"1","journalAbbreviation":"International Journal of Health Geographics","page":"35","source":"BioMed Central","title":"In search of induction and latency periods: Space-time interaction accounting for residential mobility, risk factors and covariates","title-short":"In search of induction and latency periods","volume":"6","author":[{"family":"Jacquez","given":"Geoffrey M."},{"family":"Meliker","given":"Jaymie"},{"family":"Kaufmann","given":"Andy"}],"issued":{"date-parts":[["2007",8,23]]}},"label":"page"},{"id":1275,"uris":["http://zotero.org/users/1353333/items/2ZELJQ5Z"],"itemData":{"id":1275,"type":"article-journal","abstract":"To investigate potential links between environmental exposure to petrochemical plant emissions and lung cancer, a population-based case-control study (LMRICS) was conducted in eleven Louisiana parishes bordering the Mississippi River. Cases and age, gender, and race-matched controls were interviewed regarding potential risk factors. Residential history was geocoded to provide indices of long-term proximity to industrial sites. Cases were more likely to have lived near a petrochemical site. Models adjusted for other risk factors, however, showed small or no association with lung cancer (odds ratio for residence within a half-mile of a site = 1.10, 95% confidence interval 0.58–2.08). While associations were strongest for exposures exceeding 15 years, none approached statistical significance and there was no clear dose-response across exposure duration, distance categories, or when sites were grouped according to carcinogenicity rating of chemical releases. Residential proximity to petrochemical plants along the lower Mississippi thus showed no significant association with lung cancer.","container-title":"Journal of Environmental and Public Health","DOI":"10.1155/2010/759645","ISSN":"1687-9805","journalAbbreviation":"J Environ Public Health","note":"PMID: 20300547\nPMCID: PMC2838364","source":"PubMed Central","title":"Environmental Exposure to Emissions from Petrochemical Sites and Lung Cancer: The Lower Mississippi Interagency Cancer Study","title-short":"Environmental Exposure to Emissions from Petrochemical Sites and Lung Cancer","URL":"https://www.ncbi.nlm.nih.gov/pmc/articles/PMC2838364/","volume":"2010","author":[{"family":"Simonsen","given":"Neal"},{"family":"Scribner","given":"Richard"},{"family":"Su","given":"L. Joseph"},{"family":"Williams","given":"Donna"},{"family":"Luckett","given":"Brian"},{"family":"Yang","given":"Tong"},{"family":"Fontham","given":"Elizabeth T. H."}],"accessed":{"date-parts":[["2018",10,3]]},"issued":{"date-parts":[["2010"]]}},"label":"page"}],"schema":"https://github.com/citation-style-language/schema/raw/master/csl-citation.json"} </w:instrText>
      </w:r>
      <w:r>
        <w:fldChar w:fldCharType="separate"/>
      </w:r>
      <w:r w:rsidR="00770B11" w:rsidRPr="00770B11">
        <w:rPr>
          <w:rFonts w:cs="Times New Roman"/>
          <w:szCs w:val="24"/>
        </w:rPr>
        <w:t>(49,92–94)</w:t>
      </w:r>
      <w:r>
        <w:fldChar w:fldCharType="end"/>
      </w:r>
      <w:r>
        <w:t>. These studies have largely focused on environmental exposures rather than social or economic neighborhood conditions. The objective of this study is to evaluate the association between past neighborhood CD, and cancer prognosis and outcomes, in a cohort diagnosed with CRC in a predominantly urban health system.</w:t>
      </w:r>
    </w:p>
    <w:p w14:paraId="081DCC6A" w14:textId="77777777" w:rsidR="00C755A0" w:rsidRDefault="00C755A0" w:rsidP="00C755A0">
      <w:pPr>
        <w:pStyle w:val="Heading2"/>
        <w:ind w:left="0" w:firstLine="720"/>
      </w:pPr>
      <w:bookmarkStart w:id="185" w:name="_Toc145757067"/>
      <w:bookmarkStart w:id="186" w:name="_Toc145757304"/>
      <w:bookmarkStart w:id="187" w:name="_Toc145757511"/>
      <w:bookmarkStart w:id="188" w:name="_Toc148375786"/>
      <w:r>
        <w:t>Methods</w:t>
      </w:r>
      <w:bookmarkEnd w:id="185"/>
      <w:bookmarkEnd w:id="186"/>
      <w:bookmarkEnd w:id="187"/>
      <w:bookmarkEnd w:id="188"/>
    </w:p>
    <w:p w14:paraId="7A37AB76" w14:textId="77777777" w:rsidR="00C755A0" w:rsidRDefault="00C755A0" w:rsidP="00C755A0">
      <w:pPr>
        <w:pStyle w:val="Heading3"/>
        <w:numPr>
          <w:ilvl w:val="0"/>
          <w:numId w:val="9"/>
        </w:numPr>
        <w:tabs>
          <w:tab w:val="num" w:pos="360"/>
        </w:tabs>
        <w:ind w:left="0" w:firstLine="720"/>
      </w:pPr>
      <w:bookmarkStart w:id="189" w:name="_Toc145757068"/>
      <w:bookmarkStart w:id="190" w:name="_Toc145757305"/>
      <w:bookmarkStart w:id="191" w:name="_Toc145757512"/>
      <w:bookmarkStart w:id="192" w:name="_Toc148375787"/>
      <w:r>
        <w:t>Setting</w:t>
      </w:r>
      <w:bookmarkEnd w:id="189"/>
      <w:bookmarkEnd w:id="190"/>
      <w:bookmarkEnd w:id="191"/>
      <w:bookmarkEnd w:id="192"/>
    </w:p>
    <w:p w14:paraId="44B9CD78" w14:textId="77777777" w:rsidR="00C755A0" w:rsidRPr="000355EF" w:rsidRDefault="00C755A0" w:rsidP="00C755A0">
      <w:r>
        <w:t>This study was conducted in the UI Health System, located in Chicago, IL. The UI Health System includes a 465-bed tertiary hospital, outpatient clinics, a Cancer Center, and a Federally Qualified Health Center network. Cook County, IL, which contains Chicago, is the primary service area for UI Health and the Cancer Center.</w:t>
      </w:r>
    </w:p>
    <w:p w14:paraId="270C5B53" w14:textId="77777777" w:rsidR="00C755A0" w:rsidRDefault="00C755A0" w:rsidP="00C755A0">
      <w:pPr>
        <w:pStyle w:val="Heading3"/>
        <w:numPr>
          <w:ilvl w:val="0"/>
          <w:numId w:val="9"/>
        </w:numPr>
        <w:tabs>
          <w:tab w:val="num" w:pos="360"/>
        </w:tabs>
        <w:ind w:left="0" w:firstLine="720"/>
      </w:pPr>
      <w:bookmarkStart w:id="193" w:name="_Toc145757069"/>
      <w:bookmarkStart w:id="194" w:name="_Toc145757306"/>
      <w:bookmarkStart w:id="195" w:name="_Toc145757513"/>
      <w:bookmarkStart w:id="196" w:name="_Toc148375788"/>
      <w:r>
        <w:t>Case Data, Ascertainment and Inclusion Criteria</w:t>
      </w:r>
      <w:bookmarkEnd w:id="193"/>
      <w:bookmarkEnd w:id="194"/>
      <w:bookmarkEnd w:id="195"/>
      <w:bookmarkEnd w:id="196"/>
    </w:p>
    <w:p w14:paraId="201833C1" w14:textId="77777777" w:rsidR="00C755A0" w:rsidRDefault="00C755A0" w:rsidP="00C755A0">
      <w:r>
        <w:t>This study was reviewed and approved by the Institutional Review Board of University of Illinois Chicago. Following approval, the tumor registry was used to identify all incident colorectal cancers diagnosed within the UI Health System between January 1, 1995 and December 31, 2004. Included cases were diagnosed with primary cancers of the colon or rectum (International Classification of Diseases for Oncology, third edition [ICD-O-3], codes C18-C20).</w:t>
      </w:r>
    </w:p>
    <w:p w14:paraId="5B863A38" w14:textId="77777777" w:rsidR="00C755A0" w:rsidRDefault="00C755A0" w:rsidP="00C755A0">
      <w:r>
        <w:lastRenderedPageBreak/>
        <w:t>Case information includes full name, date of birth, race, ethnicity, sex, age at diagnosis, first contact date, anatomic site, descriptive stage, full address at diagnosis, and current or last known full address at the time the data were accessed. Race and ethnicity were categorized as non-Hispanic white (NHW), non-Hispanic Black (NHB), Hispanic, and Other based on the small number of cases in patients of other races or ethnicities.</w:t>
      </w:r>
    </w:p>
    <w:p w14:paraId="47745EA5" w14:textId="77777777" w:rsidR="00C755A0" w:rsidRDefault="00C755A0" w:rsidP="00C755A0">
      <w:r>
        <w:t>The selection of the analytic cohort is illustrated in Figure 1. There were 780 cases identified during the study period. Of these, 169 were excluded due to age. Selected cases were at least 40 years old, and less than or equal to 75 years old, at diagnosis. The lower age limit was selected to ensure that all included cases would have at least 10 years of adult residential history before diagnosis. The upper age limit was selected to ensure that all included cases would have several years of potential follow-up after diagnosis to support survival analysis.</w:t>
      </w:r>
    </w:p>
    <w:p w14:paraId="1B6294F4" w14:textId="2A25B476" w:rsidR="00171A7B" w:rsidRDefault="00171A7B" w:rsidP="00C755A0">
      <w:r>
        <w:t xml:space="preserve">An additional 158 cases were excluded because they could not be matched in the LexisNexis Accurint for Government database, described below. The selection of this sample, and the limitations associated with use of commercial residential histories, have also been described previously in Freeman, et al. </w:t>
      </w:r>
      <w:r>
        <w:fldChar w:fldCharType="begin"/>
      </w:r>
      <w:r w:rsidR="00A9340A">
        <w:instrText xml:space="preserve"> ADDIN ZOTERO_ITEM CSL_CITATION {"citationID":"Nair0zCe","properties":{"formattedCitation":"(68)","plainCitation":"(68)","noteIndex":0},"citationItems":[{"id":1162,"uris":["http://zotero.org/users/1353333/items/N8VTLK6H"],"itemData":{"id":1162,"type":"article-journal","abstract":"Purpose\nThis study examined potential sources of selection and information biases when using residence history information from a commercial database to construct residential histories for cancer research.\nMethods\nWe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mortality.\nResults\nRacial/ethnic minorities were less likely to match to vendor residence data compared with non-Hispanic whites (odd ratios [95% confidence intervals (CIs)] for non-Hispanic blacks, Hispanics, and Asian/Pacific Islander were 1.66 [1.30, 2.12], 2.92 [2.18, 3.90], and 4.53 [2.72, 7.55], respectively). Being non-Hispanic black was negatively associated with years of residential history (vs. non-Hispanic whites, β coefficient [95% CI] = −2.57 [−3.40, −1.73]). Not matching to residence data was associated with an increased 5-year odds of death from any cause (vs. matched subjects, odd ratios [95% CI] = 5.92 [4.29, 8.50]).\nConclusions\nDifferential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Epidemiology","language":"en","page":"35-40.e1","source":"ScienceDirect","title":"Sources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Y."},{"family":"Basu","given":"Sanjib"},{"family":"Kwan","given":"Mei-Po"}],"issued":{"date-parts":[["2020",11,1]]}}}],"schema":"https://github.com/citation-style-language/schema/raw/master/csl-citation.json"} </w:instrText>
      </w:r>
      <w:r>
        <w:fldChar w:fldCharType="separate"/>
      </w:r>
      <w:r w:rsidR="00A9340A" w:rsidRPr="00A9340A">
        <w:t>(68)</w:t>
      </w:r>
      <w:r>
        <w:fldChar w:fldCharType="end"/>
      </w:r>
      <w:r>
        <w:t>. Finally, 9 cases were matched by LexisNexis but no residential histories could be derived from the returned addresses.</w:t>
      </w:r>
    </w:p>
    <w:p w14:paraId="61295E9E" w14:textId="5AEAAE12" w:rsidR="00016892" w:rsidRDefault="00016892" w:rsidP="00016892">
      <w:pPr>
        <w:pStyle w:val="Heading3"/>
        <w:numPr>
          <w:ilvl w:val="0"/>
          <w:numId w:val="9"/>
        </w:numPr>
        <w:tabs>
          <w:tab w:val="num" w:pos="360"/>
        </w:tabs>
        <w:ind w:left="0" w:firstLine="720"/>
      </w:pPr>
      <w:bookmarkStart w:id="197" w:name="_Toc148375789"/>
      <w:r>
        <w:t>Tumor Characteristics</w:t>
      </w:r>
      <w:bookmarkEnd w:id="197"/>
    </w:p>
    <w:p w14:paraId="59A4A790" w14:textId="6E0E9D4B" w:rsidR="000C53F0" w:rsidRPr="00B8665F" w:rsidRDefault="000C53F0" w:rsidP="000C53F0">
      <w:r>
        <w:t>Stage at diagnosis was based on the American Joint Committee on Cancer (AJCC) 8</w:t>
      </w:r>
      <w:r w:rsidRPr="000C53F0">
        <w:rPr>
          <w:vertAlign w:val="superscript"/>
        </w:rPr>
        <w:t>th</w:t>
      </w:r>
      <w:r>
        <w:t xml:space="preserve"> edition summary stages for cancers of the colon and rectum </w:t>
      </w:r>
      <w:r>
        <w:fldChar w:fldCharType="begin"/>
      </w:r>
      <w:r w:rsidR="00770B11">
        <w:instrText xml:space="preserve"> ADDIN ZOTERO_ITEM CSL_CITATION {"citationID":"StT4aIs4","properties":{"formattedCitation":"(95)","plainCitation":"(95)","noteIndex":0},"citationItems":[{"id":3694,"uris":["http://zotero.org/users/1353333/items/G5VQVND2"],"itemData":{"id":3694,"type":"chapter","container-title":"AJCC Cancer Staging Manual","edition":"8th","event-place":"New York, NY","publisher":"Springer","publisher-place":"New York, NY","title":"Chapter 20 - Colon and Rectum","author":[{"literal":"American Joint Committee on Cancer"}],"issued":{"date-parts":[["2017"]]}},"label":"page"}],"schema":"https://github.com/citation-style-language/schema/raw/master/csl-citation.json"} </w:instrText>
      </w:r>
      <w:r>
        <w:fldChar w:fldCharType="separate"/>
      </w:r>
      <w:r w:rsidR="00770B11" w:rsidRPr="00770B11">
        <w:t>(95)</w:t>
      </w:r>
      <w:r>
        <w:fldChar w:fldCharType="end"/>
      </w:r>
      <w:r>
        <w:t xml:space="preserve">. Stages included 0, I, II, III, IV, or missing. Three anatomic sites were abstracted from medical records: colon, rectosigmoid junction, and rectum. Vital status as of June 30, 2018, was ascertained by the tumor registry through linkage to the Social Security Death Master File </w:t>
      </w:r>
      <w:r>
        <w:fldChar w:fldCharType="begin"/>
      </w:r>
      <w:r w:rsidR="00770B11">
        <w:instrText xml:space="preserve"> ADDIN ZOTERO_ITEM CSL_CITATION {"citationID":"w81jBO5L","properties":{"formattedCitation":"(96)","plainCitation":"(96)","noteIndex":0},"citationItems":[{"id":3630,"uris":["http://zotero.org/users/1353333/items/WU6XEV4F"],"itemData":{"id":3630,"type":"webpage","title":"National Technical Information Service","URL":"https://dmf.ntis.gov/","author":[{"literal":"US Department of Commerce"}],"accessed":{"date-parts":[["2023",9,2]]}}}],"schema":"https://github.com/citation-style-language/schema/raw/master/csl-citation.json"} </w:instrText>
      </w:r>
      <w:r>
        <w:fldChar w:fldCharType="separate"/>
      </w:r>
      <w:r w:rsidR="00770B11" w:rsidRPr="00770B11">
        <w:t>(96)</w:t>
      </w:r>
      <w:r>
        <w:fldChar w:fldCharType="end"/>
      </w:r>
      <w:r>
        <w:t>.</w:t>
      </w:r>
    </w:p>
    <w:p w14:paraId="4C2B47A2" w14:textId="77777777" w:rsidR="00607735" w:rsidRDefault="00607735" w:rsidP="00607735">
      <w:pPr>
        <w:pStyle w:val="Heading3"/>
        <w:numPr>
          <w:ilvl w:val="0"/>
          <w:numId w:val="9"/>
        </w:numPr>
        <w:tabs>
          <w:tab w:val="num" w:pos="360"/>
        </w:tabs>
        <w:ind w:left="0" w:firstLine="720"/>
      </w:pPr>
      <w:bookmarkStart w:id="198" w:name="_Toc145757071"/>
      <w:bookmarkStart w:id="199" w:name="_Toc145757308"/>
      <w:bookmarkStart w:id="200" w:name="_Toc145757515"/>
      <w:bookmarkStart w:id="201" w:name="_Toc148375790"/>
      <w:r>
        <w:t>Residential History Data Collection and Preparation</w:t>
      </w:r>
      <w:bookmarkEnd w:id="198"/>
      <w:bookmarkEnd w:id="199"/>
      <w:bookmarkEnd w:id="200"/>
      <w:bookmarkEnd w:id="201"/>
    </w:p>
    <w:p w14:paraId="238B6F33" w14:textId="3367F163" w:rsidR="000C53F0" w:rsidRDefault="00607735" w:rsidP="00607735">
      <w:r>
        <w:t>Residential histories were obtained using the LexisNexis Accurint for government database (LexisNexis Risk Solutions, Inc., Florida). Searches were conducted using full name, date of birth,</w:t>
      </w:r>
    </w:p>
    <w:p w14:paraId="5C43C512" w14:textId="62D3CE7F" w:rsidR="00171A7B" w:rsidRDefault="00C755A0" w:rsidP="00026DE1">
      <w:pPr>
        <w:pStyle w:val="FigureLegend"/>
      </w:pPr>
      <w:r>
        <w:rPr>
          <w:noProof/>
        </w:rPr>
        <w:lastRenderedPageBreak/>
        <w:drawing>
          <wp:anchor distT="0" distB="0" distL="114300" distR="114300" simplePos="0" relativeHeight="251659264" behindDoc="0" locked="0" layoutInCell="1" allowOverlap="1" wp14:anchorId="099FE962" wp14:editId="050945E9">
            <wp:simplePos x="0" y="0"/>
            <wp:positionH relativeFrom="margin">
              <wp:align>left</wp:align>
            </wp:positionH>
            <wp:positionV relativeFrom="paragraph">
              <wp:posOffset>-1905</wp:posOffset>
            </wp:positionV>
            <wp:extent cx="5946236" cy="3438144"/>
            <wp:effectExtent l="0" t="0" r="0" b="0"/>
            <wp:wrapSquare wrapText="bothSides"/>
            <wp:docPr id="15107028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702861" name=""/>
                    <pic:cNvPicPr/>
                  </pic:nvPicPr>
                  <pic:blipFill>
                    <a:blip r:embed="rId27">
                      <a:extLst>
                        <a:ext uri="{28A0092B-C50C-407E-A947-70E740481C1C}">
                          <a14:useLocalDpi xmlns:a14="http://schemas.microsoft.com/office/drawing/2010/main" val="0"/>
                        </a:ext>
                      </a:extLst>
                    </a:blip>
                    <a:stretch>
                      <a:fillRect/>
                    </a:stretch>
                  </pic:blipFill>
                  <pic:spPr>
                    <a:xfrm>
                      <a:off x="0" y="0"/>
                      <a:ext cx="5946236" cy="3438144"/>
                    </a:xfrm>
                    <a:prstGeom prst="rect">
                      <a:avLst/>
                    </a:prstGeom>
                  </pic:spPr>
                </pic:pic>
              </a:graphicData>
            </a:graphic>
            <wp14:sizeRelV relativeFrom="margin">
              <wp14:pctHeight>0</wp14:pctHeight>
            </wp14:sizeRelV>
          </wp:anchor>
        </w:drawing>
      </w:r>
      <w:bookmarkStart w:id="202" w:name="_Toc145757070"/>
      <w:bookmarkStart w:id="203" w:name="_Toc145757307"/>
      <w:bookmarkStart w:id="204" w:name="_Toc145757514"/>
      <w:r w:rsidR="00026DE1">
        <w:t>Figure 4. Selection of the analytic cohort</w:t>
      </w:r>
    </w:p>
    <w:p w14:paraId="4B449B85" w14:textId="77777777" w:rsidR="00171A7B" w:rsidRDefault="00171A7B" w:rsidP="00171A7B">
      <w:pPr>
        <w:spacing w:line="240" w:lineRule="auto"/>
      </w:pPr>
    </w:p>
    <w:p w14:paraId="3B1A271F" w14:textId="77777777" w:rsidR="00171A7B" w:rsidRDefault="00171A7B" w:rsidP="00171A7B">
      <w:pPr>
        <w:spacing w:line="240" w:lineRule="auto"/>
      </w:pPr>
    </w:p>
    <w:p w14:paraId="3BC8A049" w14:textId="77777777" w:rsidR="00171A7B" w:rsidRDefault="00171A7B" w:rsidP="00171A7B">
      <w:pPr>
        <w:spacing w:line="240" w:lineRule="auto"/>
      </w:pPr>
    </w:p>
    <w:p w14:paraId="6A663153" w14:textId="77777777" w:rsidR="00171A7B" w:rsidRDefault="00171A7B" w:rsidP="00171A7B">
      <w:pPr>
        <w:spacing w:line="240" w:lineRule="auto"/>
      </w:pPr>
    </w:p>
    <w:bookmarkEnd w:id="202"/>
    <w:bookmarkEnd w:id="203"/>
    <w:bookmarkEnd w:id="204"/>
    <w:p w14:paraId="72F72575" w14:textId="4CB737CE" w:rsidR="00C755A0" w:rsidRDefault="00C755A0" w:rsidP="00607735">
      <w:pPr>
        <w:ind w:firstLine="0"/>
      </w:pPr>
      <w:r>
        <w:t xml:space="preserve">and residential address at the time of diagnosis using a matching procedure that has been described previously </w:t>
      </w:r>
      <w:r>
        <w:fldChar w:fldCharType="begin"/>
      </w:r>
      <w:r w:rsidR="006502FC">
        <w:instrText xml:space="preserve"> ADDIN ZOTERO_ITEM CSL_CITATION {"citationID":"msr0VNRw","properties":{"formattedCitation":"(51,57)","plainCitation":"(51,57)","noteIndex":0},"citationItems":[{"id":3191,"uris":["http://zotero.org/users/1353333/items/AVGQXRJN"],"itemData":{"id":3191,"type":"article-journal","abstract":"Purpose: This study examined potential sources of selection and information biases when using residence history information from a commercial database to construct residential histories for cancer research.\nMethods: 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 Racial/ethnic minorities were less likely to match to vendor residence data compared with nonHispanic whites (odd ratios [95% conﬁdence intervals (CIs)] for non-Hispanic blacks, Hispanics, and Asian/Paciﬁc Islander were 1.66 [1.30, 2.12], 2.92 [2.18, 3.90], and 4.53 [2.72, 7.55], respectively). Being non-Hispanic black was negatively associated with years of residential history (vs. non-Hispanic whites, b coefﬁcient [95% CI] ¼ À2.57 [À3.40, À1.73]). Not matching to residence data was associated with an increased 5-year odds of death from any cause (vs. matched subjects, odd ratios [95% CI] ¼ 5.92 [4.29, 8.50]).\nConclusions: 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Epidemiology","language":"en","page":"35-40.e1","source":"DOI.org (Crossref)","title":"Sources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Y."},{"family":"Basu","given":"Sanjib"},{"family":"Kwan","given":"Mei-Po"}],"issued":{"date-parts":[["2020",11]]}},"label":"act"},{"id":1213,"uris":["http://zotero.org/users/1353333/items/BMKQHEF8"],"itemData":{"id":1213,"type":"report","event-place":"Rockville, MD","language":"en","publisher":"Westat, Inc.","publisher-place":"Rockville, MD","source":"Zotero","title":"NCI/SEER Residential History Project Technical Report","URL":"https://www.westat.com/tools-for-using-commercial-sources-of-residential-histories-for-cancer-research/","author":[{"family":"Stinchcomb","given":"Dave G."},{"family":"Roeser","given":"Allison"}],"issued":{"date-parts":[["2016"]]}},"label":"act"}],"schema":"https://github.com/citation-style-language/schema/raw/master/csl-citation.json"} </w:instrText>
      </w:r>
      <w:r>
        <w:fldChar w:fldCharType="separate"/>
      </w:r>
      <w:r w:rsidR="00A9340A" w:rsidRPr="00A9340A">
        <w:t>(51,57)</w:t>
      </w:r>
      <w:r>
        <w:fldChar w:fldCharType="end"/>
      </w:r>
      <w:r>
        <w:t>. Results included up to 15 previous addresses associated with each case, and the month and year that each address was first and last observed in association with the case’s name.</w:t>
      </w:r>
    </w:p>
    <w:p w14:paraId="0E64EAA6" w14:textId="22FF031A" w:rsidR="00C755A0" w:rsidRDefault="00C755A0" w:rsidP="00C755A0">
      <w:r>
        <w:t xml:space="preserve">Commercial residential history data from LexisNexis and residential addresses from the tumor registry were combined, geocoded, and matched to their 2010 Census tract in R 4.1 by using the </w:t>
      </w:r>
      <w:proofErr w:type="spellStart"/>
      <w:r>
        <w:t>censusxy</w:t>
      </w:r>
      <w:proofErr w:type="spellEnd"/>
      <w:r>
        <w:t xml:space="preserve"> package to access the Census batch geocoder </w:t>
      </w:r>
      <w:r>
        <w:fldChar w:fldCharType="begin"/>
      </w:r>
      <w:r w:rsidR="00770B11">
        <w:instrText xml:space="preserve"> ADDIN ZOTERO_ITEM CSL_CITATION {"citationID":"L2wyL44X","properties":{"formattedCitation":"(97)","plainCitation":"(97)","noteIndex":0},"citationItems":[{"id":1144,"uris":["http://zotero.org/users/1353333/items/GZIPZSHP"],"itemData":{"id":1144,"type":"software","abstract":"Provides access to the U.S. Census Bureau's A.P.I for matching American street addresses with their longitude and latitude. This includes both single address matching as well as batch functionality for multiple addresses. Census geographies can be appended to addresses if desired, and reverse geocoding of point locations to census geographies is also supported.","license":"GPL-3","source":"R-Packages","title":"censusxy: Access the U.S. Census Bureau's Geocoding A.P.I. System","title-short":"censusxy","URL":"https://CRAN.R-project.org/package=censusxy","version":"1.0.1","author":[{"family":"Prener","given":"Christopher"},{"family":"Fox","given":"Branson"}],"accessed":{"date-parts":[["2021",7,7]]},"issued":{"date-parts":[["2021",2,18]]}}}],"schema":"https://github.com/citation-style-language/schema/raw/master/csl-citation.json"} </w:instrText>
      </w:r>
      <w:r>
        <w:fldChar w:fldCharType="separate"/>
      </w:r>
      <w:r w:rsidR="00770B11" w:rsidRPr="00770B11">
        <w:t>(97)</w:t>
      </w:r>
      <w:r>
        <w:fldChar w:fldCharType="end"/>
      </w:r>
      <w:r>
        <w:t>.</w:t>
      </w:r>
    </w:p>
    <w:p w14:paraId="508AA092" w14:textId="5478DF53" w:rsidR="00C755A0" w:rsidRDefault="00C755A0" w:rsidP="00C755A0">
      <w:r>
        <w:t xml:space="preserve">Geocoded addresses were processed using ResHistGen, a publicly available SAS macro developed by Westat </w:t>
      </w:r>
      <w:r>
        <w:fldChar w:fldCharType="begin"/>
      </w:r>
      <w:r w:rsidR="006502FC">
        <w:instrText xml:space="preserve"> ADDIN ZOTERO_ITEM CSL_CITATION {"citationID":"L49HC038","properties":{"formattedCitation":"(51,98)","plainCitation":"(51,98)","noteIndex":0},"citationItems":[{"id":1213,"uris":["http://zotero.org/users/1353333/items/BMKQHEF8"],"itemData":{"id":1213,"type":"report","event-place":"Rockville, MD","language":"en","publisher":"Westat, Inc.","publisher-place":"Rockville, MD","source":"Zotero","title":"NCI/SEER Residential History Project Technical Report","URL":"https://www.westat.com/tools-for-using-commercial-sources-of-residential-histories-for-cancer-research/","author":[{"family":"Stinchcomb","given":"Dave G."},{"family":"Roeser","given":"Allison"}],"issued":{"date-parts":[["2016"]]}},"label":"page"},{"id":1264,"uris":["http://zotero.org/users/1353333/items/SE4U7QZQ"],"itemData":{"id":1264,"type":"software","title":"ResHistGen Residential History Generation Programs","version":"1.0","author":[{"literal":"Surveillance Research Program, National Cancer Institute"}],"issued":{"date-parts":[["2016",6]]}},"label":"page"}],"schema":"https://github.com/citation-style-language/schema/raw/master/csl-citation.json"} </w:instrText>
      </w:r>
      <w:r>
        <w:fldChar w:fldCharType="separate"/>
      </w:r>
      <w:r w:rsidR="00770B11" w:rsidRPr="00770B11">
        <w:t>(51,98)</w:t>
      </w:r>
      <w:r>
        <w:fldChar w:fldCharType="end"/>
      </w:r>
      <w:r>
        <w:t>. The program deduplicates address data and creates a single continuous residential history for each case by reconciling the start and end dates associated with individual addresses.</w:t>
      </w:r>
    </w:p>
    <w:p w14:paraId="713ED8B4" w14:textId="77777777" w:rsidR="00C755A0" w:rsidRDefault="00C755A0" w:rsidP="00C755A0">
      <w:r>
        <w:t xml:space="preserve">Most addresses that could not be geocoded were able to be adjudicated by manual review and web searching to look for possible spelling or data entry errors. The corrected addresses were </w:t>
      </w:r>
      <w:r>
        <w:lastRenderedPageBreak/>
        <w:t>then resubmitted to the Census batch geocoder. However, because the residential histories included older addresses by definition, not all addresses were able to be geocoded or processed by ResHistGen. These included post office boxes, obsolete address formats such as rural routes that could not be matched to an updated address, foreign and some military addresses, and addresses that no longer exist. The ResHistGen deduplication process also does not support analysis of residential histories in which a person leaves an address and returns repeatedly. In most cases, these errors reduced the number of addresses available for analysis but did not prevent creation of a partial residential history. In the 9 cases described above, all available addresses were unable to be geocoded and also unable to be adjudicated by human reviewers.</w:t>
      </w:r>
    </w:p>
    <w:p w14:paraId="3B3813FC" w14:textId="71DB98F3" w:rsidR="00C755A0" w:rsidRDefault="00C755A0" w:rsidP="00C755A0">
      <w:r>
        <w:t xml:space="preserve">Concentrated disadvantage (CD) data were assembled from the Longitudinal Tract Database (LTDB), a public database of Census and American Community Survey (ACS) estimates within harmonized tract boundaries covering 1970-2019 </w:t>
      </w:r>
      <w:r>
        <w:fldChar w:fldCharType="begin"/>
      </w:r>
      <w:r w:rsidR="00A9340A">
        <w:instrText xml:space="preserve"> ADDIN ZOTERO_ITEM CSL_CITATION {"citationID":"VBai05Yu","properties":{"formattedCitation":"(58)","plainCitation":"(58)","noteIndex":0},"citationItems":[{"id":58,"uris":["http://zotero.org/users/1353333/items/65V4IYFG"],"itemData":{"id":58,"type":"dataset","title":"Longitudinal Tract Database (LTDB)","URL":"https://s4.ad.brown.edu/projects/diversity/Researcher/LTDB.htm","author":[{"family":"Logan","given":"John R"},{"family":"Xu","given":"Zengwang"},{"family":"Stults","given":"Brian J."}],"issued":{"date-parts":[["2014"]]}}}],"schema":"https://github.com/citation-style-language/schema/raw/master/csl-citation.json"} </w:instrText>
      </w:r>
      <w:r>
        <w:fldChar w:fldCharType="separate"/>
      </w:r>
      <w:r w:rsidR="00A9340A" w:rsidRPr="00A9340A">
        <w:t>(58)</w:t>
      </w:r>
      <w:r>
        <w:fldChar w:fldCharType="end"/>
      </w:r>
      <w:r>
        <w:t xml:space="preserve">. In 1970-2010, population data were estimated using the decennial census and linear interpolation for intercensal years. In 2010 and beyond, population data come from the ACS 5-year estimates for 2008-2012 and 2013-2017. Because the purpose of this analysis was to evaluate the effect of neighborhood disadvantage on racial health inequities, the CD score was modified from the original formula published by Brown and Cagney </w:t>
      </w:r>
      <w:r>
        <w:fldChar w:fldCharType="begin"/>
      </w:r>
      <w:r w:rsidR="00F85975">
        <w:instrText xml:space="preserve"> ADDIN ZOTERO_ITEM CSL_CITATION {"citationID":"z9vJU8zA","properties":{"formattedCitation":"(10)","plainCitation":"(10)","noteIndex":0},"citationItems":[{"id":192,"uris":["http://zotero.org/users/1353333/items/STVKBBZB"],"itemData":{"id":192,"type":"article-journal","abstract":"Our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A."}],"issued":{"date-parts":[["2002",12]]}}}],"schema":"https://github.com/citation-style-language/schema/raw/master/csl-citation.json"} </w:instrText>
      </w:r>
      <w:r>
        <w:fldChar w:fldCharType="separate"/>
      </w:r>
      <w:r w:rsidR="00321573" w:rsidRPr="00321573">
        <w:t>(10)</w:t>
      </w:r>
      <w:r>
        <w:fldChar w:fldCharType="end"/>
      </w:r>
      <w:r>
        <w:t xml:space="preserve"> to exclude the share of the tract population that was African American. In the original measure, the components related to poverty, female-headed households, employment, and education each had factor loadings of 0.85, while the factor loading for percent African American was 0.6. Therefore, dropping the component for tract racial composition yielded the sum of equally weighted tract-level poverty rate, share of households with a female head, unemployment rate, and share of the population age 25 or older with no college degree </w:t>
      </w:r>
      <w:r>
        <w:fldChar w:fldCharType="begin"/>
      </w:r>
      <w:r w:rsidR="00F85975">
        <w:instrText xml:space="preserve"> ADDIN ZOTERO_ITEM CSL_CITATION {"citationID":"mm6ad6Eu","properties":{"formattedCitation":"(10,17)","plainCitation":"(10,17)","noteIndex":0},"citationItems":[{"id":1017,"uris":["http://zotero.org/users/1353333/items/ZN9REB3H"],"itemData":{"id":1017,"type":"article-journal","abstract":"BACKGROUND: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B."}],"issued":{"date-parts":[["2011",10]]}},"label":"page"},{"id":192,"uris":["http://zotero.org/users/1353333/items/STVKBBZB"],"itemData":{"id":192,"type":"article-journal","abstract":"Our analyses examine the role neighborhood structural characteristics--including concentrated disadvantage, residential instability, and immigrant concentration--as well as collective efficacy in promoting physical health among neighborhood residents. Using data from the 1990 census, the 1994 Project on Human Development in Chicago Neighborhoods Community Survey, and the 1991-2000 Metropolitan Chicago Information Center-Metro Survey, we model the effects of individual and neighborhood level factors on self-rated physical health employing hierarchical ordered logit models. First, we find that neighborhood socioeconomic disadvantage is not significantly related to self-rated physical health when individual level demographic and health background are controlled. Second, individuals residing in neighborhoods with higher levels of collective efficacy report better overall health. Finally, socioeconomic disadvantage and collective efficacy condition the positive effects of individual level education on physical health.","container-title":"Journal of Health and Social Behavior","ISSN":"0022-1465","issue":"4","journalAbbreviation":"J Health Soc Behav","language":"eng","note":"PMID: 12664672","page":"383-399","source":"PubMed","title":"Neighborhood structural disadvantage, collective efficacy, and self-rated physical health in an urban setting","volume":"43","author":[{"family":"Browning","given":"Christopher R."},{"family":"Cagney","given":"Kathleen A."}],"issued":{"date-parts":[["2002",12]]}},"label":"page"}],"schema":"https://github.com/citation-style-language/schema/raw/master/csl-citation.json"} </w:instrText>
      </w:r>
      <w:r>
        <w:fldChar w:fldCharType="separate"/>
      </w:r>
      <w:r w:rsidR="00321573" w:rsidRPr="00321573">
        <w:t>(10,17)</w:t>
      </w:r>
      <w:r>
        <w:fldChar w:fldCharType="end"/>
      </w:r>
      <w:r>
        <w:t xml:space="preserve">. After the individual components were estimated, a separate CD score was calculated for each year/tract combination and joined to the residential history file. Two scores were selected for analysis for each case: CD </w:t>
      </w:r>
      <w:r>
        <w:lastRenderedPageBreak/>
        <w:t>score at residence in the year of diagnosis, and CD score at then-current residence 10 years before diagnosis.</w:t>
      </w:r>
    </w:p>
    <w:p w14:paraId="71638B94" w14:textId="7BB57230" w:rsidR="00C755A0" w:rsidRDefault="00C755A0" w:rsidP="00C755A0">
      <w:r>
        <w:t>Cases were matched to the National Death Index (NDI) with follow-up through December 31, 201</w:t>
      </w:r>
      <w:r w:rsidR="00006898">
        <w:t>4</w:t>
      </w:r>
      <w:r>
        <w:t xml:space="preserve">. Based on the date and vital status at last contact, 53 cases were known to still be alive at the end of follow-up. For the remaining 391 cases vital status and cause of death, if applicable, were ascertained using the NDI-Plus service. Searches were based on first name, last name, date of birth, sex, and race. Matches were adjudicated based on tumor registry records, other health system records, and public records including obituaries. Of </w:t>
      </w:r>
      <w:r w:rsidR="00CE0C16">
        <w:t>these</w:t>
      </w:r>
      <w:r>
        <w:t xml:space="preserve"> cases, six were known to have died based on hospital records but were not found by the NDI search. In these cases, attribution of cause of death was based on cancer stage at diagnosis and the time from diagnosis to death. Survival time was calculated in days between the tumor registry date of diagnosis and the date of death, if any, in the NDI. The outcome of interest was CRC-specific death.</w:t>
      </w:r>
    </w:p>
    <w:p w14:paraId="12EE8F39" w14:textId="77777777" w:rsidR="00C755A0" w:rsidRDefault="00C755A0" w:rsidP="00C755A0">
      <w:pPr>
        <w:pStyle w:val="Heading3"/>
        <w:ind w:left="0" w:firstLine="720"/>
      </w:pPr>
      <w:bookmarkStart w:id="205" w:name="_Toc145757072"/>
      <w:bookmarkStart w:id="206" w:name="_Toc145757309"/>
      <w:bookmarkStart w:id="207" w:name="_Toc145757516"/>
      <w:bookmarkStart w:id="208" w:name="_Toc148375791"/>
      <w:r>
        <w:t>Statistical Analysis</w:t>
      </w:r>
      <w:bookmarkEnd w:id="205"/>
      <w:bookmarkEnd w:id="206"/>
      <w:bookmarkEnd w:id="207"/>
      <w:bookmarkEnd w:id="208"/>
    </w:p>
    <w:p w14:paraId="64F94B42" w14:textId="1409AD42" w:rsidR="00C755A0" w:rsidRDefault="00C755A0" w:rsidP="00C755A0">
      <w:r>
        <w:t>Data were analyzed in SAS 9.4. Chi-square tests were used to evaluate crude associations between covariates and stage at diagnosis or vital status.</w:t>
      </w:r>
    </w:p>
    <w:p w14:paraId="12EF2466" w14:textId="47A6EBDC" w:rsidR="00B069DD" w:rsidRDefault="00C755A0" w:rsidP="00C755A0">
      <w:r>
        <w:t xml:space="preserve">The association between CD score and stage at diagnosis was modeled using multinomial logistic regression to allow inclusion of the unstaged category as an outcome. </w:t>
      </w:r>
      <w:r w:rsidR="00E7422E">
        <w:t xml:space="preserve">Because stage data was missing for a large proportion of cases, this association was also modeled using binary logistic regression. In the binary logistic regression model, all cases with missing stage data were excluded. The model predicted the probability of having advanced (stage III/IV) cancer at diagnosis. </w:t>
      </w:r>
      <w:r w:rsidR="00B069DD">
        <w:t>For these models, stages 0 and I were combined.</w:t>
      </w:r>
    </w:p>
    <w:p w14:paraId="4AC8FCBE" w14:textId="19083C08" w:rsidR="00C755A0" w:rsidRDefault="00B27A9C" w:rsidP="00C755A0">
      <w:r>
        <w:t xml:space="preserve">Kaplan-Meier survival curves were calculated stratified by stage at diagnosis. The results were used to determine how to model the effect of stage in further survival analysis. </w:t>
      </w:r>
      <w:r w:rsidR="00C755A0">
        <w:t xml:space="preserve">The association between CD score and CRC-specific survival was evaluated using the Cox proportional </w:t>
      </w:r>
      <w:r w:rsidR="00C755A0">
        <w:lastRenderedPageBreak/>
        <w:t>hazards model.</w:t>
      </w:r>
      <w:r w:rsidR="00E7422E">
        <w:t xml:space="preserve"> For this model, 19 stage 0 cases were excluded because no deaths were observed in this group.</w:t>
      </w:r>
    </w:p>
    <w:p w14:paraId="1B94CFBB" w14:textId="2E6C8C27" w:rsidR="00C755A0" w:rsidRPr="00D82BD4" w:rsidRDefault="00C755A0" w:rsidP="00C755A0">
      <w:r>
        <w:t xml:space="preserve">Sex, race/ethnicity, age at diagnosis, anatomic site, and year of diagnosis were included in both models </w:t>
      </w:r>
      <w:r>
        <w:rPr>
          <w:i/>
          <w:iCs/>
        </w:rPr>
        <w:t>a priori</w:t>
      </w:r>
      <w:r>
        <w:t xml:space="preserve">. Age at diagnosis was divided by ten to yield modeled parameter estimates per 10-year change. Stage at diagnosis was included in the survival model as a nominal variable because of the large number of unstaged cancers. Female sex, non-Hispanic white race/ethnicity, and rectal cancer site were treated as reference categories. Two </w:t>
      </w:r>
      <w:r w:rsidR="00F419F6">
        <w:t xml:space="preserve">main </w:t>
      </w:r>
      <w:r>
        <w:t>versions of each model were run, one using CD score at diagnosis and one using the CD score with a 10-year lag.</w:t>
      </w:r>
      <w:r w:rsidR="00F419F6">
        <w:t xml:space="preserve"> Additional survival models were run using CD score lags of 5, 15, or 20 years to assess whether there was a trend in association between survival and CD score at a given time point.</w:t>
      </w:r>
    </w:p>
    <w:p w14:paraId="36F1F015" w14:textId="77777777" w:rsidR="00C755A0" w:rsidRDefault="00C755A0" w:rsidP="00C755A0">
      <w:pPr>
        <w:pStyle w:val="Heading2"/>
        <w:ind w:left="0" w:firstLine="720"/>
      </w:pPr>
      <w:bookmarkStart w:id="209" w:name="_Toc145757073"/>
      <w:bookmarkStart w:id="210" w:name="_Toc145757310"/>
      <w:bookmarkStart w:id="211" w:name="_Toc145757517"/>
      <w:bookmarkStart w:id="212" w:name="_Toc148375792"/>
      <w:r>
        <w:t>Results</w:t>
      </w:r>
      <w:bookmarkEnd w:id="209"/>
      <w:bookmarkEnd w:id="210"/>
      <w:bookmarkEnd w:id="211"/>
      <w:bookmarkEnd w:id="212"/>
    </w:p>
    <w:p w14:paraId="22578320" w14:textId="77777777" w:rsidR="00607735" w:rsidRDefault="00C755A0" w:rsidP="00607735">
      <w:r>
        <w:t xml:space="preserve">There were 444 cases of colorectal cancer in the UI Health tumor registry diagnosed from 1995-2004 (Table </w:t>
      </w:r>
      <w:r w:rsidR="00E26AA2">
        <w:t>VI</w:t>
      </w:r>
      <w:r>
        <w:t xml:space="preserve">). Mean age at diagnosis was 59.9 (SD 9.1). Most cancers were located in the colon. A large proportion of cancers </w:t>
      </w:r>
      <w:r w:rsidR="001545CE">
        <w:t>had missing stage information (Figure 2)</w:t>
      </w:r>
      <w:r>
        <w:t>.</w:t>
      </w:r>
    </w:p>
    <w:p w14:paraId="0EBD9729" w14:textId="2D2ACA1C" w:rsidR="00607735" w:rsidRDefault="00607735" w:rsidP="00607735">
      <w:r>
        <w:t>There were no crude differences in cancer stage when stratified by concentrated disadvantage at diagnosis (Table VII). There were significant differences in CD at diagnosis by race and ethnicity, with non-Hispanic Black patients much more likely to be exposed to higher than median neighborhood CD. The majority of Hispanic patients were also living in neighborhoods with higher than median CD when their cancers were diagnosed. Those living in more disadvantaged neighborhoods were also more likely to be diagnosed with cancers of the colon, although the effect was relatively weak and barely significant.</w:t>
      </w:r>
    </w:p>
    <w:p w14:paraId="55C4E7EA" w14:textId="299ABECE" w:rsidR="00607735" w:rsidRDefault="00607735" w:rsidP="00607735">
      <w:r>
        <w:t>As shown in Table VIII, this crude relationship reflects the known increased risk of proximal colon cancers in non-Hispanic Black people, which was also observed in this study. However, there were no meaningful differences in stage at diagnosis by race or ethnicity.</w:t>
      </w:r>
    </w:p>
    <w:p w14:paraId="5D986518" w14:textId="77777777" w:rsidR="00607735" w:rsidRDefault="00607735">
      <w:pPr>
        <w:spacing w:after="160" w:line="259" w:lineRule="auto"/>
        <w:ind w:firstLine="0"/>
      </w:pPr>
      <w:r>
        <w:br w:type="page"/>
      </w:r>
    </w:p>
    <w:p w14:paraId="0937B48D" w14:textId="77777777" w:rsidR="000C53F0" w:rsidRDefault="001545CE" w:rsidP="000C53F0">
      <w:pPr>
        <w:keepNext/>
      </w:pPr>
      <w:r w:rsidRPr="001545CE">
        <w:rPr>
          <w:noProof/>
        </w:rPr>
        <w:lastRenderedPageBreak/>
        <w:drawing>
          <wp:inline distT="0" distB="0" distL="0" distR="0" wp14:anchorId="1563827C" wp14:editId="2CC6D85B">
            <wp:extent cx="4754563" cy="4022725"/>
            <wp:effectExtent l="0" t="0" r="8255" b="15875"/>
            <wp:docPr id="1739110956" name="Chart 1">
              <a:extLst xmlns:a="http://schemas.openxmlformats.org/drawingml/2006/main">
                <a:ext uri="{FF2B5EF4-FFF2-40B4-BE49-F238E27FC236}">
                  <a16:creationId xmlns:a16="http://schemas.microsoft.com/office/drawing/2014/main" id="{4DBBA137-EA44-C4F6-2D71-C5C82661C2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B7351F6" w14:textId="3555F7B6" w:rsidR="009E577E" w:rsidRDefault="000C53F0" w:rsidP="000C53F0">
      <w:pPr>
        <w:pStyle w:val="FigureLegend"/>
      </w:pPr>
      <w:bookmarkStart w:id="213" w:name="_Toc149576430"/>
      <w:r>
        <w:t xml:space="preserve">Figure </w:t>
      </w:r>
      <w:r w:rsidR="001F2B9D">
        <w:t>5</w:t>
      </w:r>
      <w:r>
        <w:t>. Distribution of cancer stage by race among UI Health patients diagnosed with colorectal cancer, 1995-2004</w:t>
      </w:r>
      <w:bookmarkEnd w:id="213"/>
    </w:p>
    <w:p w14:paraId="03B7C707" w14:textId="3A6B2A27" w:rsidR="00607735" w:rsidRDefault="00607735">
      <w:pPr>
        <w:spacing w:after="160" w:line="259" w:lineRule="auto"/>
        <w:ind w:firstLine="0"/>
      </w:pPr>
      <w:r>
        <w:br w:type="page"/>
      </w:r>
    </w:p>
    <w:p w14:paraId="2021F4F6" w14:textId="57A4CC3B" w:rsidR="00C755A0" w:rsidRDefault="00C755A0" w:rsidP="00C755A0">
      <w:pPr>
        <w:pStyle w:val="TableName"/>
      </w:pPr>
      <w:bookmarkStart w:id="214" w:name="_Toc148375818"/>
      <w:r>
        <w:lastRenderedPageBreak/>
        <w:t xml:space="preserve">Table </w:t>
      </w:r>
      <w:r w:rsidR="00E26AA2">
        <w:t>VI</w:t>
      </w:r>
      <w:r>
        <w:t>. Characteristics of UI Health Patients diagnosed with Colorectal Cancer, 1995-2004, by vital status</w:t>
      </w:r>
      <w:bookmarkEnd w:id="214"/>
    </w:p>
    <w:tbl>
      <w:tblPr>
        <w:tblStyle w:val="PlainTable3"/>
        <w:tblW w:w="5000" w:type="pct"/>
        <w:tblLayout w:type="fixed"/>
        <w:tblLook w:val="0420" w:firstRow="1" w:lastRow="0" w:firstColumn="0" w:lastColumn="0" w:noHBand="0" w:noVBand="1"/>
      </w:tblPr>
      <w:tblGrid>
        <w:gridCol w:w="4409"/>
        <w:gridCol w:w="1264"/>
        <w:gridCol w:w="1352"/>
        <w:gridCol w:w="1262"/>
        <w:gridCol w:w="1073"/>
      </w:tblGrid>
      <w:tr w:rsidR="00C755A0" w:rsidRPr="003E54FE" w14:paraId="3DBE8C5E" w14:textId="77777777" w:rsidTr="001A4831">
        <w:trPr>
          <w:cnfStyle w:val="100000000000" w:firstRow="1" w:lastRow="0" w:firstColumn="0" w:lastColumn="0" w:oddVBand="0" w:evenVBand="0" w:oddHBand="0" w:evenHBand="0" w:firstRowFirstColumn="0" w:firstRowLastColumn="0" w:lastRowFirstColumn="0" w:lastRowLastColumn="0"/>
          <w:trHeight w:val="300"/>
        </w:trPr>
        <w:tc>
          <w:tcPr>
            <w:tcW w:w="2356" w:type="pct"/>
            <w:noWrap/>
            <w:hideMark/>
          </w:tcPr>
          <w:p w14:paraId="51BF3BBC" w14:textId="77777777" w:rsidR="00C755A0" w:rsidRPr="003E54FE" w:rsidRDefault="00C755A0" w:rsidP="001A4831">
            <w:pPr>
              <w:spacing w:line="240" w:lineRule="auto"/>
              <w:ind w:firstLine="0"/>
            </w:pPr>
          </w:p>
        </w:tc>
        <w:tc>
          <w:tcPr>
            <w:tcW w:w="675" w:type="pct"/>
            <w:noWrap/>
            <w:hideMark/>
          </w:tcPr>
          <w:p w14:paraId="3063883E" w14:textId="77777777" w:rsidR="00C755A0" w:rsidRPr="0022344A" w:rsidRDefault="00C755A0" w:rsidP="001A4831">
            <w:pPr>
              <w:spacing w:line="240" w:lineRule="auto"/>
              <w:ind w:firstLine="0"/>
              <w:jc w:val="right"/>
              <w:rPr>
                <w:caps w:val="0"/>
              </w:rPr>
            </w:pPr>
            <w:r w:rsidRPr="0022344A">
              <w:rPr>
                <w:caps w:val="0"/>
              </w:rPr>
              <w:t>Censored</w:t>
            </w:r>
          </w:p>
        </w:tc>
        <w:tc>
          <w:tcPr>
            <w:tcW w:w="722" w:type="pct"/>
            <w:noWrap/>
            <w:hideMark/>
          </w:tcPr>
          <w:p w14:paraId="756E9068" w14:textId="77777777" w:rsidR="00C755A0" w:rsidRPr="0022344A" w:rsidRDefault="00C755A0" w:rsidP="001A4831">
            <w:pPr>
              <w:spacing w:line="240" w:lineRule="auto"/>
              <w:ind w:firstLine="0"/>
              <w:jc w:val="right"/>
              <w:rPr>
                <w:caps w:val="0"/>
              </w:rPr>
            </w:pPr>
            <w:r w:rsidRPr="0022344A">
              <w:rPr>
                <w:caps w:val="0"/>
              </w:rPr>
              <w:t>CRC Death</w:t>
            </w:r>
          </w:p>
        </w:tc>
        <w:tc>
          <w:tcPr>
            <w:tcW w:w="674" w:type="pct"/>
            <w:noWrap/>
            <w:hideMark/>
          </w:tcPr>
          <w:p w14:paraId="2DA6D67A" w14:textId="77777777" w:rsidR="00C755A0" w:rsidRPr="0022344A" w:rsidRDefault="00C755A0" w:rsidP="001A4831">
            <w:pPr>
              <w:spacing w:line="240" w:lineRule="auto"/>
              <w:ind w:firstLine="0"/>
              <w:jc w:val="right"/>
              <w:rPr>
                <w:caps w:val="0"/>
              </w:rPr>
            </w:pPr>
            <w:r w:rsidRPr="0022344A">
              <w:rPr>
                <w:caps w:val="0"/>
              </w:rPr>
              <w:t>Total</w:t>
            </w:r>
          </w:p>
        </w:tc>
        <w:tc>
          <w:tcPr>
            <w:tcW w:w="574" w:type="pct"/>
            <w:noWrap/>
            <w:hideMark/>
          </w:tcPr>
          <w:p w14:paraId="747EC0FC" w14:textId="77777777" w:rsidR="00C755A0" w:rsidRPr="003A1D52" w:rsidRDefault="00C755A0" w:rsidP="001A4831">
            <w:pPr>
              <w:spacing w:line="240" w:lineRule="auto"/>
              <w:ind w:firstLine="0"/>
              <w:jc w:val="right"/>
              <w:rPr>
                <w:caps w:val="0"/>
              </w:rPr>
            </w:pPr>
            <w:r w:rsidRPr="003A1D52">
              <w:rPr>
                <w:caps w:val="0"/>
              </w:rPr>
              <w:t>p</w:t>
            </w:r>
          </w:p>
        </w:tc>
      </w:tr>
      <w:tr w:rsidR="00C755A0" w:rsidRPr="003E54FE" w14:paraId="4C58BD92"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521BBFB3" w14:textId="77777777" w:rsidR="00C755A0" w:rsidRPr="008C230A" w:rsidRDefault="00C755A0" w:rsidP="001A4831">
            <w:pPr>
              <w:spacing w:line="240" w:lineRule="auto"/>
              <w:ind w:left="150" w:hanging="150"/>
              <w:rPr>
                <w:b/>
                <w:bCs/>
              </w:rPr>
            </w:pPr>
            <w:r w:rsidRPr="008C230A">
              <w:rPr>
                <w:b/>
                <w:bCs/>
              </w:rPr>
              <w:t>N (%)</w:t>
            </w:r>
          </w:p>
        </w:tc>
        <w:tc>
          <w:tcPr>
            <w:tcW w:w="675" w:type="pct"/>
            <w:noWrap/>
            <w:hideMark/>
          </w:tcPr>
          <w:p w14:paraId="0D960FCB" w14:textId="77777777" w:rsidR="00C755A0" w:rsidRPr="003E54FE" w:rsidRDefault="00C755A0" w:rsidP="001A4831">
            <w:pPr>
              <w:spacing w:line="240" w:lineRule="auto"/>
              <w:ind w:firstLine="0"/>
              <w:jc w:val="right"/>
            </w:pPr>
            <w:r w:rsidRPr="003E54FE">
              <w:t>260 (58.6)</w:t>
            </w:r>
          </w:p>
        </w:tc>
        <w:tc>
          <w:tcPr>
            <w:tcW w:w="722" w:type="pct"/>
            <w:noWrap/>
            <w:hideMark/>
          </w:tcPr>
          <w:p w14:paraId="50E8A973" w14:textId="77777777" w:rsidR="00C755A0" w:rsidRPr="003E54FE" w:rsidRDefault="00C755A0" w:rsidP="001A4831">
            <w:pPr>
              <w:spacing w:line="240" w:lineRule="auto"/>
              <w:ind w:firstLine="0"/>
              <w:jc w:val="right"/>
            </w:pPr>
            <w:r w:rsidRPr="003E54FE">
              <w:t>184 (41.4)</w:t>
            </w:r>
          </w:p>
        </w:tc>
        <w:tc>
          <w:tcPr>
            <w:tcW w:w="674" w:type="pct"/>
            <w:noWrap/>
            <w:hideMark/>
          </w:tcPr>
          <w:p w14:paraId="08B97E4B" w14:textId="77777777" w:rsidR="00C755A0" w:rsidRPr="003E54FE" w:rsidRDefault="00C755A0" w:rsidP="001A4831">
            <w:pPr>
              <w:spacing w:line="240" w:lineRule="auto"/>
              <w:ind w:firstLine="0"/>
              <w:jc w:val="right"/>
            </w:pPr>
            <w:r w:rsidRPr="003E54FE">
              <w:t>444</w:t>
            </w:r>
          </w:p>
        </w:tc>
        <w:tc>
          <w:tcPr>
            <w:tcW w:w="574" w:type="pct"/>
            <w:noWrap/>
            <w:hideMark/>
          </w:tcPr>
          <w:p w14:paraId="4F2EAABC" w14:textId="77777777" w:rsidR="00C755A0" w:rsidRPr="003E54FE" w:rsidRDefault="00C755A0" w:rsidP="001A4831">
            <w:pPr>
              <w:spacing w:line="240" w:lineRule="auto"/>
              <w:ind w:firstLine="0"/>
              <w:jc w:val="right"/>
            </w:pPr>
          </w:p>
        </w:tc>
      </w:tr>
      <w:tr w:rsidR="00C755A0" w:rsidRPr="003E54FE" w14:paraId="56E1EDA0" w14:textId="77777777" w:rsidTr="001A4831">
        <w:trPr>
          <w:trHeight w:val="300"/>
        </w:trPr>
        <w:tc>
          <w:tcPr>
            <w:tcW w:w="2356" w:type="pct"/>
            <w:noWrap/>
            <w:hideMark/>
          </w:tcPr>
          <w:p w14:paraId="036D6AA0" w14:textId="77777777" w:rsidR="00C755A0" w:rsidRPr="008C230A" w:rsidRDefault="00C755A0" w:rsidP="001A4831">
            <w:pPr>
              <w:spacing w:line="240" w:lineRule="auto"/>
              <w:ind w:left="150" w:hanging="150"/>
              <w:rPr>
                <w:b/>
                <w:bCs/>
              </w:rPr>
            </w:pPr>
            <w:r w:rsidRPr="008C230A">
              <w:rPr>
                <w:b/>
                <w:bCs/>
              </w:rPr>
              <w:t>CD Score at Diagnosis [mean (SD)]</w:t>
            </w:r>
          </w:p>
        </w:tc>
        <w:tc>
          <w:tcPr>
            <w:tcW w:w="675" w:type="pct"/>
            <w:noWrap/>
            <w:hideMark/>
          </w:tcPr>
          <w:p w14:paraId="17A034C6" w14:textId="77777777" w:rsidR="00C755A0" w:rsidRPr="003E54FE" w:rsidRDefault="00C755A0" w:rsidP="001A4831">
            <w:pPr>
              <w:spacing w:line="240" w:lineRule="auto"/>
              <w:ind w:firstLine="0"/>
              <w:jc w:val="right"/>
            </w:pPr>
            <w:r w:rsidRPr="003E54FE">
              <w:t>1.30 (0.52)</w:t>
            </w:r>
          </w:p>
        </w:tc>
        <w:tc>
          <w:tcPr>
            <w:tcW w:w="722" w:type="pct"/>
            <w:noWrap/>
            <w:hideMark/>
          </w:tcPr>
          <w:p w14:paraId="78154FB1" w14:textId="77777777" w:rsidR="00C755A0" w:rsidRPr="003E54FE" w:rsidRDefault="00C755A0" w:rsidP="001A4831">
            <w:pPr>
              <w:spacing w:line="240" w:lineRule="auto"/>
              <w:ind w:firstLine="0"/>
              <w:jc w:val="right"/>
            </w:pPr>
            <w:r w:rsidRPr="003E54FE">
              <w:t>1.37 (0.47)</w:t>
            </w:r>
          </w:p>
        </w:tc>
        <w:tc>
          <w:tcPr>
            <w:tcW w:w="674" w:type="pct"/>
            <w:noWrap/>
            <w:hideMark/>
          </w:tcPr>
          <w:p w14:paraId="649F293E" w14:textId="77777777" w:rsidR="00C755A0" w:rsidRPr="003E54FE" w:rsidRDefault="00C755A0" w:rsidP="001A4831">
            <w:pPr>
              <w:spacing w:line="240" w:lineRule="auto"/>
              <w:ind w:firstLine="0"/>
              <w:jc w:val="right"/>
            </w:pPr>
            <w:r w:rsidRPr="003E54FE">
              <w:t>1.33 (0.50)</w:t>
            </w:r>
          </w:p>
        </w:tc>
        <w:tc>
          <w:tcPr>
            <w:tcW w:w="574" w:type="pct"/>
            <w:noWrap/>
            <w:hideMark/>
          </w:tcPr>
          <w:p w14:paraId="48FE17C0" w14:textId="77777777" w:rsidR="00C755A0" w:rsidRPr="003E54FE" w:rsidRDefault="00C755A0" w:rsidP="001A4831">
            <w:pPr>
              <w:spacing w:line="240" w:lineRule="auto"/>
              <w:ind w:firstLine="0"/>
              <w:jc w:val="right"/>
            </w:pPr>
            <w:r w:rsidRPr="003E54FE">
              <w:t>0.15</w:t>
            </w:r>
          </w:p>
        </w:tc>
      </w:tr>
      <w:tr w:rsidR="00C755A0" w:rsidRPr="003E54FE" w14:paraId="1AF21604"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3465FAE7" w14:textId="77777777" w:rsidR="00C755A0" w:rsidRPr="008C230A" w:rsidRDefault="00C755A0" w:rsidP="001A4831">
            <w:pPr>
              <w:spacing w:line="240" w:lineRule="auto"/>
              <w:ind w:left="150" w:hanging="150"/>
              <w:rPr>
                <w:b/>
                <w:bCs/>
              </w:rPr>
            </w:pPr>
            <w:r w:rsidRPr="008C230A">
              <w:rPr>
                <w:b/>
                <w:bCs/>
              </w:rPr>
              <w:t>CD Score at Diagnosis -10 years [mean (SD)]</w:t>
            </w:r>
          </w:p>
        </w:tc>
        <w:tc>
          <w:tcPr>
            <w:tcW w:w="675" w:type="pct"/>
            <w:noWrap/>
            <w:hideMark/>
          </w:tcPr>
          <w:p w14:paraId="47573959" w14:textId="77777777" w:rsidR="00C755A0" w:rsidRPr="003E54FE" w:rsidRDefault="00C755A0" w:rsidP="001A4831">
            <w:pPr>
              <w:spacing w:line="240" w:lineRule="auto"/>
              <w:ind w:firstLine="0"/>
              <w:jc w:val="right"/>
            </w:pPr>
            <w:r w:rsidRPr="003E54FE">
              <w:t>1.33 (0.52)</w:t>
            </w:r>
          </w:p>
        </w:tc>
        <w:tc>
          <w:tcPr>
            <w:tcW w:w="722" w:type="pct"/>
            <w:noWrap/>
            <w:hideMark/>
          </w:tcPr>
          <w:p w14:paraId="783FE578" w14:textId="77777777" w:rsidR="00C755A0" w:rsidRPr="003E54FE" w:rsidRDefault="00C755A0" w:rsidP="001A4831">
            <w:pPr>
              <w:spacing w:line="240" w:lineRule="auto"/>
              <w:ind w:firstLine="0"/>
              <w:jc w:val="right"/>
            </w:pPr>
            <w:r w:rsidRPr="003E54FE">
              <w:t>1.40 (0.48)</w:t>
            </w:r>
          </w:p>
        </w:tc>
        <w:tc>
          <w:tcPr>
            <w:tcW w:w="674" w:type="pct"/>
            <w:noWrap/>
            <w:hideMark/>
          </w:tcPr>
          <w:p w14:paraId="46531A24" w14:textId="77777777" w:rsidR="00C755A0" w:rsidRPr="003E54FE" w:rsidRDefault="00C755A0" w:rsidP="001A4831">
            <w:pPr>
              <w:spacing w:line="240" w:lineRule="auto"/>
              <w:ind w:firstLine="0"/>
              <w:jc w:val="right"/>
            </w:pPr>
            <w:r w:rsidRPr="003E54FE">
              <w:t>1.36 (0.50)</w:t>
            </w:r>
          </w:p>
        </w:tc>
        <w:tc>
          <w:tcPr>
            <w:tcW w:w="574" w:type="pct"/>
            <w:noWrap/>
            <w:hideMark/>
          </w:tcPr>
          <w:p w14:paraId="7D1EA021" w14:textId="77777777" w:rsidR="00C755A0" w:rsidRPr="003E54FE" w:rsidRDefault="00C755A0" w:rsidP="001A4831">
            <w:pPr>
              <w:spacing w:line="240" w:lineRule="auto"/>
              <w:ind w:firstLine="0"/>
              <w:jc w:val="right"/>
            </w:pPr>
            <w:r w:rsidRPr="003E54FE">
              <w:t>0.19</w:t>
            </w:r>
          </w:p>
        </w:tc>
      </w:tr>
      <w:tr w:rsidR="00C755A0" w:rsidRPr="003E54FE" w14:paraId="11A26CB9" w14:textId="77777777" w:rsidTr="001A4831">
        <w:trPr>
          <w:trHeight w:val="300"/>
        </w:trPr>
        <w:tc>
          <w:tcPr>
            <w:tcW w:w="2356" w:type="pct"/>
            <w:noWrap/>
            <w:hideMark/>
          </w:tcPr>
          <w:p w14:paraId="54434D07" w14:textId="77777777" w:rsidR="00C755A0" w:rsidRPr="008C230A" w:rsidRDefault="00C755A0" w:rsidP="001A4831">
            <w:pPr>
              <w:spacing w:line="240" w:lineRule="auto"/>
              <w:ind w:left="150" w:hanging="150"/>
              <w:rPr>
                <w:b/>
                <w:bCs/>
              </w:rPr>
            </w:pPr>
            <w:r w:rsidRPr="008C230A">
              <w:rPr>
                <w:b/>
                <w:bCs/>
              </w:rPr>
              <w:t>Age [mean (SD)]</w:t>
            </w:r>
          </w:p>
        </w:tc>
        <w:tc>
          <w:tcPr>
            <w:tcW w:w="675" w:type="pct"/>
            <w:noWrap/>
            <w:hideMark/>
          </w:tcPr>
          <w:p w14:paraId="34EEDA83" w14:textId="77777777" w:rsidR="00C755A0" w:rsidRPr="003E54FE" w:rsidRDefault="00C755A0" w:rsidP="001A4831">
            <w:pPr>
              <w:spacing w:line="240" w:lineRule="auto"/>
              <w:ind w:firstLine="0"/>
              <w:jc w:val="right"/>
            </w:pPr>
            <w:r w:rsidRPr="003E54FE">
              <w:t>60.1 (9.1)</w:t>
            </w:r>
          </w:p>
        </w:tc>
        <w:tc>
          <w:tcPr>
            <w:tcW w:w="722" w:type="pct"/>
            <w:noWrap/>
            <w:hideMark/>
          </w:tcPr>
          <w:p w14:paraId="4A41ACAE" w14:textId="77777777" w:rsidR="00C755A0" w:rsidRPr="003E54FE" w:rsidRDefault="00C755A0" w:rsidP="001A4831">
            <w:pPr>
              <w:spacing w:line="240" w:lineRule="auto"/>
              <w:ind w:firstLine="0"/>
              <w:jc w:val="right"/>
            </w:pPr>
            <w:r w:rsidRPr="003E54FE">
              <w:t>59.5 (9.1)</w:t>
            </w:r>
          </w:p>
        </w:tc>
        <w:tc>
          <w:tcPr>
            <w:tcW w:w="674" w:type="pct"/>
            <w:noWrap/>
            <w:hideMark/>
          </w:tcPr>
          <w:p w14:paraId="548A67ED" w14:textId="77777777" w:rsidR="00C755A0" w:rsidRPr="003E54FE" w:rsidRDefault="00C755A0" w:rsidP="001A4831">
            <w:pPr>
              <w:spacing w:line="240" w:lineRule="auto"/>
              <w:ind w:firstLine="0"/>
              <w:jc w:val="right"/>
            </w:pPr>
            <w:r w:rsidRPr="003E54FE">
              <w:t>59.9 (9.1)</w:t>
            </w:r>
          </w:p>
        </w:tc>
        <w:tc>
          <w:tcPr>
            <w:tcW w:w="574" w:type="pct"/>
            <w:noWrap/>
            <w:hideMark/>
          </w:tcPr>
          <w:p w14:paraId="5CC1CB55" w14:textId="77777777" w:rsidR="00C755A0" w:rsidRPr="003E54FE" w:rsidRDefault="00C755A0" w:rsidP="001A4831">
            <w:pPr>
              <w:spacing w:line="240" w:lineRule="auto"/>
              <w:ind w:firstLine="0"/>
              <w:jc w:val="right"/>
            </w:pPr>
            <w:r w:rsidRPr="003E54FE">
              <w:t>0.51</w:t>
            </w:r>
          </w:p>
        </w:tc>
      </w:tr>
      <w:tr w:rsidR="00C755A0" w:rsidRPr="003E54FE" w14:paraId="0CCD56A3"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1F31BDD1" w14:textId="77777777" w:rsidR="00C755A0" w:rsidRPr="008C230A" w:rsidRDefault="00C755A0" w:rsidP="001A4831">
            <w:pPr>
              <w:spacing w:line="240" w:lineRule="auto"/>
              <w:ind w:left="150" w:hanging="150"/>
              <w:rPr>
                <w:b/>
                <w:bCs/>
              </w:rPr>
            </w:pPr>
            <w:r w:rsidRPr="008C230A">
              <w:rPr>
                <w:b/>
                <w:bCs/>
              </w:rPr>
              <w:t>Sex</w:t>
            </w:r>
          </w:p>
        </w:tc>
        <w:tc>
          <w:tcPr>
            <w:tcW w:w="675" w:type="pct"/>
            <w:noWrap/>
            <w:hideMark/>
          </w:tcPr>
          <w:p w14:paraId="524BAEC6" w14:textId="77777777" w:rsidR="00C755A0" w:rsidRPr="003E54FE" w:rsidRDefault="00C755A0" w:rsidP="001A4831">
            <w:pPr>
              <w:spacing w:line="240" w:lineRule="auto"/>
              <w:ind w:firstLine="0"/>
              <w:jc w:val="right"/>
            </w:pPr>
          </w:p>
        </w:tc>
        <w:tc>
          <w:tcPr>
            <w:tcW w:w="722" w:type="pct"/>
            <w:noWrap/>
            <w:hideMark/>
          </w:tcPr>
          <w:p w14:paraId="3C7CD672" w14:textId="77777777" w:rsidR="00C755A0" w:rsidRPr="003E54FE" w:rsidRDefault="00C755A0" w:rsidP="001A4831">
            <w:pPr>
              <w:spacing w:line="240" w:lineRule="auto"/>
              <w:ind w:firstLine="0"/>
              <w:jc w:val="right"/>
            </w:pPr>
          </w:p>
        </w:tc>
        <w:tc>
          <w:tcPr>
            <w:tcW w:w="674" w:type="pct"/>
            <w:noWrap/>
            <w:hideMark/>
          </w:tcPr>
          <w:p w14:paraId="1C3B9833" w14:textId="77777777" w:rsidR="00C755A0" w:rsidRPr="003E54FE" w:rsidRDefault="00C755A0" w:rsidP="001A4831">
            <w:pPr>
              <w:spacing w:line="240" w:lineRule="auto"/>
              <w:ind w:firstLine="0"/>
              <w:jc w:val="right"/>
            </w:pPr>
          </w:p>
        </w:tc>
        <w:tc>
          <w:tcPr>
            <w:tcW w:w="574" w:type="pct"/>
            <w:noWrap/>
            <w:hideMark/>
          </w:tcPr>
          <w:p w14:paraId="354AACA0" w14:textId="77777777" w:rsidR="00C755A0" w:rsidRPr="003E54FE" w:rsidRDefault="00C755A0" w:rsidP="001A4831">
            <w:pPr>
              <w:spacing w:line="240" w:lineRule="auto"/>
              <w:ind w:firstLine="0"/>
              <w:jc w:val="right"/>
            </w:pPr>
            <w:r w:rsidRPr="003E54FE">
              <w:t>0.35</w:t>
            </w:r>
          </w:p>
        </w:tc>
      </w:tr>
      <w:tr w:rsidR="00C755A0" w:rsidRPr="003E54FE" w14:paraId="6662551C" w14:textId="77777777" w:rsidTr="001A4831">
        <w:trPr>
          <w:trHeight w:val="300"/>
        </w:trPr>
        <w:tc>
          <w:tcPr>
            <w:tcW w:w="2356" w:type="pct"/>
            <w:noWrap/>
            <w:hideMark/>
          </w:tcPr>
          <w:p w14:paraId="3C815CE5" w14:textId="77777777" w:rsidR="00C755A0" w:rsidRPr="00E26AA2" w:rsidRDefault="00C755A0" w:rsidP="001A4831">
            <w:pPr>
              <w:spacing w:line="240" w:lineRule="auto"/>
              <w:ind w:firstLine="0"/>
              <w:jc w:val="right"/>
            </w:pPr>
            <w:r w:rsidRPr="00E26AA2">
              <w:t>Female</w:t>
            </w:r>
          </w:p>
        </w:tc>
        <w:tc>
          <w:tcPr>
            <w:tcW w:w="675" w:type="pct"/>
            <w:noWrap/>
            <w:hideMark/>
          </w:tcPr>
          <w:p w14:paraId="49D58113" w14:textId="77777777" w:rsidR="00C755A0" w:rsidRPr="003E54FE" w:rsidRDefault="00C755A0" w:rsidP="001A4831">
            <w:pPr>
              <w:spacing w:line="240" w:lineRule="auto"/>
              <w:ind w:firstLine="0"/>
              <w:jc w:val="right"/>
            </w:pPr>
            <w:r w:rsidRPr="003E54FE">
              <w:t>117 (45.0)</w:t>
            </w:r>
          </w:p>
        </w:tc>
        <w:tc>
          <w:tcPr>
            <w:tcW w:w="722" w:type="pct"/>
            <w:noWrap/>
            <w:hideMark/>
          </w:tcPr>
          <w:p w14:paraId="1EC5A579" w14:textId="77777777" w:rsidR="00C755A0" w:rsidRPr="003E54FE" w:rsidRDefault="00C755A0" w:rsidP="001A4831">
            <w:pPr>
              <w:spacing w:line="240" w:lineRule="auto"/>
              <w:ind w:firstLine="0"/>
              <w:jc w:val="right"/>
            </w:pPr>
            <w:r w:rsidRPr="003E54FE">
              <w:t>91 (49.5)</w:t>
            </w:r>
          </w:p>
        </w:tc>
        <w:tc>
          <w:tcPr>
            <w:tcW w:w="674" w:type="pct"/>
            <w:noWrap/>
            <w:hideMark/>
          </w:tcPr>
          <w:p w14:paraId="1F69D831" w14:textId="77777777" w:rsidR="00C755A0" w:rsidRPr="003E54FE" w:rsidRDefault="00C755A0" w:rsidP="001A4831">
            <w:pPr>
              <w:spacing w:line="240" w:lineRule="auto"/>
              <w:ind w:firstLine="0"/>
              <w:jc w:val="right"/>
            </w:pPr>
            <w:r w:rsidRPr="003E54FE">
              <w:t>208 (46.9)</w:t>
            </w:r>
          </w:p>
        </w:tc>
        <w:tc>
          <w:tcPr>
            <w:tcW w:w="574" w:type="pct"/>
            <w:noWrap/>
            <w:hideMark/>
          </w:tcPr>
          <w:p w14:paraId="3A97A359" w14:textId="77777777" w:rsidR="00C755A0" w:rsidRPr="003E54FE" w:rsidRDefault="00C755A0" w:rsidP="001A4831">
            <w:pPr>
              <w:spacing w:line="240" w:lineRule="auto"/>
              <w:ind w:firstLine="0"/>
              <w:jc w:val="right"/>
            </w:pPr>
          </w:p>
        </w:tc>
      </w:tr>
      <w:tr w:rsidR="00C755A0" w:rsidRPr="003E54FE" w14:paraId="6A95F651"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656813D2" w14:textId="77777777" w:rsidR="00C755A0" w:rsidRPr="00E26AA2" w:rsidRDefault="00C755A0" w:rsidP="001A4831">
            <w:pPr>
              <w:spacing w:line="240" w:lineRule="auto"/>
              <w:ind w:firstLine="0"/>
              <w:jc w:val="right"/>
            </w:pPr>
            <w:r w:rsidRPr="00E26AA2">
              <w:t>Male</w:t>
            </w:r>
          </w:p>
        </w:tc>
        <w:tc>
          <w:tcPr>
            <w:tcW w:w="675" w:type="pct"/>
            <w:noWrap/>
            <w:hideMark/>
          </w:tcPr>
          <w:p w14:paraId="64CD5AC5" w14:textId="77777777" w:rsidR="00C755A0" w:rsidRPr="003E54FE" w:rsidRDefault="00C755A0" w:rsidP="001A4831">
            <w:pPr>
              <w:spacing w:line="240" w:lineRule="auto"/>
              <w:ind w:firstLine="0"/>
              <w:jc w:val="right"/>
            </w:pPr>
            <w:r w:rsidRPr="003E54FE">
              <w:t>143 (55.0)</w:t>
            </w:r>
          </w:p>
        </w:tc>
        <w:tc>
          <w:tcPr>
            <w:tcW w:w="722" w:type="pct"/>
            <w:noWrap/>
            <w:hideMark/>
          </w:tcPr>
          <w:p w14:paraId="35201E98" w14:textId="77777777" w:rsidR="00C755A0" w:rsidRPr="003E54FE" w:rsidRDefault="00C755A0" w:rsidP="001A4831">
            <w:pPr>
              <w:spacing w:line="240" w:lineRule="auto"/>
              <w:ind w:firstLine="0"/>
              <w:jc w:val="right"/>
            </w:pPr>
            <w:r w:rsidRPr="003E54FE">
              <w:t>93 (50.5)</w:t>
            </w:r>
          </w:p>
        </w:tc>
        <w:tc>
          <w:tcPr>
            <w:tcW w:w="674" w:type="pct"/>
            <w:noWrap/>
            <w:hideMark/>
          </w:tcPr>
          <w:p w14:paraId="2C427DB1" w14:textId="77777777" w:rsidR="00C755A0" w:rsidRPr="003E54FE" w:rsidRDefault="00C755A0" w:rsidP="001A4831">
            <w:pPr>
              <w:spacing w:line="240" w:lineRule="auto"/>
              <w:ind w:firstLine="0"/>
              <w:jc w:val="right"/>
            </w:pPr>
            <w:r w:rsidRPr="003E54FE">
              <w:t>236 (53.2)</w:t>
            </w:r>
          </w:p>
        </w:tc>
        <w:tc>
          <w:tcPr>
            <w:tcW w:w="574" w:type="pct"/>
            <w:noWrap/>
            <w:hideMark/>
          </w:tcPr>
          <w:p w14:paraId="0DDCCC4A" w14:textId="77777777" w:rsidR="00C755A0" w:rsidRPr="003E54FE" w:rsidRDefault="00C755A0" w:rsidP="001A4831">
            <w:pPr>
              <w:spacing w:line="240" w:lineRule="auto"/>
              <w:ind w:firstLine="0"/>
              <w:jc w:val="right"/>
            </w:pPr>
          </w:p>
        </w:tc>
      </w:tr>
      <w:tr w:rsidR="00C755A0" w:rsidRPr="003E54FE" w14:paraId="45B12821" w14:textId="77777777" w:rsidTr="001A4831">
        <w:trPr>
          <w:trHeight w:val="300"/>
        </w:trPr>
        <w:tc>
          <w:tcPr>
            <w:tcW w:w="2356" w:type="pct"/>
            <w:noWrap/>
            <w:hideMark/>
          </w:tcPr>
          <w:p w14:paraId="16176D8D" w14:textId="77777777" w:rsidR="00C755A0" w:rsidRPr="008C230A" w:rsidRDefault="00C755A0" w:rsidP="001A4831">
            <w:pPr>
              <w:spacing w:line="240" w:lineRule="auto"/>
              <w:ind w:firstLine="0"/>
              <w:rPr>
                <w:b/>
                <w:bCs/>
              </w:rPr>
            </w:pPr>
            <w:r w:rsidRPr="008C230A">
              <w:rPr>
                <w:b/>
                <w:bCs/>
              </w:rPr>
              <w:t>Race/Ethnicity</w:t>
            </w:r>
          </w:p>
        </w:tc>
        <w:tc>
          <w:tcPr>
            <w:tcW w:w="675" w:type="pct"/>
            <w:noWrap/>
            <w:hideMark/>
          </w:tcPr>
          <w:p w14:paraId="1BD271D2" w14:textId="77777777" w:rsidR="00C755A0" w:rsidRPr="003E54FE" w:rsidRDefault="00C755A0" w:rsidP="001A4831">
            <w:pPr>
              <w:spacing w:line="240" w:lineRule="auto"/>
              <w:ind w:firstLine="0"/>
              <w:jc w:val="right"/>
            </w:pPr>
          </w:p>
        </w:tc>
        <w:tc>
          <w:tcPr>
            <w:tcW w:w="722" w:type="pct"/>
            <w:noWrap/>
            <w:hideMark/>
          </w:tcPr>
          <w:p w14:paraId="73655695" w14:textId="77777777" w:rsidR="00C755A0" w:rsidRPr="003E54FE" w:rsidRDefault="00C755A0" w:rsidP="001A4831">
            <w:pPr>
              <w:spacing w:line="240" w:lineRule="auto"/>
              <w:ind w:firstLine="0"/>
              <w:jc w:val="right"/>
            </w:pPr>
          </w:p>
        </w:tc>
        <w:tc>
          <w:tcPr>
            <w:tcW w:w="674" w:type="pct"/>
            <w:noWrap/>
            <w:hideMark/>
          </w:tcPr>
          <w:p w14:paraId="11B79568" w14:textId="77777777" w:rsidR="00C755A0" w:rsidRPr="003E54FE" w:rsidRDefault="00C755A0" w:rsidP="001A4831">
            <w:pPr>
              <w:spacing w:line="240" w:lineRule="auto"/>
              <w:ind w:firstLine="0"/>
              <w:jc w:val="right"/>
            </w:pPr>
          </w:p>
        </w:tc>
        <w:tc>
          <w:tcPr>
            <w:tcW w:w="574" w:type="pct"/>
            <w:noWrap/>
            <w:hideMark/>
          </w:tcPr>
          <w:p w14:paraId="4AEB733F" w14:textId="77777777" w:rsidR="00C755A0" w:rsidRPr="003E54FE" w:rsidRDefault="00C755A0" w:rsidP="001A4831">
            <w:pPr>
              <w:spacing w:line="240" w:lineRule="auto"/>
              <w:ind w:firstLine="0"/>
              <w:jc w:val="right"/>
            </w:pPr>
            <w:r w:rsidRPr="003E54FE">
              <w:t>0.9</w:t>
            </w:r>
          </w:p>
        </w:tc>
      </w:tr>
      <w:tr w:rsidR="00C755A0" w:rsidRPr="003E54FE" w14:paraId="75A9BB7B"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385D5793" w14:textId="77777777" w:rsidR="00C755A0" w:rsidRPr="00E26AA2" w:rsidRDefault="00C755A0" w:rsidP="001A4831">
            <w:pPr>
              <w:spacing w:line="240" w:lineRule="auto"/>
              <w:ind w:firstLine="0"/>
              <w:jc w:val="right"/>
            </w:pPr>
            <w:r w:rsidRPr="00E26AA2">
              <w:t>Non-Hispanic White</w:t>
            </w:r>
          </w:p>
        </w:tc>
        <w:tc>
          <w:tcPr>
            <w:tcW w:w="675" w:type="pct"/>
            <w:noWrap/>
            <w:hideMark/>
          </w:tcPr>
          <w:p w14:paraId="6FF57738" w14:textId="77777777" w:rsidR="00C755A0" w:rsidRPr="003E54FE" w:rsidRDefault="00C755A0" w:rsidP="001A4831">
            <w:pPr>
              <w:spacing w:line="240" w:lineRule="auto"/>
              <w:ind w:firstLine="0"/>
              <w:jc w:val="right"/>
            </w:pPr>
            <w:r w:rsidRPr="003E54FE">
              <w:t>85 (32.7)</w:t>
            </w:r>
          </w:p>
        </w:tc>
        <w:tc>
          <w:tcPr>
            <w:tcW w:w="722" w:type="pct"/>
            <w:noWrap/>
            <w:hideMark/>
          </w:tcPr>
          <w:p w14:paraId="36EB90DC" w14:textId="77777777" w:rsidR="00C755A0" w:rsidRPr="003E54FE" w:rsidRDefault="00C755A0" w:rsidP="001A4831">
            <w:pPr>
              <w:spacing w:line="240" w:lineRule="auto"/>
              <w:ind w:firstLine="0"/>
              <w:jc w:val="right"/>
            </w:pPr>
            <w:r w:rsidRPr="003E54FE">
              <w:t>58 (31.5)</w:t>
            </w:r>
          </w:p>
        </w:tc>
        <w:tc>
          <w:tcPr>
            <w:tcW w:w="674" w:type="pct"/>
            <w:noWrap/>
            <w:hideMark/>
          </w:tcPr>
          <w:p w14:paraId="062128F5" w14:textId="77777777" w:rsidR="00C755A0" w:rsidRPr="003E54FE" w:rsidRDefault="00C755A0" w:rsidP="001A4831">
            <w:pPr>
              <w:spacing w:line="240" w:lineRule="auto"/>
              <w:ind w:firstLine="0"/>
              <w:jc w:val="right"/>
            </w:pPr>
            <w:r w:rsidRPr="003E54FE">
              <w:t>143 (32.2)</w:t>
            </w:r>
          </w:p>
        </w:tc>
        <w:tc>
          <w:tcPr>
            <w:tcW w:w="574" w:type="pct"/>
            <w:noWrap/>
            <w:hideMark/>
          </w:tcPr>
          <w:p w14:paraId="412CFB19" w14:textId="77777777" w:rsidR="00C755A0" w:rsidRPr="003E54FE" w:rsidRDefault="00C755A0" w:rsidP="001A4831">
            <w:pPr>
              <w:spacing w:line="240" w:lineRule="auto"/>
              <w:ind w:firstLine="0"/>
              <w:jc w:val="right"/>
            </w:pPr>
          </w:p>
        </w:tc>
      </w:tr>
      <w:tr w:rsidR="00C755A0" w:rsidRPr="003E54FE" w14:paraId="3A019486" w14:textId="77777777" w:rsidTr="001A4831">
        <w:trPr>
          <w:trHeight w:val="300"/>
        </w:trPr>
        <w:tc>
          <w:tcPr>
            <w:tcW w:w="2356" w:type="pct"/>
            <w:noWrap/>
            <w:hideMark/>
          </w:tcPr>
          <w:p w14:paraId="0B8A4FE1" w14:textId="77777777" w:rsidR="00C755A0" w:rsidRPr="00E26AA2" w:rsidRDefault="00C755A0" w:rsidP="001A4831">
            <w:pPr>
              <w:spacing w:line="240" w:lineRule="auto"/>
              <w:ind w:firstLine="0"/>
              <w:jc w:val="right"/>
            </w:pPr>
            <w:r w:rsidRPr="00E26AA2">
              <w:t>Non-Hispanic Black</w:t>
            </w:r>
          </w:p>
        </w:tc>
        <w:tc>
          <w:tcPr>
            <w:tcW w:w="675" w:type="pct"/>
            <w:noWrap/>
            <w:hideMark/>
          </w:tcPr>
          <w:p w14:paraId="54271752" w14:textId="77777777" w:rsidR="00C755A0" w:rsidRPr="003E54FE" w:rsidRDefault="00C755A0" w:rsidP="001A4831">
            <w:pPr>
              <w:spacing w:line="240" w:lineRule="auto"/>
              <w:ind w:firstLine="0"/>
              <w:jc w:val="right"/>
            </w:pPr>
            <w:r w:rsidRPr="003E54FE">
              <w:t>124 (47.7)</w:t>
            </w:r>
          </w:p>
        </w:tc>
        <w:tc>
          <w:tcPr>
            <w:tcW w:w="722" w:type="pct"/>
            <w:noWrap/>
            <w:hideMark/>
          </w:tcPr>
          <w:p w14:paraId="7AB6818C" w14:textId="77777777" w:rsidR="00C755A0" w:rsidRPr="003E54FE" w:rsidRDefault="00C755A0" w:rsidP="001A4831">
            <w:pPr>
              <w:spacing w:line="240" w:lineRule="auto"/>
              <w:ind w:firstLine="0"/>
              <w:jc w:val="right"/>
            </w:pPr>
            <w:r w:rsidRPr="003E54FE">
              <w:t>93 (50.5)</w:t>
            </w:r>
          </w:p>
        </w:tc>
        <w:tc>
          <w:tcPr>
            <w:tcW w:w="674" w:type="pct"/>
            <w:noWrap/>
            <w:hideMark/>
          </w:tcPr>
          <w:p w14:paraId="4694D31E" w14:textId="77777777" w:rsidR="00C755A0" w:rsidRPr="003E54FE" w:rsidRDefault="00C755A0" w:rsidP="001A4831">
            <w:pPr>
              <w:spacing w:line="240" w:lineRule="auto"/>
              <w:ind w:firstLine="0"/>
              <w:jc w:val="right"/>
            </w:pPr>
            <w:r w:rsidRPr="003E54FE">
              <w:t>217 (48.9)</w:t>
            </w:r>
          </w:p>
        </w:tc>
        <w:tc>
          <w:tcPr>
            <w:tcW w:w="574" w:type="pct"/>
            <w:noWrap/>
            <w:hideMark/>
          </w:tcPr>
          <w:p w14:paraId="5673F818" w14:textId="77777777" w:rsidR="00C755A0" w:rsidRPr="003E54FE" w:rsidRDefault="00C755A0" w:rsidP="001A4831">
            <w:pPr>
              <w:spacing w:line="240" w:lineRule="auto"/>
              <w:ind w:firstLine="0"/>
              <w:jc w:val="right"/>
            </w:pPr>
          </w:p>
        </w:tc>
      </w:tr>
      <w:tr w:rsidR="00C755A0" w:rsidRPr="003E54FE" w14:paraId="66E6FEA4"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69ABB06B" w14:textId="77777777" w:rsidR="00C755A0" w:rsidRPr="00E26AA2" w:rsidRDefault="00C755A0" w:rsidP="001A4831">
            <w:pPr>
              <w:spacing w:line="240" w:lineRule="auto"/>
              <w:ind w:firstLine="0"/>
              <w:jc w:val="right"/>
            </w:pPr>
            <w:r w:rsidRPr="00E26AA2">
              <w:t>Hispanic</w:t>
            </w:r>
          </w:p>
        </w:tc>
        <w:tc>
          <w:tcPr>
            <w:tcW w:w="675" w:type="pct"/>
            <w:noWrap/>
            <w:hideMark/>
          </w:tcPr>
          <w:p w14:paraId="7A9BED9B" w14:textId="77777777" w:rsidR="00C755A0" w:rsidRPr="003E54FE" w:rsidRDefault="00C755A0" w:rsidP="001A4831">
            <w:pPr>
              <w:spacing w:line="240" w:lineRule="auto"/>
              <w:ind w:firstLine="0"/>
              <w:jc w:val="right"/>
            </w:pPr>
            <w:r w:rsidRPr="003E54FE">
              <w:t>38 (14.6)</w:t>
            </w:r>
          </w:p>
        </w:tc>
        <w:tc>
          <w:tcPr>
            <w:tcW w:w="722" w:type="pct"/>
            <w:noWrap/>
            <w:hideMark/>
          </w:tcPr>
          <w:p w14:paraId="4AF7535C" w14:textId="77777777" w:rsidR="00C755A0" w:rsidRPr="003E54FE" w:rsidRDefault="00C755A0" w:rsidP="001A4831">
            <w:pPr>
              <w:spacing w:line="240" w:lineRule="auto"/>
              <w:ind w:firstLine="0"/>
              <w:jc w:val="right"/>
            </w:pPr>
            <w:r w:rsidRPr="003E54FE">
              <w:t>26 (14.1)</w:t>
            </w:r>
          </w:p>
        </w:tc>
        <w:tc>
          <w:tcPr>
            <w:tcW w:w="674" w:type="pct"/>
            <w:noWrap/>
            <w:hideMark/>
          </w:tcPr>
          <w:p w14:paraId="0D45DA99" w14:textId="77777777" w:rsidR="00C755A0" w:rsidRPr="003E54FE" w:rsidRDefault="00C755A0" w:rsidP="001A4831">
            <w:pPr>
              <w:spacing w:line="240" w:lineRule="auto"/>
              <w:ind w:firstLine="0"/>
              <w:jc w:val="right"/>
            </w:pPr>
            <w:r w:rsidRPr="003E54FE">
              <w:t>64 (14.4)</w:t>
            </w:r>
          </w:p>
        </w:tc>
        <w:tc>
          <w:tcPr>
            <w:tcW w:w="574" w:type="pct"/>
            <w:noWrap/>
            <w:hideMark/>
          </w:tcPr>
          <w:p w14:paraId="4BDFE1D1" w14:textId="77777777" w:rsidR="00C755A0" w:rsidRPr="003E54FE" w:rsidRDefault="00C755A0" w:rsidP="001A4831">
            <w:pPr>
              <w:spacing w:line="240" w:lineRule="auto"/>
              <w:ind w:firstLine="0"/>
              <w:jc w:val="right"/>
            </w:pPr>
          </w:p>
        </w:tc>
      </w:tr>
      <w:tr w:rsidR="00C755A0" w:rsidRPr="003E54FE" w14:paraId="56FE30A3" w14:textId="77777777" w:rsidTr="001A4831">
        <w:trPr>
          <w:trHeight w:val="300"/>
        </w:trPr>
        <w:tc>
          <w:tcPr>
            <w:tcW w:w="2356" w:type="pct"/>
            <w:noWrap/>
            <w:hideMark/>
          </w:tcPr>
          <w:p w14:paraId="46C3D31D" w14:textId="77777777" w:rsidR="00C755A0" w:rsidRPr="00E26AA2" w:rsidRDefault="00C755A0" w:rsidP="001A4831">
            <w:pPr>
              <w:spacing w:line="240" w:lineRule="auto"/>
              <w:ind w:firstLine="0"/>
              <w:jc w:val="right"/>
            </w:pPr>
            <w:r w:rsidRPr="00E26AA2">
              <w:t>Other</w:t>
            </w:r>
          </w:p>
        </w:tc>
        <w:tc>
          <w:tcPr>
            <w:tcW w:w="675" w:type="pct"/>
            <w:noWrap/>
            <w:hideMark/>
          </w:tcPr>
          <w:p w14:paraId="6186CAD6" w14:textId="77777777" w:rsidR="00C755A0" w:rsidRPr="003E54FE" w:rsidRDefault="00C755A0" w:rsidP="001A4831">
            <w:pPr>
              <w:spacing w:line="240" w:lineRule="auto"/>
              <w:ind w:firstLine="0"/>
              <w:jc w:val="right"/>
            </w:pPr>
            <w:r w:rsidRPr="003E54FE">
              <w:t>13 (5.0)</w:t>
            </w:r>
          </w:p>
        </w:tc>
        <w:tc>
          <w:tcPr>
            <w:tcW w:w="722" w:type="pct"/>
            <w:noWrap/>
            <w:hideMark/>
          </w:tcPr>
          <w:p w14:paraId="0B2062A4" w14:textId="77777777" w:rsidR="00C755A0" w:rsidRPr="003E54FE" w:rsidRDefault="00C755A0" w:rsidP="001A4831">
            <w:pPr>
              <w:spacing w:line="240" w:lineRule="auto"/>
              <w:ind w:firstLine="0"/>
              <w:jc w:val="right"/>
            </w:pPr>
            <w:r w:rsidRPr="003E54FE">
              <w:t>7 (3.8)</w:t>
            </w:r>
          </w:p>
        </w:tc>
        <w:tc>
          <w:tcPr>
            <w:tcW w:w="674" w:type="pct"/>
            <w:noWrap/>
            <w:hideMark/>
          </w:tcPr>
          <w:p w14:paraId="7474DA75" w14:textId="77777777" w:rsidR="00C755A0" w:rsidRPr="003E54FE" w:rsidRDefault="00C755A0" w:rsidP="001A4831">
            <w:pPr>
              <w:spacing w:line="240" w:lineRule="auto"/>
              <w:ind w:firstLine="0"/>
              <w:jc w:val="right"/>
            </w:pPr>
            <w:r w:rsidRPr="003E54FE">
              <w:t>20 (4.5)</w:t>
            </w:r>
          </w:p>
        </w:tc>
        <w:tc>
          <w:tcPr>
            <w:tcW w:w="574" w:type="pct"/>
            <w:noWrap/>
            <w:hideMark/>
          </w:tcPr>
          <w:p w14:paraId="41EDB324" w14:textId="77777777" w:rsidR="00C755A0" w:rsidRPr="003E54FE" w:rsidRDefault="00C755A0" w:rsidP="001A4831">
            <w:pPr>
              <w:spacing w:line="240" w:lineRule="auto"/>
              <w:ind w:firstLine="0"/>
              <w:jc w:val="right"/>
            </w:pPr>
          </w:p>
        </w:tc>
      </w:tr>
      <w:tr w:rsidR="00C755A0" w:rsidRPr="003E54FE" w14:paraId="52D4F088"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709CBEC5" w14:textId="77777777" w:rsidR="00C755A0" w:rsidRPr="008C230A" w:rsidRDefault="00C755A0" w:rsidP="001A4831">
            <w:pPr>
              <w:spacing w:line="240" w:lineRule="auto"/>
              <w:ind w:firstLine="0"/>
              <w:rPr>
                <w:b/>
                <w:bCs/>
              </w:rPr>
            </w:pPr>
            <w:r w:rsidRPr="008C230A">
              <w:rPr>
                <w:b/>
                <w:bCs/>
              </w:rPr>
              <w:t>Stage at Diagnosis</w:t>
            </w:r>
            <w:r>
              <w:rPr>
                <w:b/>
                <w:bCs/>
              </w:rPr>
              <w:t xml:space="preserve"> (%)</w:t>
            </w:r>
          </w:p>
        </w:tc>
        <w:tc>
          <w:tcPr>
            <w:tcW w:w="675" w:type="pct"/>
            <w:noWrap/>
            <w:hideMark/>
          </w:tcPr>
          <w:p w14:paraId="484F7870" w14:textId="77777777" w:rsidR="00C755A0" w:rsidRPr="003E54FE" w:rsidRDefault="00C755A0" w:rsidP="001A4831">
            <w:pPr>
              <w:spacing w:line="240" w:lineRule="auto"/>
              <w:ind w:firstLine="0"/>
              <w:jc w:val="right"/>
            </w:pPr>
          </w:p>
        </w:tc>
        <w:tc>
          <w:tcPr>
            <w:tcW w:w="722" w:type="pct"/>
            <w:noWrap/>
            <w:hideMark/>
          </w:tcPr>
          <w:p w14:paraId="2BCC37AE" w14:textId="77777777" w:rsidR="00C755A0" w:rsidRPr="003E54FE" w:rsidRDefault="00C755A0" w:rsidP="001A4831">
            <w:pPr>
              <w:spacing w:line="240" w:lineRule="auto"/>
              <w:ind w:firstLine="0"/>
              <w:jc w:val="right"/>
            </w:pPr>
          </w:p>
        </w:tc>
        <w:tc>
          <w:tcPr>
            <w:tcW w:w="674" w:type="pct"/>
            <w:noWrap/>
            <w:hideMark/>
          </w:tcPr>
          <w:p w14:paraId="5480E3A1" w14:textId="77777777" w:rsidR="00C755A0" w:rsidRPr="003E54FE" w:rsidRDefault="00C755A0" w:rsidP="001A4831">
            <w:pPr>
              <w:spacing w:line="240" w:lineRule="auto"/>
              <w:ind w:firstLine="0"/>
              <w:jc w:val="right"/>
            </w:pPr>
          </w:p>
        </w:tc>
        <w:tc>
          <w:tcPr>
            <w:tcW w:w="574" w:type="pct"/>
            <w:noWrap/>
            <w:hideMark/>
          </w:tcPr>
          <w:p w14:paraId="6FA97406" w14:textId="77777777" w:rsidR="00C755A0" w:rsidRPr="003E54FE" w:rsidRDefault="00C755A0" w:rsidP="001A4831">
            <w:pPr>
              <w:spacing w:line="240" w:lineRule="auto"/>
              <w:ind w:firstLine="0"/>
              <w:jc w:val="right"/>
            </w:pPr>
            <w:r w:rsidRPr="003E54FE">
              <w:t>&lt;0.0001</w:t>
            </w:r>
          </w:p>
        </w:tc>
      </w:tr>
      <w:tr w:rsidR="00C755A0" w:rsidRPr="003E54FE" w14:paraId="09D03C58" w14:textId="77777777" w:rsidTr="001A4831">
        <w:trPr>
          <w:trHeight w:val="300"/>
        </w:trPr>
        <w:tc>
          <w:tcPr>
            <w:tcW w:w="2356" w:type="pct"/>
            <w:noWrap/>
            <w:hideMark/>
          </w:tcPr>
          <w:p w14:paraId="4E1C700A" w14:textId="2174B15B" w:rsidR="00C755A0" w:rsidRPr="00E26AA2" w:rsidRDefault="00C755A0" w:rsidP="001A4831">
            <w:pPr>
              <w:spacing w:line="240" w:lineRule="auto"/>
              <w:ind w:firstLine="0"/>
              <w:jc w:val="right"/>
            </w:pPr>
            <w:r w:rsidRPr="00E26AA2">
              <w:t xml:space="preserve">Stage </w:t>
            </w:r>
            <w:r w:rsidR="00E7422E">
              <w:t>0/</w:t>
            </w:r>
            <w:r w:rsidRPr="00E26AA2">
              <w:t>I</w:t>
            </w:r>
          </w:p>
        </w:tc>
        <w:tc>
          <w:tcPr>
            <w:tcW w:w="675" w:type="pct"/>
            <w:noWrap/>
            <w:hideMark/>
          </w:tcPr>
          <w:p w14:paraId="34031948" w14:textId="77777777" w:rsidR="00C755A0" w:rsidRPr="003E54FE" w:rsidRDefault="00C755A0" w:rsidP="001A4831">
            <w:pPr>
              <w:spacing w:line="240" w:lineRule="auto"/>
              <w:ind w:firstLine="0"/>
              <w:jc w:val="right"/>
            </w:pPr>
            <w:r w:rsidRPr="003E54FE">
              <w:t>76 (29.2)</w:t>
            </w:r>
          </w:p>
        </w:tc>
        <w:tc>
          <w:tcPr>
            <w:tcW w:w="722" w:type="pct"/>
            <w:noWrap/>
            <w:hideMark/>
          </w:tcPr>
          <w:p w14:paraId="75EDBD57" w14:textId="77777777" w:rsidR="00C755A0" w:rsidRPr="003E54FE" w:rsidRDefault="00C755A0" w:rsidP="001A4831">
            <w:pPr>
              <w:spacing w:line="240" w:lineRule="auto"/>
              <w:ind w:firstLine="0"/>
              <w:jc w:val="right"/>
            </w:pPr>
            <w:r w:rsidRPr="003E54FE">
              <w:t>5 (2.7)</w:t>
            </w:r>
          </w:p>
        </w:tc>
        <w:tc>
          <w:tcPr>
            <w:tcW w:w="674" w:type="pct"/>
            <w:noWrap/>
            <w:hideMark/>
          </w:tcPr>
          <w:p w14:paraId="3C8598CF" w14:textId="77777777" w:rsidR="00C755A0" w:rsidRPr="003E54FE" w:rsidRDefault="00C755A0" w:rsidP="001A4831">
            <w:pPr>
              <w:spacing w:line="240" w:lineRule="auto"/>
              <w:ind w:firstLine="0"/>
              <w:jc w:val="right"/>
            </w:pPr>
            <w:r w:rsidRPr="003E54FE">
              <w:t>81 (18.2)</w:t>
            </w:r>
          </w:p>
        </w:tc>
        <w:tc>
          <w:tcPr>
            <w:tcW w:w="574" w:type="pct"/>
            <w:noWrap/>
            <w:hideMark/>
          </w:tcPr>
          <w:p w14:paraId="6C440DBF" w14:textId="77777777" w:rsidR="00C755A0" w:rsidRPr="003E54FE" w:rsidRDefault="00C755A0" w:rsidP="001A4831">
            <w:pPr>
              <w:spacing w:line="240" w:lineRule="auto"/>
              <w:ind w:firstLine="0"/>
              <w:jc w:val="right"/>
            </w:pPr>
          </w:p>
        </w:tc>
      </w:tr>
      <w:tr w:rsidR="00C755A0" w:rsidRPr="003E54FE" w14:paraId="164962E0"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14A7BB70" w14:textId="77777777" w:rsidR="00C755A0" w:rsidRPr="00E26AA2" w:rsidRDefault="00C755A0" w:rsidP="001A4831">
            <w:pPr>
              <w:spacing w:line="240" w:lineRule="auto"/>
              <w:ind w:firstLine="0"/>
              <w:jc w:val="right"/>
            </w:pPr>
            <w:r w:rsidRPr="00E26AA2">
              <w:t>Stage II</w:t>
            </w:r>
          </w:p>
        </w:tc>
        <w:tc>
          <w:tcPr>
            <w:tcW w:w="675" w:type="pct"/>
            <w:noWrap/>
            <w:hideMark/>
          </w:tcPr>
          <w:p w14:paraId="01CE6566" w14:textId="77777777" w:rsidR="00C755A0" w:rsidRPr="003E54FE" w:rsidRDefault="00C755A0" w:rsidP="001A4831">
            <w:pPr>
              <w:spacing w:line="240" w:lineRule="auto"/>
              <w:ind w:firstLine="0"/>
              <w:jc w:val="right"/>
            </w:pPr>
            <w:r w:rsidRPr="003E54FE">
              <w:t>36 (13.9)</w:t>
            </w:r>
          </w:p>
        </w:tc>
        <w:tc>
          <w:tcPr>
            <w:tcW w:w="722" w:type="pct"/>
            <w:noWrap/>
            <w:hideMark/>
          </w:tcPr>
          <w:p w14:paraId="6614A5E3" w14:textId="77777777" w:rsidR="00C755A0" w:rsidRPr="003E54FE" w:rsidRDefault="00C755A0" w:rsidP="001A4831">
            <w:pPr>
              <w:spacing w:line="240" w:lineRule="auto"/>
              <w:ind w:firstLine="0"/>
              <w:jc w:val="right"/>
            </w:pPr>
            <w:r w:rsidRPr="003E54FE">
              <w:t>19 (10.3)</w:t>
            </w:r>
          </w:p>
        </w:tc>
        <w:tc>
          <w:tcPr>
            <w:tcW w:w="674" w:type="pct"/>
            <w:noWrap/>
            <w:hideMark/>
          </w:tcPr>
          <w:p w14:paraId="412CD946" w14:textId="77777777" w:rsidR="00C755A0" w:rsidRPr="003E54FE" w:rsidRDefault="00C755A0" w:rsidP="001A4831">
            <w:pPr>
              <w:spacing w:line="240" w:lineRule="auto"/>
              <w:ind w:firstLine="0"/>
              <w:jc w:val="right"/>
            </w:pPr>
            <w:r w:rsidRPr="003E54FE">
              <w:t>55 (12.4)</w:t>
            </w:r>
          </w:p>
        </w:tc>
        <w:tc>
          <w:tcPr>
            <w:tcW w:w="574" w:type="pct"/>
            <w:noWrap/>
            <w:hideMark/>
          </w:tcPr>
          <w:p w14:paraId="70981ACF" w14:textId="77777777" w:rsidR="00C755A0" w:rsidRPr="003E54FE" w:rsidRDefault="00C755A0" w:rsidP="001A4831">
            <w:pPr>
              <w:spacing w:line="240" w:lineRule="auto"/>
              <w:ind w:firstLine="0"/>
              <w:jc w:val="right"/>
            </w:pPr>
          </w:p>
        </w:tc>
      </w:tr>
      <w:tr w:rsidR="00C755A0" w:rsidRPr="003E54FE" w14:paraId="32B6F9E4" w14:textId="77777777" w:rsidTr="001A4831">
        <w:trPr>
          <w:trHeight w:val="300"/>
        </w:trPr>
        <w:tc>
          <w:tcPr>
            <w:tcW w:w="2356" w:type="pct"/>
            <w:noWrap/>
            <w:hideMark/>
          </w:tcPr>
          <w:p w14:paraId="1862DF9A" w14:textId="77777777" w:rsidR="00C755A0" w:rsidRPr="00E26AA2" w:rsidRDefault="00C755A0" w:rsidP="001A4831">
            <w:pPr>
              <w:spacing w:line="240" w:lineRule="auto"/>
              <w:ind w:firstLine="0"/>
              <w:jc w:val="right"/>
            </w:pPr>
            <w:r w:rsidRPr="00E26AA2">
              <w:t>Stage III</w:t>
            </w:r>
          </w:p>
        </w:tc>
        <w:tc>
          <w:tcPr>
            <w:tcW w:w="675" w:type="pct"/>
            <w:noWrap/>
            <w:hideMark/>
          </w:tcPr>
          <w:p w14:paraId="2428E193" w14:textId="77777777" w:rsidR="00C755A0" w:rsidRPr="003E54FE" w:rsidRDefault="00C755A0" w:rsidP="001A4831">
            <w:pPr>
              <w:spacing w:line="240" w:lineRule="auto"/>
              <w:ind w:firstLine="0"/>
              <w:jc w:val="right"/>
            </w:pPr>
            <w:r w:rsidRPr="003E54FE">
              <w:t>31 (11.9)</w:t>
            </w:r>
          </w:p>
        </w:tc>
        <w:tc>
          <w:tcPr>
            <w:tcW w:w="722" w:type="pct"/>
            <w:noWrap/>
            <w:hideMark/>
          </w:tcPr>
          <w:p w14:paraId="4F629AF2" w14:textId="77777777" w:rsidR="00C755A0" w:rsidRPr="003E54FE" w:rsidRDefault="00C755A0" w:rsidP="001A4831">
            <w:pPr>
              <w:spacing w:line="240" w:lineRule="auto"/>
              <w:ind w:firstLine="0"/>
              <w:jc w:val="right"/>
            </w:pPr>
            <w:r w:rsidRPr="003E54FE">
              <w:t>27 (14.7)</w:t>
            </w:r>
          </w:p>
        </w:tc>
        <w:tc>
          <w:tcPr>
            <w:tcW w:w="674" w:type="pct"/>
            <w:noWrap/>
            <w:hideMark/>
          </w:tcPr>
          <w:p w14:paraId="14DF07E3" w14:textId="77777777" w:rsidR="00C755A0" w:rsidRPr="003E54FE" w:rsidRDefault="00C755A0" w:rsidP="001A4831">
            <w:pPr>
              <w:spacing w:line="240" w:lineRule="auto"/>
              <w:ind w:firstLine="0"/>
              <w:jc w:val="right"/>
            </w:pPr>
            <w:r w:rsidRPr="003E54FE">
              <w:t>58 (13.1)</w:t>
            </w:r>
          </w:p>
        </w:tc>
        <w:tc>
          <w:tcPr>
            <w:tcW w:w="574" w:type="pct"/>
            <w:noWrap/>
            <w:hideMark/>
          </w:tcPr>
          <w:p w14:paraId="4B3E5E5D" w14:textId="77777777" w:rsidR="00C755A0" w:rsidRPr="003E54FE" w:rsidRDefault="00C755A0" w:rsidP="001A4831">
            <w:pPr>
              <w:spacing w:line="240" w:lineRule="auto"/>
              <w:ind w:firstLine="0"/>
              <w:jc w:val="right"/>
            </w:pPr>
          </w:p>
        </w:tc>
      </w:tr>
      <w:tr w:rsidR="00C755A0" w:rsidRPr="003E54FE" w14:paraId="1E9D441C"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309D6D15" w14:textId="77777777" w:rsidR="00C755A0" w:rsidRPr="00E26AA2" w:rsidRDefault="00C755A0" w:rsidP="001A4831">
            <w:pPr>
              <w:spacing w:line="240" w:lineRule="auto"/>
              <w:ind w:firstLine="0"/>
              <w:jc w:val="right"/>
            </w:pPr>
            <w:r w:rsidRPr="00E26AA2">
              <w:t>Stage IV</w:t>
            </w:r>
          </w:p>
        </w:tc>
        <w:tc>
          <w:tcPr>
            <w:tcW w:w="675" w:type="pct"/>
            <w:noWrap/>
            <w:hideMark/>
          </w:tcPr>
          <w:p w14:paraId="226E7C86" w14:textId="77777777" w:rsidR="00C755A0" w:rsidRPr="003E54FE" w:rsidRDefault="00C755A0" w:rsidP="001A4831">
            <w:pPr>
              <w:spacing w:line="240" w:lineRule="auto"/>
              <w:ind w:firstLine="0"/>
              <w:jc w:val="right"/>
            </w:pPr>
            <w:r w:rsidRPr="003E54FE">
              <w:t>12 (4.6)</w:t>
            </w:r>
          </w:p>
        </w:tc>
        <w:tc>
          <w:tcPr>
            <w:tcW w:w="722" w:type="pct"/>
            <w:noWrap/>
            <w:hideMark/>
          </w:tcPr>
          <w:p w14:paraId="03ABD582" w14:textId="77777777" w:rsidR="00C755A0" w:rsidRPr="003E54FE" w:rsidRDefault="00C755A0" w:rsidP="001A4831">
            <w:pPr>
              <w:spacing w:line="240" w:lineRule="auto"/>
              <w:ind w:firstLine="0"/>
              <w:jc w:val="right"/>
            </w:pPr>
            <w:r w:rsidRPr="003E54FE">
              <w:t>46 (25.0)</w:t>
            </w:r>
          </w:p>
        </w:tc>
        <w:tc>
          <w:tcPr>
            <w:tcW w:w="674" w:type="pct"/>
            <w:noWrap/>
            <w:hideMark/>
          </w:tcPr>
          <w:p w14:paraId="722A91DF" w14:textId="77777777" w:rsidR="00C755A0" w:rsidRPr="003E54FE" w:rsidRDefault="00C755A0" w:rsidP="001A4831">
            <w:pPr>
              <w:spacing w:line="240" w:lineRule="auto"/>
              <w:ind w:firstLine="0"/>
              <w:jc w:val="right"/>
            </w:pPr>
            <w:r w:rsidRPr="003E54FE">
              <w:t>58 (13.1)</w:t>
            </w:r>
          </w:p>
        </w:tc>
        <w:tc>
          <w:tcPr>
            <w:tcW w:w="574" w:type="pct"/>
            <w:noWrap/>
            <w:hideMark/>
          </w:tcPr>
          <w:p w14:paraId="662B1A4F" w14:textId="77777777" w:rsidR="00C755A0" w:rsidRPr="003E54FE" w:rsidRDefault="00C755A0" w:rsidP="001A4831">
            <w:pPr>
              <w:spacing w:line="240" w:lineRule="auto"/>
              <w:ind w:firstLine="0"/>
              <w:jc w:val="right"/>
            </w:pPr>
          </w:p>
        </w:tc>
      </w:tr>
      <w:tr w:rsidR="00C755A0" w:rsidRPr="003E54FE" w14:paraId="233DCD12" w14:textId="77777777" w:rsidTr="001A4831">
        <w:trPr>
          <w:trHeight w:val="300"/>
        </w:trPr>
        <w:tc>
          <w:tcPr>
            <w:tcW w:w="2356" w:type="pct"/>
            <w:noWrap/>
            <w:hideMark/>
          </w:tcPr>
          <w:p w14:paraId="124A9FDF" w14:textId="77777777" w:rsidR="00C755A0" w:rsidRPr="00E26AA2" w:rsidRDefault="00C755A0" w:rsidP="001A4831">
            <w:pPr>
              <w:spacing w:line="240" w:lineRule="auto"/>
              <w:ind w:firstLine="0"/>
              <w:jc w:val="right"/>
            </w:pPr>
            <w:r w:rsidRPr="00E26AA2">
              <w:t>Unstaged</w:t>
            </w:r>
          </w:p>
        </w:tc>
        <w:tc>
          <w:tcPr>
            <w:tcW w:w="675" w:type="pct"/>
            <w:noWrap/>
            <w:hideMark/>
          </w:tcPr>
          <w:p w14:paraId="53E3DC3E" w14:textId="77777777" w:rsidR="00C755A0" w:rsidRPr="003E54FE" w:rsidRDefault="00C755A0" w:rsidP="001A4831">
            <w:pPr>
              <w:spacing w:line="240" w:lineRule="auto"/>
              <w:ind w:firstLine="0"/>
              <w:jc w:val="right"/>
            </w:pPr>
            <w:r w:rsidRPr="003E54FE">
              <w:t>105 (40.4)</w:t>
            </w:r>
          </w:p>
        </w:tc>
        <w:tc>
          <w:tcPr>
            <w:tcW w:w="722" w:type="pct"/>
            <w:noWrap/>
            <w:hideMark/>
          </w:tcPr>
          <w:p w14:paraId="67851322" w14:textId="77777777" w:rsidR="00C755A0" w:rsidRPr="003E54FE" w:rsidRDefault="00C755A0" w:rsidP="001A4831">
            <w:pPr>
              <w:spacing w:line="240" w:lineRule="auto"/>
              <w:ind w:firstLine="0"/>
              <w:jc w:val="right"/>
            </w:pPr>
            <w:r w:rsidRPr="003E54FE">
              <w:t>87 (47.3)</w:t>
            </w:r>
          </w:p>
        </w:tc>
        <w:tc>
          <w:tcPr>
            <w:tcW w:w="674" w:type="pct"/>
            <w:noWrap/>
            <w:hideMark/>
          </w:tcPr>
          <w:p w14:paraId="773BECAB" w14:textId="77777777" w:rsidR="00C755A0" w:rsidRPr="003E54FE" w:rsidRDefault="00C755A0" w:rsidP="001A4831">
            <w:pPr>
              <w:spacing w:line="240" w:lineRule="auto"/>
              <w:ind w:firstLine="0"/>
              <w:jc w:val="right"/>
            </w:pPr>
            <w:r w:rsidRPr="003E54FE">
              <w:t>192 (43.2)</w:t>
            </w:r>
          </w:p>
        </w:tc>
        <w:tc>
          <w:tcPr>
            <w:tcW w:w="574" w:type="pct"/>
            <w:noWrap/>
            <w:hideMark/>
          </w:tcPr>
          <w:p w14:paraId="50F35CD9" w14:textId="77777777" w:rsidR="00C755A0" w:rsidRPr="003E54FE" w:rsidRDefault="00C755A0" w:rsidP="001A4831">
            <w:pPr>
              <w:spacing w:line="240" w:lineRule="auto"/>
              <w:ind w:firstLine="0"/>
              <w:jc w:val="right"/>
            </w:pPr>
          </w:p>
        </w:tc>
      </w:tr>
      <w:tr w:rsidR="00C755A0" w:rsidRPr="003E54FE" w14:paraId="0F7B97FD"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14F0F605" w14:textId="77777777" w:rsidR="00C755A0" w:rsidRPr="008C230A" w:rsidRDefault="00C755A0" w:rsidP="001A4831">
            <w:pPr>
              <w:spacing w:line="240" w:lineRule="auto"/>
              <w:ind w:firstLine="0"/>
              <w:rPr>
                <w:b/>
                <w:bCs/>
              </w:rPr>
            </w:pPr>
            <w:r w:rsidRPr="008C230A">
              <w:rPr>
                <w:b/>
                <w:bCs/>
              </w:rPr>
              <w:t>Anatomic Site (%)</w:t>
            </w:r>
          </w:p>
        </w:tc>
        <w:tc>
          <w:tcPr>
            <w:tcW w:w="675" w:type="pct"/>
            <w:noWrap/>
            <w:hideMark/>
          </w:tcPr>
          <w:p w14:paraId="7B1AE66B" w14:textId="77777777" w:rsidR="00C755A0" w:rsidRPr="003E54FE" w:rsidRDefault="00C755A0" w:rsidP="001A4831">
            <w:pPr>
              <w:spacing w:line="240" w:lineRule="auto"/>
              <w:ind w:firstLine="0"/>
              <w:jc w:val="right"/>
            </w:pPr>
          </w:p>
        </w:tc>
        <w:tc>
          <w:tcPr>
            <w:tcW w:w="722" w:type="pct"/>
            <w:noWrap/>
            <w:hideMark/>
          </w:tcPr>
          <w:p w14:paraId="52069772" w14:textId="77777777" w:rsidR="00C755A0" w:rsidRPr="003E54FE" w:rsidRDefault="00C755A0" w:rsidP="001A4831">
            <w:pPr>
              <w:spacing w:line="240" w:lineRule="auto"/>
              <w:ind w:firstLine="0"/>
              <w:jc w:val="right"/>
            </w:pPr>
          </w:p>
        </w:tc>
        <w:tc>
          <w:tcPr>
            <w:tcW w:w="674" w:type="pct"/>
            <w:noWrap/>
            <w:hideMark/>
          </w:tcPr>
          <w:p w14:paraId="61ECE4ED" w14:textId="77777777" w:rsidR="00C755A0" w:rsidRPr="003E54FE" w:rsidRDefault="00C755A0" w:rsidP="001A4831">
            <w:pPr>
              <w:spacing w:line="240" w:lineRule="auto"/>
              <w:ind w:firstLine="0"/>
              <w:jc w:val="right"/>
            </w:pPr>
          </w:p>
        </w:tc>
        <w:tc>
          <w:tcPr>
            <w:tcW w:w="574" w:type="pct"/>
            <w:noWrap/>
            <w:hideMark/>
          </w:tcPr>
          <w:p w14:paraId="5817433E" w14:textId="77777777" w:rsidR="00C755A0" w:rsidRPr="003E54FE" w:rsidRDefault="00C755A0" w:rsidP="001A4831">
            <w:pPr>
              <w:spacing w:line="240" w:lineRule="auto"/>
              <w:ind w:firstLine="0"/>
              <w:jc w:val="right"/>
            </w:pPr>
            <w:r w:rsidRPr="003E54FE">
              <w:t>0.82</w:t>
            </w:r>
          </w:p>
        </w:tc>
      </w:tr>
      <w:tr w:rsidR="00C755A0" w:rsidRPr="003E54FE" w14:paraId="5F655F54" w14:textId="77777777" w:rsidTr="001A4831">
        <w:trPr>
          <w:trHeight w:val="300"/>
        </w:trPr>
        <w:tc>
          <w:tcPr>
            <w:tcW w:w="2356" w:type="pct"/>
            <w:noWrap/>
            <w:hideMark/>
          </w:tcPr>
          <w:p w14:paraId="13827F0F" w14:textId="048E84D0" w:rsidR="00C755A0" w:rsidRPr="00E26AA2" w:rsidRDefault="00761E36" w:rsidP="001A4831">
            <w:pPr>
              <w:spacing w:line="240" w:lineRule="auto"/>
              <w:ind w:firstLine="0"/>
              <w:jc w:val="right"/>
            </w:pPr>
            <w:r>
              <w:t>Colon</w:t>
            </w:r>
          </w:p>
        </w:tc>
        <w:tc>
          <w:tcPr>
            <w:tcW w:w="675" w:type="pct"/>
            <w:noWrap/>
            <w:hideMark/>
          </w:tcPr>
          <w:p w14:paraId="10511421" w14:textId="77777777" w:rsidR="00C755A0" w:rsidRPr="003E54FE" w:rsidRDefault="00C755A0" w:rsidP="001A4831">
            <w:pPr>
              <w:spacing w:line="240" w:lineRule="auto"/>
              <w:ind w:firstLine="0"/>
              <w:jc w:val="right"/>
            </w:pPr>
            <w:r w:rsidRPr="003E54FE">
              <w:t>181 (69.6)</w:t>
            </w:r>
          </w:p>
        </w:tc>
        <w:tc>
          <w:tcPr>
            <w:tcW w:w="722" w:type="pct"/>
            <w:noWrap/>
            <w:hideMark/>
          </w:tcPr>
          <w:p w14:paraId="117DF9E0" w14:textId="77777777" w:rsidR="00C755A0" w:rsidRPr="003E54FE" w:rsidRDefault="00C755A0" w:rsidP="001A4831">
            <w:pPr>
              <w:spacing w:line="240" w:lineRule="auto"/>
              <w:ind w:firstLine="0"/>
              <w:jc w:val="right"/>
            </w:pPr>
            <w:r w:rsidRPr="003E54FE">
              <w:t>129 (70.1)</w:t>
            </w:r>
          </w:p>
        </w:tc>
        <w:tc>
          <w:tcPr>
            <w:tcW w:w="674" w:type="pct"/>
            <w:noWrap/>
            <w:hideMark/>
          </w:tcPr>
          <w:p w14:paraId="28E7CF95" w14:textId="77777777" w:rsidR="00C755A0" w:rsidRPr="003E54FE" w:rsidRDefault="00C755A0" w:rsidP="001A4831">
            <w:pPr>
              <w:spacing w:line="240" w:lineRule="auto"/>
              <w:ind w:firstLine="0"/>
              <w:jc w:val="right"/>
            </w:pPr>
            <w:r w:rsidRPr="003E54FE">
              <w:t>310 (69.8)</w:t>
            </w:r>
          </w:p>
        </w:tc>
        <w:tc>
          <w:tcPr>
            <w:tcW w:w="574" w:type="pct"/>
            <w:noWrap/>
            <w:hideMark/>
          </w:tcPr>
          <w:p w14:paraId="60134C5C" w14:textId="77777777" w:rsidR="00C755A0" w:rsidRPr="003E54FE" w:rsidRDefault="00C755A0" w:rsidP="001A4831">
            <w:pPr>
              <w:spacing w:line="240" w:lineRule="auto"/>
              <w:ind w:firstLine="0"/>
              <w:jc w:val="right"/>
            </w:pPr>
          </w:p>
        </w:tc>
      </w:tr>
      <w:tr w:rsidR="00C755A0" w:rsidRPr="003E54FE" w14:paraId="489CE7E5"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4F0707A9" w14:textId="6A89CC38" w:rsidR="00C755A0" w:rsidRPr="00E26AA2" w:rsidRDefault="00761E36" w:rsidP="001A4831">
            <w:pPr>
              <w:spacing w:line="240" w:lineRule="auto"/>
              <w:ind w:firstLine="0"/>
              <w:jc w:val="right"/>
            </w:pPr>
            <w:r>
              <w:t>Rectosigmoid junction</w:t>
            </w:r>
          </w:p>
        </w:tc>
        <w:tc>
          <w:tcPr>
            <w:tcW w:w="675" w:type="pct"/>
            <w:noWrap/>
            <w:hideMark/>
          </w:tcPr>
          <w:p w14:paraId="5BBDB8AF" w14:textId="77777777" w:rsidR="00C755A0" w:rsidRPr="003E54FE" w:rsidRDefault="00C755A0" w:rsidP="001A4831">
            <w:pPr>
              <w:spacing w:line="240" w:lineRule="auto"/>
              <w:ind w:firstLine="0"/>
              <w:jc w:val="right"/>
            </w:pPr>
            <w:r w:rsidRPr="003E54FE">
              <w:t>26 (10.0)</w:t>
            </w:r>
          </w:p>
        </w:tc>
        <w:tc>
          <w:tcPr>
            <w:tcW w:w="722" w:type="pct"/>
            <w:noWrap/>
            <w:hideMark/>
          </w:tcPr>
          <w:p w14:paraId="1862E6B2" w14:textId="77777777" w:rsidR="00C755A0" w:rsidRPr="003E54FE" w:rsidRDefault="00C755A0" w:rsidP="001A4831">
            <w:pPr>
              <w:spacing w:line="240" w:lineRule="auto"/>
              <w:ind w:firstLine="0"/>
              <w:jc w:val="right"/>
            </w:pPr>
            <w:r w:rsidRPr="003E54FE">
              <w:t>21 (11.4)</w:t>
            </w:r>
          </w:p>
        </w:tc>
        <w:tc>
          <w:tcPr>
            <w:tcW w:w="674" w:type="pct"/>
            <w:noWrap/>
            <w:hideMark/>
          </w:tcPr>
          <w:p w14:paraId="2538FB54" w14:textId="77777777" w:rsidR="00C755A0" w:rsidRPr="003E54FE" w:rsidRDefault="00C755A0" w:rsidP="001A4831">
            <w:pPr>
              <w:spacing w:line="240" w:lineRule="auto"/>
              <w:ind w:firstLine="0"/>
              <w:jc w:val="right"/>
            </w:pPr>
            <w:r w:rsidRPr="003E54FE">
              <w:t>47 (10.6)</w:t>
            </w:r>
          </w:p>
        </w:tc>
        <w:tc>
          <w:tcPr>
            <w:tcW w:w="574" w:type="pct"/>
            <w:noWrap/>
            <w:hideMark/>
          </w:tcPr>
          <w:p w14:paraId="160E95FE" w14:textId="77777777" w:rsidR="00C755A0" w:rsidRPr="003E54FE" w:rsidRDefault="00C755A0" w:rsidP="001A4831">
            <w:pPr>
              <w:spacing w:line="240" w:lineRule="auto"/>
              <w:ind w:firstLine="0"/>
              <w:jc w:val="right"/>
            </w:pPr>
          </w:p>
        </w:tc>
      </w:tr>
      <w:tr w:rsidR="00C755A0" w:rsidRPr="003E54FE" w14:paraId="4628E57C" w14:textId="77777777" w:rsidTr="001A4831">
        <w:trPr>
          <w:trHeight w:val="300"/>
        </w:trPr>
        <w:tc>
          <w:tcPr>
            <w:tcW w:w="2356" w:type="pct"/>
            <w:noWrap/>
            <w:hideMark/>
          </w:tcPr>
          <w:p w14:paraId="467925FD" w14:textId="77777777" w:rsidR="00C755A0" w:rsidRPr="00E26AA2" w:rsidRDefault="00C755A0" w:rsidP="001A4831">
            <w:pPr>
              <w:spacing w:line="240" w:lineRule="auto"/>
              <w:ind w:firstLine="0"/>
              <w:jc w:val="right"/>
            </w:pPr>
            <w:r w:rsidRPr="00E26AA2">
              <w:t>Rectum</w:t>
            </w:r>
          </w:p>
        </w:tc>
        <w:tc>
          <w:tcPr>
            <w:tcW w:w="675" w:type="pct"/>
            <w:noWrap/>
            <w:hideMark/>
          </w:tcPr>
          <w:p w14:paraId="30B34708" w14:textId="77777777" w:rsidR="00C755A0" w:rsidRPr="003E54FE" w:rsidRDefault="00C755A0" w:rsidP="001A4831">
            <w:pPr>
              <w:spacing w:line="240" w:lineRule="auto"/>
              <w:ind w:firstLine="0"/>
              <w:jc w:val="right"/>
            </w:pPr>
            <w:r w:rsidRPr="003E54FE">
              <w:t>53 (20.4)</w:t>
            </w:r>
          </w:p>
        </w:tc>
        <w:tc>
          <w:tcPr>
            <w:tcW w:w="722" w:type="pct"/>
            <w:noWrap/>
            <w:hideMark/>
          </w:tcPr>
          <w:p w14:paraId="68B8DBDD" w14:textId="77777777" w:rsidR="00C755A0" w:rsidRPr="003E54FE" w:rsidRDefault="00C755A0" w:rsidP="001A4831">
            <w:pPr>
              <w:spacing w:line="240" w:lineRule="auto"/>
              <w:ind w:firstLine="0"/>
              <w:jc w:val="right"/>
            </w:pPr>
            <w:r w:rsidRPr="003E54FE">
              <w:t>34 (18.5)</w:t>
            </w:r>
          </w:p>
        </w:tc>
        <w:tc>
          <w:tcPr>
            <w:tcW w:w="674" w:type="pct"/>
            <w:noWrap/>
            <w:hideMark/>
          </w:tcPr>
          <w:p w14:paraId="16D7A4F3" w14:textId="77777777" w:rsidR="00C755A0" w:rsidRPr="003E54FE" w:rsidRDefault="00C755A0" w:rsidP="001A4831">
            <w:pPr>
              <w:spacing w:line="240" w:lineRule="auto"/>
              <w:ind w:firstLine="0"/>
              <w:jc w:val="right"/>
            </w:pPr>
            <w:r w:rsidRPr="003E54FE">
              <w:t>87 (19.6)</w:t>
            </w:r>
          </w:p>
        </w:tc>
        <w:tc>
          <w:tcPr>
            <w:tcW w:w="574" w:type="pct"/>
            <w:noWrap/>
            <w:hideMark/>
          </w:tcPr>
          <w:p w14:paraId="69DFB4D3" w14:textId="77777777" w:rsidR="00C755A0" w:rsidRPr="003E54FE" w:rsidRDefault="00C755A0" w:rsidP="001A4831">
            <w:pPr>
              <w:spacing w:line="240" w:lineRule="auto"/>
              <w:ind w:firstLine="0"/>
              <w:jc w:val="right"/>
            </w:pPr>
          </w:p>
        </w:tc>
      </w:tr>
      <w:tr w:rsidR="00C755A0" w:rsidRPr="003E54FE" w14:paraId="60270315"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29F88FEE" w14:textId="77777777" w:rsidR="00C755A0" w:rsidRPr="008C230A" w:rsidRDefault="00C755A0" w:rsidP="001A4831">
            <w:pPr>
              <w:spacing w:line="240" w:lineRule="auto"/>
              <w:ind w:firstLine="0"/>
              <w:rPr>
                <w:b/>
                <w:bCs/>
              </w:rPr>
            </w:pPr>
            <w:r w:rsidRPr="008C230A">
              <w:rPr>
                <w:b/>
                <w:bCs/>
              </w:rPr>
              <w:t>Year of Diagnosis (%)</w:t>
            </w:r>
          </w:p>
        </w:tc>
        <w:tc>
          <w:tcPr>
            <w:tcW w:w="675" w:type="pct"/>
            <w:noWrap/>
            <w:hideMark/>
          </w:tcPr>
          <w:p w14:paraId="3FB654AF" w14:textId="77777777" w:rsidR="00C755A0" w:rsidRPr="003E54FE" w:rsidRDefault="00C755A0" w:rsidP="001A4831">
            <w:pPr>
              <w:spacing w:line="240" w:lineRule="auto"/>
              <w:ind w:firstLine="0"/>
              <w:jc w:val="right"/>
            </w:pPr>
          </w:p>
        </w:tc>
        <w:tc>
          <w:tcPr>
            <w:tcW w:w="722" w:type="pct"/>
            <w:noWrap/>
            <w:hideMark/>
          </w:tcPr>
          <w:p w14:paraId="50DB9264" w14:textId="77777777" w:rsidR="00C755A0" w:rsidRPr="003E54FE" w:rsidRDefault="00C755A0" w:rsidP="001A4831">
            <w:pPr>
              <w:spacing w:line="240" w:lineRule="auto"/>
              <w:ind w:firstLine="0"/>
              <w:jc w:val="right"/>
            </w:pPr>
          </w:p>
        </w:tc>
        <w:tc>
          <w:tcPr>
            <w:tcW w:w="674" w:type="pct"/>
            <w:noWrap/>
            <w:hideMark/>
          </w:tcPr>
          <w:p w14:paraId="128BF7D9" w14:textId="77777777" w:rsidR="00C755A0" w:rsidRPr="003E54FE" w:rsidRDefault="00C755A0" w:rsidP="001A4831">
            <w:pPr>
              <w:spacing w:line="240" w:lineRule="auto"/>
              <w:ind w:firstLine="0"/>
              <w:jc w:val="right"/>
            </w:pPr>
          </w:p>
        </w:tc>
        <w:tc>
          <w:tcPr>
            <w:tcW w:w="574" w:type="pct"/>
            <w:noWrap/>
            <w:hideMark/>
          </w:tcPr>
          <w:p w14:paraId="1EAFFA6E" w14:textId="77777777" w:rsidR="00C755A0" w:rsidRPr="003E54FE" w:rsidRDefault="00C755A0" w:rsidP="001A4831">
            <w:pPr>
              <w:spacing w:line="240" w:lineRule="auto"/>
              <w:ind w:firstLine="0"/>
              <w:jc w:val="right"/>
            </w:pPr>
            <w:r w:rsidRPr="003E54FE">
              <w:t>0.24</w:t>
            </w:r>
          </w:p>
        </w:tc>
      </w:tr>
      <w:tr w:rsidR="00C755A0" w:rsidRPr="003E54FE" w14:paraId="53C5AF95" w14:textId="77777777" w:rsidTr="001A4831">
        <w:trPr>
          <w:trHeight w:val="300"/>
        </w:trPr>
        <w:tc>
          <w:tcPr>
            <w:tcW w:w="2356" w:type="pct"/>
            <w:noWrap/>
            <w:hideMark/>
          </w:tcPr>
          <w:p w14:paraId="53AE3483" w14:textId="77777777" w:rsidR="00C755A0" w:rsidRPr="00E26AA2" w:rsidRDefault="00C755A0" w:rsidP="001A4831">
            <w:pPr>
              <w:spacing w:line="240" w:lineRule="auto"/>
              <w:ind w:firstLine="0"/>
              <w:jc w:val="right"/>
            </w:pPr>
            <w:r w:rsidRPr="00E26AA2">
              <w:t>1995</w:t>
            </w:r>
          </w:p>
        </w:tc>
        <w:tc>
          <w:tcPr>
            <w:tcW w:w="675" w:type="pct"/>
            <w:noWrap/>
            <w:hideMark/>
          </w:tcPr>
          <w:p w14:paraId="5D217768" w14:textId="77777777" w:rsidR="00C755A0" w:rsidRPr="003E54FE" w:rsidRDefault="00C755A0" w:rsidP="001A4831">
            <w:pPr>
              <w:spacing w:line="240" w:lineRule="auto"/>
              <w:ind w:firstLine="0"/>
              <w:jc w:val="right"/>
            </w:pPr>
            <w:r w:rsidRPr="003E54FE">
              <w:t>23 (8.9)</w:t>
            </w:r>
          </w:p>
        </w:tc>
        <w:tc>
          <w:tcPr>
            <w:tcW w:w="722" w:type="pct"/>
            <w:noWrap/>
            <w:hideMark/>
          </w:tcPr>
          <w:p w14:paraId="67EEA73F" w14:textId="77777777" w:rsidR="00C755A0" w:rsidRPr="003E54FE" w:rsidRDefault="00C755A0" w:rsidP="001A4831">
            <w:pPr>
              <w:spacing w:line="240" w:lineRule="auto"/>
              <w:ind w:firstLine="0"/>
              <w:jc w:val="right"/>
            </w:pPr>
            <w:r w:rsidRPr="003E54FE">
              <w:t>12 (6.5)</w:t>
            </w:r>
          </w:p>
        </w:tc>
        <w:tc>
          <w:tcPr>
            <w:tcW w:w="674" w:type="pct"/>
            <w:noWrap/>
            <w:hideMark/>
          </w:tcPr>
          <w:p w14:paraId="49930D41" w14:textId="77777777" w:rsidR="00C755A0" w:rsidRPr="003E54FE" w:rsidRDefault="00C755A0" w:rsidP="001A4831">
            <w:pPr>
              <w:spacing w:line="240" w:lineRule="auto"/>
              <w:ind w:firstLine="0"/>
              <w:jc w:val="right"/>
            </w:pPr>
            <w:r w:rsidRPr="003E54FE">
              <w:t>35 (7.9)</w:t>
            </w:r>
          </w:p>
        </w:tc>
        <w:tc>
          <w:tcPr>
            <w:tcW w:w="574" w:type="pct"/>
            <w:noWrap/>
            <w:hideMark/>
          </w:tcPr>
          <w:p w14:paraId="297049A3" w14:textId="77777777" w:rsidR="00C755A0" w:rsidRPr="003E54FE" w:rsidRDefault="00C755A0" w:rsidP="001A4831">
            <w:pPr>
              <w:spacing w:line="240" w:lineRule="auto"/>
              <w:ind w:firstLine="0"/>
              <w:jc w:val="right"/>
            </w:pPr>
          </w:p>
        </w:tc>
      </w:tr>
      <w:tr w:rsidR="00C755A0" w:rsidRPr="003E54FE" w14:paraId="086AFACB"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61EDB7E6" w14:textId="77777777" w:rsidR="00C755A0" w:rsidRPr="00E26AA2" w:rsidRDefault="00C755A0" w:rsidP="001A4831">
            <w:pPr>
              <w:spacing w:line="240" w:lineRule="auto"/>
              <w:ind w:firstLine="0"/>
              <w:jc w:val="right"/>
            </w:pPr>
            <w:r w:rsidRPr="00E26AA2">
              <w:t>1996</w:t>
            </w:r>
          </w:p>
        </w:tc>
        <w:tc>
          <w:tcPr>
            <w:tcW w:w="675" w:type="pct"/>
            <w:noWrap/>
            <w:hideMark/>
          </w:tcPr>
          <w:p w14:paraId="77B4EB69" w14:textId="77777777" w:rsidR="00C755A0" w:rsidRPr="003E54FE" w:rsidRDefault="00C755A0" w:rsidP="001A4831">
            <w:pPr>
              <w:spacing w:line="240" w:lineRule="auto"/>
              <w:ind w:firstLine="0"/>
              <w:jc w:val="right"/>
            </w:pPr>
            <w:r w:rsidRPr="003E54FE">
              <w:t>26 (10.0)</w:t>
            </w:r>
          </w:p>
        </w:tc>
        <w:tc>
          <w:tcPr>
            <w:tcW w:w="722" w:type="pct"/>
            <w:noWrap/>
            <w:hideMark/>
          </w:tcPr>
          <w:p w14:paraId="72B81AD2" w14:textId="77777777" w:rsidR="00C755A0" w:rsidRPr="003E54FE" w:rsidRDefault="00C755A0" w:rsidP="001A4831">
            <w:pPr>
              <w:spacing w:line="240" w:lineRule="auto"/>
              <w:ind w:firstLine="0"/>
              <w:jc w:val="right"/>
            </w:pPr>
            <w:r w:rsidRPr="003E54FE">
              <w:t>12 (6.5)</w:t>
            </w:r>
          </w:p>
        </w:tc>
        <w:tc>
          <w:tcPr>
            <w:tcW w:w="674" w:type="pct"/>
            <w:noWrap/>
            <w:hideMark/>
          </w:tcPr>
          <w:p w14:paraId="1BE9D7E9" w14:textId="77777777" w:rsidR="00C755A0" w:rsidRPr="003E54FE" w:rsidRDefault="00C755A0" w:rsidP="001A4831">
            <w:pPr>
              <w:spacing w:line="240" w:lineRule="auto"/>
              <w:ind w:firstLine="0"/>
              <w:jc w:val="right"/>
            </w:pPr>
            <w:r w:rsidRPr="003E54FE">
              <w:t>38 (8.6)</w:t>
            </w:r>
          </w:p>
        </w:tc>
        <w:tc>
          <w:tcPr>
            <w:tcW w:w="574" w:type="pct"/>
            <w:noWrap/>
            <w:hideMark/>
          </w:tcPr>
          <w:p w14:paraId="750CD597" w14:textId="77777777" w:rsidR="00C755A0" w:rsidRPr="003E54FE" w:rsidRDefault="00C755A0" w:rsidP="001A4831">
            <w:pPr>
              <w:spacing w:line="240" w:lineRule="auto"/>
              <w:ind w:firstLine="0"/>
              <w:jc w:val="right"/>
            </w:pPr>
          </w:p>
        </w:tc>
      </w:tr>
      <w:tr w:rsidR="00C755A0" w:rsidRPr="003E54FE" w14:paraId="51F38C6E" w14:textId="77777777" w:rsidTr="001A4831">
        <w:trPr>
          <w:trHeight w:val="300"/>
        </w:trPr>
        <w:tc>
          <w:tcPr>
            <w:tcW w:w="2356" w:type="pct"/>
            <w:noWrap/>
            <w:hideMark/>
          </w:tcPr>
          <w:p w14:paraId="0B23F7D2" w14:textId="77777777" w:rsidR="00C755A0" w:rsidRPr="00E26AA2" w:rsidRDefault="00C755A0" w:rsidP="001A4831">
            <w:pPr>
              <w:spacing w:line="240" w:lineRule="auto"/>
              <w:ind w:firstLine="0"/>
              <w:jc w:val="right"/>
            </w:pPr>
            <w:r w:rsidRPr="00E26AA2">
              <w:t>1997</w:t>
            </w:r>
          </w:p>
        </w:tc>
        <w:tc>
          <w:tcPr>
            <w:tcW w:w="675" w:type="pct"/>
            <w:noWrap/>
            <w:hideMark/>
          </w:tcPr>
          <w:p w14:paraId="7DE6DDFF" w14:textId="77777777" w:rsidR="00C755A0" w:rsidRPr="003E54FE" w:rsidRDefault="00C755A0" w:rsidP="001A4831">
            <w:pPr>
              <w:spacing w:line="240" w:lineRule="auto"/>
              <w:ind w:firstLine="0"/>
              <w:jc w:val="right"/>
            </w:pPr>
            <w:r w:rsidRPr="003E54FE">
              <w:t>22 (8.5)</w:t>
            </w:r>
          </w:p>
        </w:tc>
        <w:tc>
          <w:tcPr>
            <w:tcW w:w="722" w:type="pct"/>
            <w:noWrap/>
            <w:hideMark/>
          </w:tcPr>
          <w:p w14:paraId="1CDF6E02" w14:textId="77777777" w:rsidR="00C755A0" w:rsidRPr="003E54FE" w:rsidRDefault="00C755A0" w:rsidP="001A4831">
            <w:pPr>
              <w:spacing w:line="240" w:lineRule="auto"/>
              <w:ind w:firstLine="0"/>
              <w:jc w:val="right"/>
            </w:pPr>
            <w:r w:rsidRPr="003E54FE">
              <w:t>16 (8.7)</w:t>
            </w:r>
          </w:p>
        </w:tc>
        <w:tc>
          <w:tcPr>
            <w:tcW w:w="674" w:type="pct"/>
            <w:noWrap/>
            <w:hideMark/>
          </w:tcPr>
          <w:p w14:paraId="428C0BA2" w14:textId="77777777" w:rsidR="00C755A0" w:rsidRPr="003E54FE" w:rsidRDefault="00C755A0" w:rsidP="001A4831">
            <w:pPr>
              <w:spacing w:line="240" w:lineRule="auto"/>
              <w:ind w:firstLine="0"/>
              <w:jc w:val="right"/>
            </w:pPr>
            <w:r w:rsidRPr="003E54FE">
              <w:t>38 (8.6)</w:t>
            </w:r>
          </w:p>
        </w:tc>
        <w:tc>
          <w:tcPr>
            <w:tcW w:w="574" w:type="pct"/>
            <w:noWrap/>
            <w:hideMark/>
          </w:tcPr>
          <w:p w14:paraId="11A71594" w14:textId="77777777" w:rsidR="00C755A0" w:rsidRPr="003E54FE" w:rsidRDefault="00C755A0" w:rsidP="001A4831">
            <w:pPr>
              <w:spacing w:line="240" w:lineRule="auto"/>
              <w:ind w:firstLine="0"/>
              <w:jc w:val="right"/>
            </w:pPr>
          </w:p>
        </w:tc>
      </w:tr>
      <w:tr w:rsidR="00C755A0" w:rsidRPr="003E54FE" w14:paraId="7BA9354E"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075F449C" w14:textId="77777777" w:rsidR="00C755A0" w:rsidRPr="00E26AA2" w:rsidRDefault="00C755A0" w:rsidP="001A4831">
            <w:pPr>
              <w:spacing w:line="240" w:lineRule="auto"/>
              <w:ind w:firstLine="0"/>
              <w:jc w:val="right"/>
            </w:pPr>
            <w:r w:rsidRPr="00E26AA2">
              <w:t>1998</w:t>
            </w:r>
          </w:p>
        </w:tc>
        <w:tc>
          <w:tcPr>
            <w:tcW w:w="675" w:type="pct"/>
            <w:noWrap/>
            <w:hideMark/>
          </w:tcPr>
          <w:p w14:paraId="6CD7D6AE" w14:textId="77777777" w:rsidR="00C755A0" w:rsidRPr="003E54FE" w:rsidRDefault="00C755A0" w:rsidP="001A4831">
            <w:pPr>
              <w:spacing w:line="240" w:lineRule="auto"/>
              <w:ind w:firstLine="0"/>
              <w:jc w:val="right"/>
            </w:pPr>
            <w:r w:rsidRPr="003E54FE">
              <w:t>27 (10.4)</w:t>
            </w:r>
          </w:p>
        </w:tc>
        <w:tc>
          <w:tcPr>
            <w:tcW w:w="722" w:type="pct"/>
            <w:noWrap/>
            <w:hideMark/>
          </w:tcPr>
          <w:p w14:paraId="2F53D263" w14:textId="77777777" w:rsidR="00C755A0" w:rsidRPr="003E54FE" w:rsidRDefault="00C755A0" w:rsidP="001A4831">
            <w:pPr>
              <w:spacing w:line="240" w:lineRule="auto"/>
              <w:ind w:firstLine="0"/>
              <w:jc w:val="right"/>
            </w:pPr>
            <w:r w:rsidRPr="003E54FE">
              <w:t>17 (9.2)</w:t>
            </w:r>
          </w:p>
        </w:tc>
        <w:tc>
          <w:tcPr>
            <w:tcW w:w="674" w:type="pct"/>
            <w:noWrap/>
            <w:hideMark/>
          </w:tcPr>
          <w:p w14:paraId="3DBAFF80" w14:textId="77777777" w:rsidR="00C755A0" w:rsidRPr="003E54FE" w:rsidRDefault="00C755A0" w:rsidP="001A4831">
            <w:pPr>
              <w:spacing w:line="240" w:lineRule="auto"/>
              <w:ind w:firstLine="0"/>
              <w:jc w:val="right"/>
            </w:pPr>
            <w:r w:rsidRPr="003E54FE">
              <w:t>44 (9.9)</w:t>
            </w:r>
          </w:p>
        </w:tc>
        <w:tc>
          <w:tcPr>
            <w:tcW w:w="574" w:type="pct"/>
            <w:noWrap/>
            <w:hideMark/>
          </w:tcPr>
          <w:p w14:paraId="49E89BAE" w14:textId="77777777" w:rsidR="00C755A0" w:rsidRPr="003E54FE" w:rsidRDefault="00C755A0" w:rsidP="001A4831">
            <w:pPr>
              <w:spacing w:line="240" w:lineRule="auto"/>
              <w:ind w:firstLine="0"/>
              <w:jc w:val="right"/>
            </w:pPr>
          </w:p>
        </w:tc>
      </w:tr>
      <w:tr w:rsidR="00C755A0" w:rsidRPr="003E54FE" w14:paraId="0999E79E" w14:textId="77777777" w:rsidTr="001A4831">
        <w:trPr>
          <w:trHeight w:val="300"/>
        </w:trPr>
        <w:tc>
          <w:tcPr>
            <w:tcW w:w="2356" w:type="pct"/>
            <w:noWrap/>
            <w:hideMark/>
          </w:tcPr>
          <w:p w14:paraId="256EDC09" w14:textId="77777777" w:rsidR="00C755A0" w:rsidRPr="00E26AA2" w:rsidRDefault="00C755A0" w:rsidP="001A4831">
            <w:pPr>
              <w:spacing w:line="240" w:lineRule="auto"/>
              <w:ind w:firstLine="0"/>
              <w:jc w:val="right"/>
            </w:pPr>
            <w:r w:rsidRPr="00E26AA2">
              <w:t>1999</w:t>
            </w:r>
          </w:p>
        </w:tc>
        <w:tc>
          <w:tcPr>
            <w:tcW w:w="675" w:type="pct"/>
            <w:noWrap/>
            <w:hideMark/>
          </w:tcPr>
          <w:p w14:paraId="28FC11EC" w14:textId="77777777" w:rsidR="00C755A0" w:rsidRPr="003E54FE" w:rsidRDefault="00C755A0" w:rsidP="001A4831">
            <w:pPr>
              <w:spacing w:line="240" w:lineRule="auto"/>
              <w:ind w:firstLine="0"/>
              <w:jc w:val="right"/>
            </w:pPr>
            <w:r w:rsidRPr="003E54FE">
              <w:t>30 (11.5)</w:t>
            </w:r>
          </w:p>
        </w:tc>
        <w:tc>
          <w:tcPr>
            <w:tcW w:w="722" w:type="pct"/>
            <w:noWrap/>
            <w:hideMark/>
          </w:tcPr>
          <w:p w14:paraId="69485D9A" w14:textId="77777777" w:rsidR="00C755A0" w:rsidRPr="003E54FE" w:rsidRDefault="00C755A0" w:rsidP="001A4831">
            <w:pPr>
              <w:spacing w:line="240" w:lineRule="auto"/>
              <w:ind w:firstLine="0"/>
              <w:jc w:val="right"/>
            </w:pPr>
            <w:r w:rsidRPr="003E54FE">
              <w:t>31 (16.9)</w:t>
            </w:r>
          </w:p>
        </w:tc>
        <w:tc>
          <w:tcPr>
            <w:tcW w:w="674" w:type="pct"/>
            <w:noWrap/>
            <w:hideMark/>
          </w:tcPr>
          <w:p w14:paraId="183BD91B" w14:textId="77777777" w:rsidR="00C755A0" w:rsidRPr="003E54FE" w:rsidRDefault="00C755A0" w:rsidP="001A4831">
            <w:pPr>
              <w:spacing w:line="240" w:lineRule="auto"/>
              <w:ind w:firstLine="0"/>
              <w:jc w:val="right"/>
            </w:pPr>
            <w:r w:rsidRPr="003E54FE">
              <w:t>61 (13.7)</w:t>
            </w:r>
          </w:p>
        </w:tc>
        <w:tc>
          <w:tcPr>
            <w:tcW w:w="574" w:type="pct"/>
            <w:noWrap/>
            <w:hideMark/>
          </w:tcPr>
          <w:p w14:paraId="4B049376" w14:textId="77777777" w:rsidR="00C755A0" w:rsidRPr="003E54FE" w:rsidRDefault="00C755A0" w:rsidP="001A4831">
            <w:pPr>
              <w:spacing w:line="240" w:lineRule="auto"/>
              <w:ind w:firstLine="0"/>
              <w:jc w:val="right"/>
            </w:pPr>
          </w:p>
        </w:tc>
      </w:tr>
      <w:tr w:rsidR="00C755A0" w:rsidRPr="003E54FE" w14:paraId="0A32C072"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70575264" w14:textId="77777777" w:rsidR="00C755A0" w:rsidRPr="00E26AA2" w:rsidRDefault="00C755A0" w:rsidP="001A4831">
            <w:pPr>
              <w:spacing w:line="240" w:lineRule="auto"/>
              <w:ind w:firstLine="0"/>
              <w:jc w:val="right"/>
            </w:pPr>
            <w:r w:rsidRPr="00E26AA2">
              <w:t>2000</w:t>
            </w:r>
          </w:p>
        </w:tc>
        <w:tc>
          <w:tcPr>
            <w:tcW w:w="675" w:type="pct"/>
            <w:noWrap/>
            <w:hideMark/>
          </w:tcPr>
          <w:p w14:paraId="6100B6CB" w14:textId="77777777" w:rsidR="00C755A0" w:rsidRPr="003E54FE" w:rsidRDefault="00C755A0" w:rsidP="001A4831">
            <w:pPr>
              <w:spacing w:line="240" w:lineRule="auto"/>
              <w:ind w:firstLine="0"/>
              <w:jc w:val="right"/>
            </w:pPr>
            <w:r w:rsidRPr="003E54FE">
              <w:t>25 (9.6)</w:t>
            </w:r>
          </w:p>
        </w:tc>
        <w:tc>
          <w:tcPr>
            <w:tcW w:w="722" w:type="pct"/>
            <w:noWrap/>
            <w:hideMark/>
          </w:tcPr>
          <w:p w14:paraId="73717C4F" w14:textId="77777777" w:rsidR="00C755A0" w:rsidRPr="003E54FE" w:rsidRDefault="00C755A0" w:rsidP="001A4831">
            <w:pPr>
              <w:spacing w:line="240" w:lineRule="auto"/>
              <w:ind w:firstLine="0"/>
              <w:jc w:val="right"/>
            </w:pPr>
            <w:r w:rsidRPr="003E54FE">
              <w:t>25 (13.6)</w:t>
            </w:r>
          </w:p>
        </w:tc>
        <w:tc>
          <w:tcPr>
            <w:tcW w:w="674" w:type="pct"/>
            <w:noWrap/>
            <w:hideMark/>
          </w:tcPr>
          <w:p w14:paraId="63BAD87C" w14:textId="77777777" w:rsidR="00C755A0" w:rsidRPr="003E54FE" w:rsidRDefault="00C755A0" w:rsidP="001A4831">
            <w:pPr>
              <w:spacing w:line="240" w:lineRule="auto"/>
              <w:ind w:firstLine="0"/>
              <w:jc w:val="right"/>
            </w:pPr>
            <w:r w:rsidRPr="003E54FE">
              <w:t>50 (11.3)</w:t>
            </w:r>
          </w:p>
        </w:tc>
        <w:tc>
          <w:tcPr>
            <w:tcW w:w="574" w:type="pct"/>
            <w:noWrap/>
            <w:hideMark/>
          </w:tcPr>
          <w:p w14:paraId="120FFB92" w14:textId="77777777" w:rsidR="00C755A0" w:rsidRPr="003E54FE" w:rsidRDefault="00C755A0" w:rsidP="001A4831">
            <w:pPr>
              <w:spacing w:line="240" w:lineRule="auto"/>
              <w:ind w:firstLine="0"/>
              <w:jc w:val="right"/>
            </w:pPr>
          </w:p>
        </w:tc>
      </w:tr>
      <w:tr w:rsidR="00C755A0" w:rsidRPr="003E54FE" w14:paraId="76E4A544" w14:textId="77777777" w:rsidTr="001A4831">
        <w:trPr>
          <w:trHeight w:val="300"/>
        </w:trPr>
        <w:tc>
          <w:tcPr>
            <w:tcW w:w="2356" w:type="pct"/>
            <w:noWrap/>
            <w:hideMark/>
          </w:tcPr>
          <w:p w14:paraId="580D95ED" w14:textId="77777777" w:rsidR="00C755A0" w:rsidRPr="00E26AA2" w:rsidRDefault="00C755A0" w:rsidP="001A4831">
            <w:pPr>
              <w:spacing w:line="240" w:lineRule="auto"/>
              <w:ind w:firstLine="0"/>
              <w:jc w:val="right"/>
            </w:pPr>
            <w:r w:rsidRPr="00E26AA2">
              <w:t>2001</w:t>
            </w:r>
          </w:p>
        </w:tc>
        <w:tc>
          <w:tcPr>
            <w:tcW w:w="675" w:type="pct"/>
            <w:noWrap/>
            <w:hideMark/>
          </w:tcPr>
          <w:p w14:paraId="1C3D8E00" w14:textId="77777777" w:rsidR="00C755A0" w:rsidRPr="003E54FE" w:rsidRDefault="00C755A0" w:rsidP="001A4831">
            <w:pPr>
              <w:spacing w:line="240" w:lineRule="auto"/>
              <w:ind w:firstLine="0"/>
              <w:jc w:val="right"/>
            </w:pPr>
            <w:r w:rsidRPr="003E54FE">
              <w:t>42 (16.2)</w:t>
            </w:r>
          </w:p>
        </w:tc>
        <w:tc>
          <w:tcPr>
            <w:tcW w:w="722" w:type="pct"/>
            <w:noWrap/>
            <w:hideMark/>
          </w:tcPr>
          <w:p w14:paraId="007D54DE" w14:textId="77777777" w:rsidR="00C755A0" w:rsidRPr="003E54FE" w:rsidRDefault="00C755A0" w:rsidP="001A4831">
            <w:pPr>
              <w:spacing w:line="240" w:lineRule="auto"/>
              <w:ind w:firstLine="0"/>
              <w:jc w:val="right"/>
            </w:pPr>
            <w:r w:rsidRPr="003E54FE">
              <w:t>19 (10.3)</w:t>
            </w:r>
          </w:p>
        </w:tc>
        <w:tc>
          <w:tcPr>
            <w:tcW w:w="674" w:type="pct"/>
            <w:noWrap/>
            <w:hideMark/>
          </w:tcPr>
          <w:p w14:paraId="632D8B55" w14:textId="77777777" w:rsidR="00C755A0" w:rsidRPr="003E54FE" w:rsidRDefault="00C755A0" w:rsidP="001A4831">
            <w:pPr>
              <w:spacing w:line="240" w:lineRule="auto"/>
              <w:ind w:firstLine="0"/>
              <w:jc w:val="right"/>
            </w:pPr>
            <w:r w:rsidRPr="003E54FE">
              <w:t>61 (13.7)</w:t>
            </w:r>
          </w:p>
        </w:tc>
        <w:tc>
          <w:tcPr>
            <w:tcW w:w="574" w:type="pct"/>
            <w:noWrap/>
            <w:hideMark/>
          </w:tcPr>
          <w:p w14:paraId="65472F0B" w14:textId="77777777" w:rsidR="00C755A0" w:rsidRPr="003E54FE" w:rsidRDefault="00C755A0" w:rsidP="001A4831">
            <w:pPr>
              <w:spacing w:line="240" w:lineRule="auto"/>
              <w:ind w:firstLine="0"/>
              <w:jc w:val="right"/>
            </w:pPr>
          </w:p>
        </w:tc>
      </w:tr>
      <w:tr w:rsidR="00C755A0" w:rsidRPr="003E54FE" w14:paraId="1694C504"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356" w:type="pct"/>
            <w:noWrap/>
            <w:hideMark/>
          </w:tcPr>
          <w:p w14:paraId="3CA50D9A" w14:textId="77777777" w:rsidR="00C755A0" w:rsidRPr="00E26AA2" w:rsidRDefault="00C755A0" w:rsidP="001A4831">
            <w:pPr>
              <w:spacing w:line="240" w:lineRule="auto"/>
              <w:ind w:firstLine="0"/>
              <w:jc w:val="right"/>
            </w:pPr>
            <w:r w:rsidRPr="00E26AA2">
              <w:t>2002</w:t>
            </w:r>
          </w:p>
        </w:tc>
        <w:tc>
          <w:tcPr>
            <w:tcW w:w="675" w:type="pct"/>
            <w:noWrap/>
            <w:hideMark/>
          </w:tcPr>
          <w:p w14:paraId="23079601" w14:textId="77777777" w:rsidR="00C755A0" w:rsidRPr="003E54FE" w:rsidRDefault="00C755A0" w:rsidP="001A4831">
            <w:pPr>
              <w:spacing w:line="240" w:lineRule="auto"/>
              <w:ind w:firstLine="0"/>
              <w:jc w:val="right"/>
            </w:pPr>
            <w:r w:rsidRPr="003E54FE">
              <w:t>21 (8.1)</w:t>
            </w:r>
          </w:p>
        </w:tc>
        <w:tc>
          <w:tcPr>
            <w:tcW w:w="722" w:type="pct"/>
            <w:noWrap/>
            <w:hideMark/>
          </w:tcPr>
          <w:p w14:paraId="75125BA8" w14:textId="77777777" w:rsidR="00C755A0" w:rsidRPr="003E54FE" w:rsidRDefault="00C755A0" w:rsidP="001A4831">
            <w:pPr>
              <w:spacing w:line="240" w:lineRule="auto"/>
              <w:ind w:firstLine="0"/>
              <w:jc w:val="right"/>
            </w:pPr>
            <w:r w:rsidRPr="003E54FE">
              <w:t>21 (11.4)</w:t>
            </w:r>
          </w:p>
        </w:tc>
        <w:tc>
          <w:tcPr>
            <w:tcW w:w="674" w:type="pct"/>
            <w:noWrap/>
            <w:hideMark/>
          </w:tcPr>
          <w:p w14:paraId="5C533E2E" w14:textId="77777777" w:rsidR="00C755A0" w:rsidRPr="003E54FE" w:rsidRDefault="00C755A0" w:rsidP="001A4831">
            <w:pPr>
              <w:spacing w:line="240" w:lineRule="auto"/>
              <w:ind w:firstLine="0"/>
              <w:jc w:val="right"/>
            </w:pPr>
            <w:r w:rsidRPr="003E54FE">
              <w:t>42 (9.5)</w:t>
            </w:r>
          </w:p>
        </w:tc>
        <w:tc>
          <w:tcPr>
            <w:tcW w:w="574" w:type="pct"/>
            <w:noWrap/>
            <w:hideMark/>
          </w:tcPr>
          <w:p w14:paraId="0085582F" w14:textId="77777777" w:rsidR="00C755A0" w:rsidRPr="003E54FE" w:rsidRDefault="00C755A0" w:rsidP="001A4831">
            <w:pPr>
              <w:spacing w:line="240" w:lineRule="auto"/>
              <w:ind w:firstLine="0"/>
              <w:jc w:val="right"/>
            </w:pPr>
          </w:p>
        </w:tc>
      </w:tr>
      <w:tr w:rsidR="00C755A0" w:rsidRPr="003E54FE" w14:paraId="6A5C44DD" w14:textId="77777777" w:rsidTr="00F340C5">
        <w:trPr>
          <w:trHeight w:val="300"/>
        </w:trPr>
        <w:tc>
          <w:tcPr>
            <w:tcW w:w="2356" w:type="pct"/>
            <w:noWrap/>
            <w:hideMark/>
          </w:tcPr>
          <w:p w14:paraId="6456D7EF" w14:textId="77777777" w:rsidR="00C755A0" w:rsidRPr="00E26AA2" w:rsidRDefault="00C755A0" w:rsidP="001A4831">
            <w:pPr>
              <w:spacing w:line="240" w:lineRule="auto"/>
              <w:ind w:firstLine="0"/>
              <w:jc w:val="right"/>
            </w:pPr>
            <w:r w:rsidRPr="00E26AA2">
              <w:t>2003</w:t>
            </w:r>
          </w:p>
        </w:tc>
        <w:tc>
          <w:tcPr>
            <w:tcW w:w="675" w:type="pct"/>
            <w:noWrap/>
            <w:hideMark/>
          </w:tcPr>
          <w:p w14:paraId="72A6DAFA" w14:textId="77777777" w:rsidR="00C755A0" w:rsidRPr="003E54FE" w:rsidRDefault="00C755A0" w:rsidP="001A4831">
            <w:pPr>
              <w:spacing w:line="240" w:lineRule="auto"/>
              <w:ind w:firstLine="0"/>
              <w:jc w:val="right"/>
            </w:pPr>
            <w:r w:rsidRPr="003E54FE">
              <w:t>22 (8.5)</w:t>
            </w:r>
          </w:p>
        </w:tc>
        <w:tc>
          <w:tcPr>
            <w:tcW w:w="722" w:type="pct"/>
            <w:noWrap/>
            <w:hideMark/>
          </w:tcPr>
          <w:p w14:paraId="062BA79A" w14:textId="77777777" w:rsidR="00C755A0" w:rsidRPr="003E54FE" w:rsidRDefault="00C755A0" w:rsidP="001A4831">
            <w:pPr>
              <w:spacing w:line="240" w:lineRule="auto"/>
              <w:ind w:firstLine="0"/>
              <w:jc w:val="right"/>
            </w:pPr>
            <w:r w:rsidRPr="003E54FE">
              <w:t>20 (10.9)</w:t>
            </w:r>
          </w:p>
        </w:tc>
        <w:tc>
          <w:tcPr>
            <w:tcW w:w="674" w:type="pct"/>
            <w:noWrap/>
            <w:hideMark/>
          </w:tcPr>
          <w:p w14:paraId="53C97F4F" w14:textId="77777777" w:rsidR="00C755A0" w:rsidRPr="003E54FE" w:rsidRDefault="00C755A0" w:rsidP="001A4831">
            <w:pPr>
              <w:spacing w:line="240" w:lineRule="auto"/>
              <w:ind w:firstLine="0"/>
              <w:jc w:val="right"/>
            </w:pPr>
            <w:r w:rsidRPr="003E54FE">
              <w:t>42 (9.5)</w:t>
            </w:r>
          </w:p>
        </w:tc>
        <w:tc>
          <w:tcPr>
            <w:tcW w:w="574" w:type="pct"/>
            <w:noWrap/>
            <w:hideMark/>
          </w:tcPr>
          <w:p w14:paraId="7425D4A9" w14:textId="77777777" w:rsidR="00C755A0" w:rsidRPr="003E54FE" w:rsidRDefault="00C755A0" w:rsidP="001A4831">
            <w:pPr>
              <w:spacing w:line="240" w:lineRule="auto"/>
              <w:ind w:firstLine="0"/>
              <w:jc w:val="right"/>
            </w:pPr>
          </w:p>
        </w:tc>
      </w:tr>
      <w:tr w:rsidR="00C755A0" w:rsidRPr="003E54FE" w14:paraId="1AA3827B" w14:textId="77777777" w:rsidTr="00F340C5">
        <w:trPr>
          <w:cnfStyle w:val="000000100000" w:firstRow="0" w:lastRow="0" w:firstColumn="0" w:lastColumn="0" w:oddVBand="0" w:evenVBand="0" w:oddHBand="1" w:evenHBand="0" w:firstRowFirstColumn="0" w:firstRowLastColumn="0" w:lastRowFirstColumn="0" w:lastRowLastColumn="0"/>
          <w:trHeight w:val="300"/>
        </w:trPr>
        <w:tc>
          <w:tcPr>
            <w:tcW w:w="2356" w:type="pct"/>
            <w:tcBorders>
              <w:bottom w:val="single" w:sz="4" w:space="0" w:color="auto"/>
            </w:tcBorders>
            <w:noWrap/>
            <w:hideMark/>
          </w:tcPr>
          <w:p w14:paraId="70CABAA8" w14:textId="77777777" w:rsidR="00C755A0" w:rsidRPr="00E26AA2" w:rsidRDefault="00C755A0" w:rsidP="001A4831">
            <w:pPr>
              <w:spacing w:line="240" w:lineRule="auto"/>
              <w:ind w:firstLine="0"/>
              <w:jc w:val="right"/>
            </w:pPr>
            <w:r w:rsidRPr="00E26AA2">
              <w:t>2004</w:t>
            </w:r>
          </w:p>
        </w:tc>
        <w:tc>
          <w:tcPr>
            <w:tcW w:w="675" w:type="pct"/>
            <w:tcBorders>
              <w:bottom w:val="single" w:sz="4" w:space="0" w:color="auto"/>
            </w:tcBorders>
            <w:noWrap/>
            <w:hideMark/>
          </w:tcPr>
          <w:p w14:paraId="2C67C036" w14:textId="77777777" w:rsidR="00C755A0" w:rsidRPr="003E54FE" w:rsidRDefault="00C755A0" w:rsidP="001A4831">
            <w:pPr>
              <w:spacing w:line="240" w:lineRule="auto"/>
              <w:ind w:firstLine="0"/>
              <w:jc w:val="right"/>
            </w:pPr>
            <w:r w:rsidRPr="003E54FE">
              <w:t>22 (8.5)</w:t>
            </w:r>
          </w:p>
        </w:tc>
        <w:tc>
          <w:tcPr>
            <w:tcW w:w="722" w:type="pct"/>
            <w:tcBorders>
              <w:bottom w:val="single" w:sz="4" w:space="0" w:color="auto"/>
            </w:tcBorders>
            <w:noWrap/>
            <w:hideMark/>
          </w:tcPr>
          <w:p w14:paraId="234590CA" w14:textId="77777777" w:rsidR="00C755A0" w:rsidRPr="003E54FE" w:rsidRDefault="00C755A0" w:rsidP="001A4831">
            <w:pPr>
              <w:spacing w:line="240" w:lineRule="auto"/>
              <w:ind w:firstLine="0"/>
              <w:jc w:val="right"/>
            </w:pPr>
            <w:r w:rsidRPr="003E54FE">
              <w:t>11 (6.0)</w:t>
            </w:r>
          </w:p>
        </w:tc>
        <w:tc>
          <w:tcPr>
            <w:tcW w:w="674" w:type="pct"/>
            <w:tcBorders>
              <w:bottom w:val="single" w:sz="4" w:space="0" w:color="auto"/>
            </w:tcBorders>
            <w:noWrap/>
            <w:hideMark/>
          </w:tcPr>
          <w:p w14:paraId="3ED05F90" w14:textId="77777777" w:rsidR="00C755A0" w:rsidRPr="003E54FE" w:rsidRDefault="00C755A0" w:rsidP="001A4831">
            <w:pPr>
              <w:spacing w:line="240" w:lineRule="auto"/>
              <w:ind w:firstLine="0"/>
              <w:jc w:val="right"/>
            </w:pPr>
            <w:r w:rsidRPr="003E54FE">
              <w:t>33 (7.4)</w:t>
            </w:r>
          </w:p>
        </w:tc>
        <w:tc>
          <w:tcPr>
            <w:tcW w:w="574" w:type="pct"/>
            <w:tcBorders>
              <w:bottom w:val="single" w:sz="4" w:space="0" w:color="auto"/>
            </w:tcBorders>
            <w:noWrap/>
            <w:hideMark/>
          </w:tcPr>
          <w:p w14:paraId="5AEEEA68" w14:textId="77777777" w:rsidR="00C755A0" w:rsidRPr="003E54FE" w:rsidRDefault="00C755A0" w:rsidP="001A4831">
            <w:pPr>
              <w:spacing w:line="240" w:lineRule="auto"/>
              <w:ind w:firstLine="0"/>
              <w:jc w:val="right"/>
            </w:pPr>
          </w:p>
        </w:tc>
      </w:tr>
    </w:tbl>
    <w:p w14:paraId="538E2FFF" w14:textId="565A19F6" w:rsidR="00E26AA2" w:rsidRDefault="00E26AA2">
      <w:pPr>
        <w:spacing w:after="160" w:line="259" w:lineRule="auto"/>
        <w:ind w:firstLine="0"/>
      </w:pPr>
      <w:r>
        <w:br w:type="page"/>
      </w:r>
    </w:p>
    <w:p w14:paraId="0C422955" w14:textId="43516B1F" w:rsidR="00C755A0" w:rsidRDefault="00C755A0" w:rsidP="00C755A0">
      <w:pPr>
        <w:pStyle w:val="TableName"/>
      </w:pPr>
      <w:bookmarkStart w:id="215" w:name="_Toc148375819"/>
      <w:r>
        <w:lastRenderedPageBreak/>
        <w:t xml:space="preserve">tABLE </w:t>
      </w:r>
      <w:r w:rsidR="00E26AA2">
        <w:t>VII</w:t>
      </w:r>
      <w:r>
        <w:t>. Characteristics of UI Health Patients diagnosed with Colorectal Cancer, 1995-2004, by concentrated disadvantage at diagnosis</w:t>
      </w:r>
      <w:bookmarkEnd w:id="215"/>
    </w:p>
    <w:tbl>
      <w:tblPr>
        <w:tblStyle w:val="PlainTable3"/>
        <w:tblW w:w="5000" w:type="pct"/>
        <w:tblLook w:val="0420" w:firstRow="1" w:lastRow="0" w:firstColumn="0" w:lastColumn="0" w:noHBand="0" w:noVBand="1"/>
      </w:tblPr>
      <w:tblGrid>
        <w:gridCol w:w="3134"/>
        <w:gridCol w:w="2190"/>
        <w:gridCol w:w="1743"/>
        <w:gridCol w:w="2293"/>
      </w:tblGrid>
      <w:tr w:rsidR="00C755A0" w:rsidRPr="00986F39" w14:paraId="41A05A02" w14:textId="77777777" w:rsidTr="001A4831">
        <w:trPr>
          <w:cnfStyle w:val="100000000000" w:firstRow="1" w:lastRow="0" w:firstColumn="0" w:lastColumn="0" w:oddVBand="0" w:evenVBand="0" w:oddHBand="0" w:evenHBand="0" w:firstRowFirstColumn="0" w:firstRowLastColumn="0" w:lastRowFirstColumn="0" w:lastRowLastColumn="0"/>
          <w:trHeight w:val="300"/>
        </w:trPr>
        <w:tc>
          <w:tcPr>
            <w:tcW w:w="1674" w:type="pct"/>
            <w:noWrap/>
            <w:hideMark/>
          </w:tcPr>
          <w:p w14:paraId="61385487" w14:textId="77777777" w:rsidR="00C755A0" w:rsidRPr="00986F39" w:rsidRDefault="00C755A0" w:rsidP="001A4831">
            <w:pPr>
              <w:pStyle w:val="NoSpacing"/>
              <w:ind w:firstLine="0"/>
            </w:pPr>
          </w:p>
        </w:tc>
        <w:tc>
          <w:tcPr>
            <w:tcW w:w="1170" w:type="pct"/>
            <w:noWrap/>
            <w:hideMark/>
          </w:tcPr>
          <w:p w14:paraId="490FB727" w14:textId="77777777" w:rsidR="00C755A0" w:rsidRPr="003563C9" w:rsidRDefault="00C755A0" w:rsidP="001A4831">
            <w:pPr>
              <w:pStyle w:val="NoSpacing"/>
              <w:ind w:firstLine="0"/>
              <w:jc w:val="right"/>
              <w:rPr>
                <w:rFonts w:cs="Calibri"/>
                <w:caps w:val="0"/>
                <w:color w:val="000000"/>
              </w:rPr>
            </w:pPr>
            <w:r w:rsidRPr="003563C9">
              <w:rPr>
                <w:rFonts w:cs="Calibri"/>
                <w:caps w:val="0"/>
                <w:color w:val="000000"/>
              </w:rPr>
              <w:t>CD &lt; median</w:t>
            </w:r>
          </w:p>
        </w:tc>
        <w:tc>
          <w:tcPr>
            <w:tcW w:w="931" w:type="pct"/>
            <w:noWrap/>
            <w:hideMark/>
          </w:tcPr>
          <w:p w14:paraId="7AF23386" w14:textId="77777777" w:rsidR="00C755A0" w:rsidRPr="003A1D52" w:rsidRDefault="00C755A0" w:rsidP="001A4831">
            <w:pPr>
              <w:pStyle w:val="NoSpacing"/>
              <w:ind w:firstLine="0"/>
              <w:jc w:val="right"/>
              <w:rPr>
                <w:rFonts w:cs="Calibri"/>
                <w:bCs w:val="0"/>
                <w:caps w:val="0"/>
                <w:color w:val="000000"/>
              </w:rPr>
            </w:pPr>
            <w:r w:rsidRPr="003A1D52">
              <w:rPr>
                <w:rFonts w:cs="Calibri"/>
                <w:bCs w:val="0"/>
                <w:caps w:val="0"/>
                <w:color w:val="000000"/>
              </w:rPr>
              <w:t>CD &gt; median</w:t>
            </w:r>
          </w:p>
        </w:tc>
        <w:tc>
          <w:tcPr>
            <w:tcW w:w="1225" w:type="pct"/>
            <w:noWrap/>
            <w:hideMark/>
          </w:tcPr>
          <w:p w14:paraId="38AF8C26" w14:textId="77777777" w:rsidR="00C755A0" w:rsidRPr="003A1D52" w:rsidRDefault="00C755A0" w:rsidP="001A4831">
            <w:pPr>
              <w:pStyle w:val="NoSpacing"/>
              <w:ind w:firstLine="0"/>
              <w:jc w:val="right"/>
              <w:rPr>
                <w:rFonts w:cs="Calibri"/>
                <w:bCs w:val="0"/>
                <w:caps w:val="0"/>
                <w:color w:val="000000"/>
              </w:rPr>
            </w:pPr>
            <w:r w:rsidRPr="003A1D52">
              <w:rPr>
                <w:rFonts w:cs="Calibri"/>
                <w:bCs w:val="0"/>
                <w:caps w:val="0"/>
                <w:color w:val="000000"/>
              </w:rPr>
              <w:t>p</w:t>
            </w:r>
          </w:p>
        </w:tc>
      </w:tr>
      <w:tr w:rsidR="00C755A0" w:rsidRPr="00986F39" w14:paraId="49714387"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3FA9CE27" w14:textId="77777777" w:rsidR="00C755A0" w:rsidRPr="00986F39" w:rsidRDefault="00C755A0" w:rsidP="001A4831">
            <w:pPr>
              <w:pStyle w:val="NoSpacing"/>
              <w:ind w:firstLine="0"/>
              <w:rPr>
                <w:rFonts w:cs="Calibri"/>
                <w:b/>
                <w:bCs/>
                <w:color w:val="000000"/>
              </w:rPr>
            </w:pPr>
            <w:r w:rsidRPr="00986F39">
              <w:rPr>
                <w:rFonts w:cs="Calibri"/>
                <w:b/>
                <w:bCs/>
                <w:color w:val="000000"/>
              </w:rPr>
              <w:t>Age [mean (SD)]</w:t>
            </w:r>
          </w:p>
        </w:tc>
        <w:tc>
          <w:tcPr>
            <w:tcW w:w="1170" w:type="pct"/>
            <w:noWrap/>
            <w:hideMark/>
          </w:tcPr>
          <w:p w14:paraId="70567652" w14:textId="77777777" w:rsidR="00C755A0" w:rsidRPr="00986F39" w:rsidRDefault="00C755A0" w:rsidP="001A4831">
            <w:pPr>
              <w:pStyle w:val="NoSpacing"/>
              <w:ind w:firstLine="0"/>
              <w:jc w:val="right"/>
              <w:rPr>
                <w:rFonts w:cs="Calibri"/>
                <w:color w:val="000000"/>
              </w:rPr>
            </w:pPr>
            <w:r w:rsidRPr="00986F39">
              <w:rPr>
                <w:rFonts w:cs="Calibri"/>
                <w:color w:val="000000"/>
              </w:rPr>
              <w:t>59.8 (8.9)</w:t>
            </w:r>
          </w:p>
        </w:tc>
        <w:tc>
          <w:tcPr>
            <w:tcW w:w="931" w:type="pct"/>
            <w:noWrap/>
            <w:hideMark/>
          </w:tcPr>
          <w:p w14:paraId="400624EB" w14:textId="77777777" w:rsidR="00C755A0" w:rsidRPr="00986F39" w:rsidRDefault="00C755A0" w:rsidP="001A4831">
            <w:pPr>
              <w:pStyle w:val="NoSpacing"/>
              <w:ind w:firstLine="0"/>
              <w:jc w:val="right"/>
            </w:pPr>
            <w:r w:rsidRPr="00986F39">
              <w:t>60.0 (</w:t>
            </w:r>
            <w:r>
              <w:t>9.3)</w:t>
            </w:r>
          </w:p>
        </w:tc>
        <w:tc>
          <w:tcPr>
            <w:tcW w:w="1225" w:type="pct"/>
            <w:noWrap/>
            <w:hideMark/>
          </w:tcPr>
          <w:p w14:paraId="46C33266" w14:textId="77777777" w:rsidR="00C755A0" w:rsidRPr="00986F39" w:rsidRDefault="00C755A0" w:rsidP="001A4831">
            <w:pPr>
              <w:pStyle w:val="NoSpacing"/>
              <w:ind w:firstLine="0"/>
              <w:jc w:val="right"/>
            </w:pPr>
            <w:r>
              <w:t>0.8</w:t>
            </w:r>
          </w:p>
        </w:tc>
      </w:tr>
      <w:tr w:rsidR="00C755A0" w:rsidRPr="00986F39" w14:paraId="1E6FA5B5" w14:textId="77777777" w:rsidTr="001A4831">
        <w:trPr>
          <w:trHeight w:val="300"/>
        </w:trPr>
        <w:tc>
          <w:tcPr>
            <w:tcW w:w="1674" w:type="pct"/>
            <w:noWrap/>
            <w:hideMark/>
          </w:tcPr>
          <w:p w14:paraId="19386F08" w14:textId="77777777" w:rsidR="00C755A0" w:rsidRPr="00986F39" w:rsidRDefault="00C755A0" w:rsidP="001A4831">
            <w:pPr>
              <w:pStyle w:val="NoSpacing"/>
              <w:ind w:firstLine="0"/>
              <w:rPr>
                <w:rFonts w:cs="Calibri"/>
                <w:b/>
                <w:bCs/>
                <w:color w:val="000000"/>
              </w:rPr>
            </w:pPr>
            <w:r w:rsidRPr="00986F39">
              <w:rPr>
                <w:rFonts w:cs="Calibri"/>
                <w:b/>
                <w:bCs/>
                <w:color w:val="000000"/>
              </w:rPr>
              <w:t>Sex</w:t>
            </w:r>
          </w:p>
        </w:tc>
        <w:tc>
          <w:tcPr>
            <w:tcW w:w="1170" w:type="pct"/>
            <w:noWrap/>
            <w:hideMark/>
          </w:tcPr>
          <w:p w14:paraId="25084958" w14:textId="77777777" w:rsidR="00C755A0" w:rsidRPr="00986F39" w:rsidRDefault="00C755A0" w:rsidP="001A4831">
            <w:pPr>
              <w:pStyle w:val="NoSpacing"/>
              <w:ind w:firstLine="0"/>
              <w:jc w:val="right"/>
              <w:rPr>
                <w:rFonts w:cs="Calibri"/>
                <w:color w:val="000000"/>
              </w:rPr>
            </w:pPr>
          </w:p>
        </w:tc>
        <w:tc>
          <w:tcPr>
            <w:tcW w:w="931" w:type="pct"/>
            <w:noWrap/>
            <w:hideMark/>
          </w:tcPr>
          <w:p w14:paraId="49F27ABA" w14:textId="77777777" w:rsidR="00C755A0" w:rsidRPr="00986F39" w:rsidRDefault="00C755A0" w:rsidP="001A4831">
            <w:pPr>
              <w:pStyle w:val="NoSpacing"/>
              <w:ind w:firstLine="0"/>
              <w:jc w:val="right"/>
            </w:pPr>
          </w:p>
        </w:tc>
        <w:tc>
          <w:tcPr>
            <w:tcW w:w="1225" w:type="pct"/>
            <w:noWrap/>
            <w:hideMark/>
          </w:tcPr>
          <w:p w14:paraId="765B0F87" w14:textId="77777777" w:rsidR="00C755A0" w:rsidRPr="00986F39" w:rsidRDefault="00C755A0" w:rsidP="001A4831">
            <w:pPr>
              <w:pStyle w:val="NoSpacing"/>
              <w:ind w:firstLine="0"/>
              <w:jc w:val="right"/>
              <w:rPr>
                <w:rFonts w:cs="Calibri"/>
                <w:color w:val="000000"/>
              </w:rPr>
            </w:pPr>
            <w:r w:rsidRPr="00986F39">
              <w:rPr>
                <w:rFonts w:cs="Calibri"/>
                <w:color w:val="000000"/>
              </w:rPr>
              <w:t>0.295</w:t>
            </w:r>
          </w:p>
        </w:tc>
      </w:tr>
      <w:tr w:rsidR="00C755A0" w:rsidRPr="00986F39" w14:paraId="459F955D"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3C34C761" w14:textId="77777777" w:rsidR="00C755A0" w:rsidRPr="00E26AA2" w:rsidRDefault="00C755A0" w:rsidP="001A4831">
            <w:pPr>
              <w:pStyle w:val="NoSpacing"/>
              <w:ind w:firstLine="0"/>
              <w:jc w:val="right"/>
              <w:rPr>
                <w:rFonts w:cs="Calibri"/>
                <w:color w:val="000000"/>
              </w:rPr>
            </w:pPr>
            <w:r w:rsidRPr="00E26AA2">
              <w:rPr>
                <w:rFonts w:cs="Calibri"/>
                <w:color w:val="000000"/>
              </w:rPr>
              <w:t>Female</w:t>
            </w:r>
          </w:p>
        </w:tc>
        <w:tc>
          <w:tcPr>
            <w:tcW w:w="1170" w:type="pct"/>
            <w:noWrap/>
            <w:hideMark/>
          </w:tcPr>
          <w:p w14:paraId="4FD197AC" w14:textId="77777777" w:rsidR="00C755A0" w:rsidRPr="00986F39" w:rsidRDefault="00C755A0" w:rsidP="001A4831">
            <w:pPr>
              <w:pStyle w:val="NoSpacing"/>
              <w:ind w:firstLine="0"/>
              <w:jc w:val="right"/>
              <w:rPr>
                <w:rFonts w:cs="Calibri"/>
                <w:color w:val="000000"/>
              </w:rPr>
            </w:pPr>
            <w:r w:rsidRPr="00986F39">
              <w:rPr>
                <w:rFonts w:cs="Calibri"/>
                <w:color w:val="000000"/>
              </w:rPr>
              <w:t>98 (44.1)</w:t>
            </w:r>
          </w:p>
        </w:tc>
        <w:tc>
          <w:tcPr>
            <w:tcW w:w="931" w:type="pct"/>
            <w:noWrap/>
            <w:hideMark/>
          </w:tcPr>
          <w:p w14:paraId="36B48D9B" w14:textId="77777777" w:rsidR="00C755A0" w:rsidRPr="00986F39" w:rsidRDefault="00C755A0" w:rsidP="001A4831">
            <w:pPr>
              <w:pStyle w:val="NoSpacing"/>
              <w:ind w:firstLine="0"/>
              <w:jc w:val="right"/>
              <w:rPr>
                <w:rFonts w:cs="Calibri"/>
                <w:color w:val="000000"/>
              </w:rPr>
            </w:pPr>
            <w:r w:rsidRPr="00986F39">
              <w:rPr>
                <w:rFonts w:cs="Calibri"/>
                <w:color w:val="000000"/>
              </w:rPr>
              <w:t>110 (49.5)</w:t>
            </w:r>
          </w:p>
        </w:tc>
        <w:tc>
          <w:tcPr>
            <w:tcW w:w="1225" w:type="pct"/>
            <w:noWrap/>
            <w:hideMark/>
          </w:tcPr>
          <w:p w14:paraId="47A95145" w14:textId="77777777" w:rsidR="00C755A0" w:rsidRPr="00986F39" w:rsidRDefault="00C755A0" w:rsidP="001A4831">
            <w:pPr>
              <w:pStyle w:val="NoSpacing"/>
              <w:ind w:firstLine="0"/>
              <w:jc w:val="right"/>
              <w:rPr>
                <w:rFonts w:cs="Calibri"/>
                <w:color w:val="000000"/>
              </w:rPr>
            </w:pPr>
          </w:p>
        </w:tc>
      </w:tr>
      <w:tr w:rsidR="00C755A0" w:rsidRPr="00986F39" w14:paraId="083DB988" w14:textId="77777777" w:rsidTr="001A4831">
        <w:trPr>
          <w:trHeight w:val="300"/>
        </w:trPr>
        <w:tc>
          <w:tcPr>
            <w:tcW w:w="1674" w:type="pct"/>
            <w:noWrap/>
            <w:hideMark/>
          </w:tcPr>
          <w:p w14:paraId="1631EDB3" w14:textId="77777777" w:rsidR="00C755A0" w:rsidRPr="00E26AA2" w:rsidRDefault="00C755A0" w:rsidP="001A4831">
            <w:pPr>
              <w:pStyle w:val="NoSpacing"/>
              <w:ind w:firstLine="0"/>
              <w:jc w:val="right"/>
              <w:rPr>
                <w:rFonts w:cs="Calibri"/>
                <w:color w:val="000000"/>
              </w:rPr>
            </w:pPr>
            <w:r w:rsidRPr="00E26AA2">
              <w:rPr>
                <w:rFonts w:cs="Calibri"/>
                <w:color w:val="000000"/>
              </w:rPr>
              <w:t>Male</w:t>
            </w:r>
          </w:p>
        </w:tc>
        <w:tc>
          <w:tcPr>
            <w:tcW w:w="1170" w:type="pct"/>
            <w:noWrap/>
            <w:hideMark/>
          </w:tcPr>
          <w:p w14:paraId="1478A87F" w14:textId="77777777" w:rsidR="00C755A0" w:rsidRPr="00986F39" w:rsidRDefault="00C755A0" w:rsidP="001A4831">
            <w:pPr>
              <w:pStyle w:val="NoSpacing"/>
              <w:ind w:firstLine="0"/>
              <w:jc w:val="right"/>
              <w:rPr>
                <w:rFonts w:cs="Calibri"/>
                <w:color w:val="000000"/>
              </w:rPr>
            </w:pPr>
            <w:r w:rsidRPr="00986F39">
              <w:rPr>
                <w:rFonts w:cs="Calibri"/>
                <w:color w:val="000000"/>
              </w:rPr>
              <w:t>124 (55.9)</w:t>
            </w:r>
          </w:p>
        </w:tc>
        <w:tc>
          <w:tcPr>
            <w:tcW w:w="931" w:type="pct"/>
            <w:noWrap/>
            <w:hideMark/>
          </w:tcPr>
          <w:p w14:paraId="73E4DA03" w14:textId="77777777" w:rsidR="00C755A0" w:rsidRPr="00986F39" w:rsidRDefault="00C755A0" w:rsidP="001A4831">
            <w:pPr>
              <w:pStyle w:val="NoSpacing"/>
              <w:ind w:firstLine="0"/>
              <w:jc w:val="right"/>
              <w:rPr>
                <w:rFonts w:cs="Calibri"/>
                <w:color w:val="000000"/>
              </w:rPr>
            </w:pPr>
            <w:r w:rsidRPr="00986F39">
              <w:rPr>
                <w:rFonts w:cs="Calibri"/>
                <w:color w:val="000000"/>
              </w:rPr>
              <w:t>112 (50.5)</w:t>
            </w:r>
          </w:p>
        </w:tc>
        <w:tc>
          <w:tcPr>
            <w:tcW w:w="1225" w:type="pct"/>
            <w:noWrap/>
            <w:hideMark/>
          </w:tcPr>
          <w:p w14:paraId="2D8CA90A" w14:textId="77777777" w:rsidR="00C755A0" w:rsidRPr="00986F39" w:rsidRDefault="00C755A0" w:rsidP="001A4831">
            <w:pPr>
              <w:pStyle w:val="NoSpacing"/>
              <w:ind w:firstLine="0"/>
              <w:jc w:val="right"/>
              <w:rPr>
                <w:rFonts w:cs="Calibri"/>
                <w:color w:val="000000"/>
              </w:rPr>
            </w:pPr>
          </w:p>
        </w:tc>
      </w:tr>
      <w:tr w:rsidR="00C755A0" w:rsidRPr="00986F39" w14:paraId="5B4CA6F0"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4303422A" w14:textId="77777777" w:rsidR="00C755A0" w:rsidRPr="00986F39" w:rsidRDefault="00C755A0" w:rsidP="001A4831">
            <w:pPr>
              <w:pStyle w:val="NoSpacing"/>
              <w:ind w:firstLine="0"/>
              <w:rPr>
                <w:rFonts w:cs="Calibri"/>
                <w:b/>
                <w:bCs/>
                <w:color w:val="000000"/>
              </w:rPr>
            </w:pPr>
            <w:r w:rsidRPr="00986F39">
              <w:rPr>
                <w:rFonts w:cs="Calibri"/>
                <w:b/>
                <w:bCs/>
                <w:color w:val="000000"/>
              </w:rPr>
              <w:t>Race/Ethnicity</w:t>
            </w:r>
          </w:p>
        </w:tc>
        <w:tc>
          <w:tcPr>
            <w:tcW w:w="1170" w:type="pct"/>
            <w:noWrap/>
            <w:hideMark/>
          </w:tcPr>
          <w:p w14:paraId="6F0E2217" w14:textId="77777777" w:rsidR="00C755A0" w:rsidRPr="00986F39" w:rsidRDefault="00C755A0" w:rsidP="001A4831">
            <w:pPr>
              <w:pStyle w:val="NoSpacing"/>
              <w:ind w:firstLine="0"/>
              <w:jc w:val="right"/>
              <w:rPr>
                <w:rFonts w:cs="Calibri"/>
                <w:color w:val="000000"/>
              </w:rPr>
            </w:pPr>
          </w:p>
        </w:tc>
        <w:tc>
          <w:tcPr>
            <w:tcW w:w="931" w:type="pct"/>
            <w:noWrap/>
            <w:hideMark/>
          </w:tcPr>
          <w:p w14:paraId="0C3ECE96" w14:textId="77777777" w:rsidR="00C755A0" w:rsidRPr="00986F39" w:rsidRDefault="00C755A0" w:rsidP="001A4831">
            <w:pPr>
              <w:pStyle w:val="NoSpacing"/>
              <w:ind w:firstLine="0"/>
              <w:jc w:val="right"/>
              <w:rPr>
                <w:sz w:val="20"/>
                <w:szCs w:val="20"/>
              </w:rPr>
            </w:pPr>
          </w:p>
        </w:tc>
        <w:tc>
          <w:tcPr>
            <w:tcW w:w="1225" w:type="pct"/>
            <w:noWrap/>
            <w:hideMark/>
          </w:tcPr>
          <w:p w14:paraId="6087F847" w14:textId="77777777" w:rsidR="00C755A0" w:rsidRPr="00986F39" w:rsidRDefault="00C755A0" w:rsidP="001A4831">
            <w:pPr>
              <w:pStyle w:val="NoSpacing"/>
              <w:ind w:firstLine="0"/>
              <w:jc w:val="right"/>
              <w:rPr>
                <w:rFonts w:cs="Calibri"/>
                <w:color w:val="000000"/>
              </w:rPr>
            </w:pPr>
            <w:r w:rsidRPr="00986F39">
              <w:rPr>
                <w:rFonts w:cs="Calibri"/>
                <w:color w:val="000000"/>
              </w:rPr>
              <w:t>&lt;0.0001</w:t>
            </w:r>
          </w:p>
        </w:tc>
      </w:tr>
      <w:tr w:rsidR="00C755A0" w:rsidRPr="00986F39" w14:paraId="4B87D35E" w14:textId="77777777" w:rsidTr="001A4831">
        <w:trPr>
          <w:trHeight w:val="300"/>
        </w:trPr>
        <w:tc>
          <w:tcPr>
            <w:tcW w:w="1674" w:type="pct"/>
            <w:noWrap/>
            <w:hideMark/>
          </w:tcPr>
          <w:p w14:paraId="26AD3BA7" w14:textId="77777777" w:rsidR="00C755A0" w:rsidRPr="00E26AA2" w:rsidRDefault="00C755A0" w:rsidP="001A4831">
            <w:pPr>
              <w:pStyle w:val="NoSpacing"/>
              <w:ind w:firstLine="0"/>
              <w:jc w:val="right"/>
              <w:rPr>
                <w:rFonts w:cs="Calibri"/>
                <w:color w:val="000000"/>
              </w:rPr>
            </w:pPr>
            <w:r w:rsidRPr="00E26AA2">
              <w:rPr>
                <w:rFonts w:cs="Calibri"/>
                <w:color w:val="000000"/>
              </w:rPr>
              <w:t>Non-Hispanic White</w:t>
            </w:r>
          </w:p>
        </w:tc>
        <w:tc>
          <w:tcPr>
            <w:tcW w:w="1170" w:type="pct"/>
            <w:noWrap/>
            <w:hideMark/>
          </w:tcPr>
          <w:p w14:paraId="5ED62FD0" w14:textId="77777777" w:rsidR="00C755A0" w:rsidRPr="00986F39" w:rsidRDefault="00C755A0" w:rsidP="001A4831">
            <w:pPr>
              <w:pStyle w:val="NoSpacing"/>
              <w:ind w:firstLine="0"/>
              <w:jc w:val="right"/>
              <w:rPr>
                <w:rFonts w:cs="Calibri"/>
                <w:color w:val="000000"/>
              </w:rPr>
            </w:pPr>
            <w:r w:rsidRPr="00986F39">
              <w:rPr>
                <w:rFonts w:cs="Calibri"/>
                <w:color w:val="000000"/>
              </w:rPr>
              <w:t>128 (57.7)</w:t>
            </w:r>
          </w:p>
        </w:tc>
        <w:tc>
          <w:tcPr>
            <w:tcW w:w="931" w:type="pct"/>
            <w:noWrap/>
            <w:hideMark/>
          </w:tcPr>
          <w:p w14:paraId="59F5169A" w14:textId="77777777" w:rsidR="00C755A0" w:rsidRPr="00986F39" w:rsidRDefault="00C755A0" w:rsidP="001A4831">
            <w:pPr>
              <w:pStyle w:val="NoSpacing"/>
              <w:ind w:firstLine="0"/>
              <w:jc w:val="right"/>
              <w:rPr>
                <w:rFonts w:cs="Calibri"/>
                <w:color w:val="000000"/>
              </w:rPr>
            </w:pPr>
            <w:r w:rsidRPr="00986F39">
              <w:rPr>
                <w:rFonts w:cs="Calibri"/>
                <w:color w:val="000000"/>
              </w:rPr>
              <w:t>15 (6.8)</w:t>
            </w:r>
          </w:p>
        </w:tc>
        <w:tc>
          <w:tcPr>
            <w:tcW w:w="1225" w:type="pct"/>
            <w:noWrap/>
            <w:hideMark/>
          </w:tcPr>
          <w:p w14:paraId="2A70FC32" w14:textId="77777777" w:rsidR="00C755A0" w:rsidRPr="00986F39" w:rsidRDefault="00C755A0" w:rsidP="001A4831">
            <w:pPr>
              <w:pStyle w:val="NoSpacing"/>
              <w:ind w:firstLine="0"/>
              <w:jc w:val="right"/>
              <w:rPr>
                <w:rFonts w:cs="Calibri"/>
                <w:color w:val="000000"/>
              </w:rPr>
            </w:pPr>
          </w:p>
        </w:tc>
      </w:tr>
      <w:tr w:rsidR="00C755A0" w:rsidRPr="00986F39" w14:paraId="06A08072"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34C4A8BF" w14:textId="77777777" w:rsidR="00C755A0" w:rsidRPr="00E26AA2" w:rsidRDefault="00C755A0" w:rsidP="001A4831">
            <w:pPr>
              <w:pStyle w:val="NoSpacing"/>
              <w:ind w:firstLine="0"/>
              <w:jc w:val="right"/>
              <w:rPr>
                <w:rFonts w:cs="Calibri"/>
                <w:color w:val="000000"/>
              </w:rPr>
            </w:pPr>
            <w:r w:rsidRPr="00E26AA2">
              <w:rPr>
                <w:rFonts w:cs="Calibri"/>
                <w:color w:val="000000"/>
              </w:rPr>
              <w:t>Non-Hispanic Black</w:t>
            </w:r>
          </w:p>
        </w:tc>
        <w:tc>
          <w:tcPr>
            <w:tcW w:w="1170" w:type="pct"/>
            <w:noWrap/>
            <w:hideMark/>
          </w:tcPr>
          <w:p w14:paraId="778A7AEE" w14:textId="77777777" w:rsidR="00C755A0" w:rsidRPr="00986F39" w:rsidRDefault="00C755A0" w:rsidP="001A4831">
            <w:pPr>
              <w:pStyle w:val="NoSpacing"/>
              <w:ind w:firstLine="0"/>
              <w:jc w:val="right"/>
              <w:rPr>
                <w:rFonts w:cs="Calibri"/>
                <w:color w:val="000000"/>
              </w:rPr>
            </w:pPr>
            <w:r w:rsidRPr="00986F39">
              <w:rPr>
                <w:rFonts w:cs="Calibri"/>
                <w:color w:val="000000"/>
              </w:rPr>
              <w:t>49 (22.1)</w:t>
            </w:r>
          </w:p>
        </w:tc>
        <w:tc>
          <w:tcPr>
            <w:tcW w:w="931" w:type="pct"/>
            <w:noWrap/>
            <w:hideMark/>
          </w:tcPr>
          <w:p w14:paraId="169AEA9C" w14:textId="77777777" w:rsidR="00C755A0" w:rsidRPr="00986F39" w:rsidRDefault="00C755A0" w:rsidP="001A4831">
            <w:pPr>
              <w:pStyle w:val="NoSpacing"/>
              <w:ind w:firstLine="0"/>
              <w:jc w:val="right"/>
              <w:rPr>
                <w:rFonts w:cs="Calibri"/>
                <w:color w:val="000000"/>
              </w:rPr>
            </w:pPr>
            <w:r w:rsidRPr="00986F39">
              <w:rPr>
                <w:rFonts w:cs="Calibri"/>
                <w:color w:val="000000"/>
              </w:rPr>
              <w:t>168 (75.7)</w:t>
            </w:r>
          </w:p>
        </w:tc>
        <w:tc>
          <w:tcPr>
            <w:tcW w:w="1225" w:type="pct"/>
            <w:noWrap/>
            <w:hideMark/>
          </w:tcPr>
          <w:p w14:paraId="502716BF" w14:textId="77777777" w:rsidR="00C755A0" w:rsidRPr="00986F39" w:rsidRDefault="00C755A0" w:rsidP="001A4831">
            <w:pPr>
              <w:pStyle w:val="NoSpacing"/>
              <w:ind w:firstLine="0"/>
              <w:jc w:val="right"/>
              <w:rPr>
                <w:rFonts w:cs="Calibri"/>
                <w:color w:val="000000"/>
              </w:rPr>
            </w:pPr>
          </w:p>
        </w:tc>
      </w:tr>
      <w:tr w:rsidR="00C755A0" w:rsidRPr="00986F39" w14:paraId="64071331" w14:textId="77777777" w:rsidTr="001A4831">
        <w:trPr>
          <w:trHeight w:val="300"/>
        </w:trPr>
        <w:tc>
          <w:tcPr>
            <w:tcW w:w="1674" w:type="pct"/>
            <w:noWrap/>
            <w:hideMark/>
          </w:tcPr>
          <w:p w14:paraId="566C4DD6" w14:textId="77777777" w:rsidR="00C755A0" w:rsidRPr="00E26AA2" w:rsidRDefault="00C755A0" w:rsidP="001A4831">
            <w:pPr>
              <w:pStyle w:val="NoSpacing"/>
              <w:ind w:firstLine="0"/>
              <w:jc w:val="right"/>
              <w:rPr>
                <w:rFonts w:cs="Calibri"/>
                <w:color w:val="000000"/>
              </w:rPr>
            </w:pPr>
            <w:r w:rsidRPr="00E26AA2">
              <w:rPr>
                <w:rFonts w:cs="Calibri"/>
                <w:color w:val="000000"/>
              </w:rPr>
              <w:t>Hispanic</w:t>
            </w:r>
          </w:p>
        </w:tc>
        <w:tc>
          <w:tcPr>
            <w:tcW w:w="1170" w:type="pct"/>
            <w:noWrap/>
            <w:hideMark/>
          </w:tcPr>
          <w:p w14:paraId="13F2DBF8" w14:textId="77777777" w:rsidR="00C755A0" w:rsidRPr="00986F39" w:rsidRDefault="00C755A0" w:rsidP="001A4831">
            <w:pPr>
              <w:pStyle w:val="NoSpacing"/>
              <w:ind w:firstLine="0"/>
              <w:jc w:val="right"/>
              <w:rPr>
                <w:rFonts w:cs="Calibri"/>
                <w:color w:val="000000"/>
              </w:rPr>
            </w:pPr>
            <w:r w:rsidRPr="00986F39">
              <w:rPr>
                <w:rFonts w:cs="Calibri"/>
                <w:color w:val="000000"/>
              </w:rPr>
              <w:t>26 (11.7)</w:t>
            </w:r>
          </w:p>
        </w:tc>
        <w:tc>
          <w:tcPr>
            <w:tcW w:w="931" w:type="pct"/>
            <w:noWrap/>
            <w:hideMark/>
          </w:tcPr>
          <w:p w14:paraId="66ED68AC" w14:textId="77777777" w:rsidR="00C755A0" w:rsidRPr="00986F39" w:rsidRDefault="00C755A0" w:rsidP="001A4831">
            <w:pPr>
              <w:pStyle w:val="NoSpacing"/>
              <w:ind w:firstLine="0"/>
              <w:jc w:val="right"/>
              <w:rPr>
                <w:rFonts w:cs="Calibri"/>
                <w:color w:val="000000"/>
              </w:rPr>
            </w:pPr>
            <w:r w:rsidRPr="00986F39">
              <w:rPr>
                <w:rFonts w:cs="Calibri"/>
                <w:color w:val="000000"/>
              </w:rPr>
              <w:t>38 (17.1)</w:t>
            </w:r>
          </w:p>
        </w:tc>
        <w:tc>
          <w:tcPr>
            <w:tcW w:w="1225" w:type="pct"/>
            <w:noWrap/>
            <w:hideMark/>
          </w:tcPr>
          <w:p w14:paraId="3CD57570" w14:textId="77777777" w:rsidR="00C755A0" w:rsidRPr="00986F39" w:rsidRDefault="00C755A0" w:rsidP="001A4831">
            <w:pPr>
              <w:pStyle w:val="NoSpacing"/>
              <w:ind w:firstLine="0"/>
              <w:jc w:val="right"/>
              <w:rPr>
                <w:rFonts w:cs="Calibri"/>
                <w:color w:val="000000"/>
              </w:rPr>
            </w:pPr>
          </w:p>
        </w:tc>
      </w:tr>
      <w:tr w:rsidR="00C755A0" w:rsidRPr="00986F39" w14:paraId="6A026D45"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7E781FE8" w14:textId="77777777" w:rsidR="00C755A0" w:rsidRPr="00E26AA2" w:rsidRDefault="00C755A0" w:rsidP="001A4831">
            <w:pPr>
              <w:pStyle w:val="NoSpacing"/>
              <w:ind w:firstLine="0"/>
              <w:jc w:val="right"/>
              <w:rPr>
                <w:rFonts w:cs="Calibri"/>
                <w:color w:val="000000"/>
              </w:rPr>
            </w:pPr>
            <w:r w:rsidRPr="00E26AA2">
              <w:rPr>
                <w:rFonts w:cs="Calibri"/>
                <w:color w:val="000000"/>
              </w:rPr>
              <w:t>Other</w:t>
            </w:r>
          </w:p>
        </w:tc>
        <w:tc>
          <w:tcPr>
            <w:tcW w:w="1170" w:type="pct"/>
            <w:noWrap/>
            <w:hideMark/>
          </w:tcPr>
          <w:p w14:paraId="616CF0B4" w14:textId="77777777" w:rsidR="00C755A0" w:rsidRPr="00986F39" w:rsidRDefault="00C755A0" w:rsidP="001A4831">
            <w:pPr>
              <w:pStyle w:val="NoSpacing"/>
              <w:ind w:firstLine="0"/>
              <w:jc w:val="right"/>
              <w:rPr>
                <w:rFonts w:cs="Calibri"/>
                <w:color w:val="000000"/>
              </w:rPr>
            </w:pPr>
            <w:r w:rsidRPr="00986F39">
              <w:rPr>
                <w:rFonts w:cs="Calibri"/>
                <w:color w:val="000000"/>
              </w:rPr>
              <w:t>19 (8.6)</w:t>
            </w:r>
          </w:p>
        </w:tc>
        <w:tc>
          <w:tcPr>
            <w:tcW w:w="931" w:type="pct"/>
            <w:noWrap/>
            <w:hideMark/>
          </w:tcPr>
          <w:p w14:paraId="2B5B191C" w14:textId="77777777" w:rsidR="00C755A0" w:rsidRPr="00986F39" w:rsidRDefault="00C755A0" w:rsidP="001A4831">
            <w:pPr>
              <w:pStyle w:val="NoSpacing"/>
              <w:ind w:firstLine="0"/>
              <w:jc w:val="right"/>
              <w:rPr>
                <w:rFonts w:cs="Calibri"/>
                <w:color w:val="000000"/>
              </w:rPr>
            </w:pPr>
            <w:r w:rsidRPr="00986F39">
              <w:rPr>
                <w:rFonts w:cs="Calibri"/>
                <w:color w:val="000000"/>
              </w:rPr>
              <w:t>1 (0.5)</w:t>
            </w:r>
          </w:p>
        </w:tc>
        <w:tc>
          <w:tcPr>
            <w:tcW w:w="1225" w:type="pct"/>
            <w:noWrap/>
            <w:hideMark/>
          </w:tcPr>
          <w:p w14:paraId="60DF1A57" w14:textId="77777777" w:rsidR="00C755A0" w:rsidRPr="00986F39" w:rsidRDefault="00C755A0" w:rsidP="001A4831">
            <w:pPr>
              <w:pStyle w:val="NoSpacing"/>
              <w:ind w:firstLine="0"/>
              <w:jc w:val="right"/>
              <w:rPr>
                <w:rFonts w:cs="Calibri"/>
                <w:color w:val="000000"/>
              </w:rPr>
            </w:pPr>
          </w:p>
        </w:tc>
      </w:tr>
      <w:tr w:rsidR="00C755A0" w:rsidRPr="00986F39" w14:paraId="1B0E4DAF" w14:textId="77777777" w:rsidTr="001A4831">
        <w:trPr>
          <w:trHeight w:val="300"/>
        </w:trPr>
        <w:tc>
          <w:tcPr>
            <w:tcW w:w="1674" w:type="pct"/>
            <w:noWrap/>
            <w:hideMark/>
          </w:tcPr>
          <w:p w14:paraId="7A26DEF5" w14:textId="77777777" w:rsidR="00C755A0" w:rsidRPr="00986F39" w:rsidRDefault="00C755A0" w:rsidP="001A4831">
            <w:pPr>
              <w:pStyle w:val="NoSpacing"/>
              <w:ind w:firstLine="0"/>
              <w:rPr>
                <w:rFonts w:cs="Calibri"/>
                <w:b/>
                <w:bCs/>
                <w:color w:val="000000"/>
              </w:rPr>
            </w:pPr>
            <w:r w:rsidRPr="00986F39">
              <w:rPr>
                <w:rFonts w:cs="Calibri"/>
                <w:b/>
                <w:bCs/>
                <w:color w:val="000000"/>
              </w:rPr>
              <w:t>Stage at Diagnosis</w:t>
            </w:r>
          </w:p>
        </w:tc>
        <w:tc>
          <w:tcPr>
            <w:tcW w:w="1170" w:type="pct"/>
            <w:noWrap/>
            <w:hideMark/>
          </w:tcPr>
          <w:p w14:paraId="4044569D" w14:textId="77777777" w:rsidR="00C755A0" w:rsidRPr="00986F39" w:rsidRDefault="00C755A0" w:rsidP="001A4831">
            <w:pPr>
              <w:pStyle w:val="NoSpacing"/>
              <w:ind w:firstLine="0"/>
              <w:jc w:val="right"/>
              <w:rPr>
                <w:rFonts w:cs="Calibri"/>
                <w:color w:val="000000"/>
              </w:rPr>
            </w:pPr>
          </w:p>
        </w:tc>
        <w:tc>
          <w:tcPr>
            <w:tcW w:w="931" w:type="pct"/>
            <w:noWrap/>
            <w:hideMark/>
          </w:tcPr>
          <w:p w14:paraId="18BB9762" w14:textId="77777777" w:rsidR="00C755A0" w:rsidRPr="00986F39" w:rsidRDefault="00C755A0" w:rsidP="001A4831">
            <w:pPr>
              <w:pStyle w:val="NoSpacing"/>
              <w:ind w:firstLine="0"/>
              <w:jc w:val="right"/>
              <w:rPr>
                <w:sz w:val="20"/>
                <w:szCs w:val="20"/>
              </w:rPr>
            </w:pPr>
          </w:p>
        </w:tc>
        <w:tc>
          <w:tcPr>
            <w:tcW w:w="1225" w:type="pct"/>
            <w:noWrap/>
            <w:hideMark/>
          </w:tcPr>
          <w:p w14:paraId="6FAB55FA" w14:textId="77777777" w:rsidR="00C755A0" w:rsidRPr="00986F39" w:rsidRDefault="00C755A0" w:rsidP="001A4831">
            <w:pPr>
              <w:pStyle w:val="NoSpacing"/>
              <w:ind w:firstLine="0"/>
              <w:jc w:val="right"/>
              <w:rPr>
                <w:rFonts w:cs="Calibri"/>
                <w:color w:val="000000"/>
              </w:rPr>
            </w:pPr>
            <w:r w:rsidRPr="00986F39">
              <w:rPr>
                <w:rFonts w:cs="Calibri"/>
                <w:color w:val="000000"/>
              </w:rPr>
              <w:t>0.963</w:t>
            </w:r>
          </w:p>
        </w:tc>
      </w:tr>
      <w:tr w:rsidR="00C755A0" w:rsidRPr="00986F39" w14:paraId="4BDCA0D7"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0EC701C7" w14:textId="1C0186F8" w:rsidR="00C755A0" w:rsidRPr="00E26AA2" w:rsidRDefault="00C755A0" w:rsidP="001A4831">
            <w:pPr>
              <w:pStyle w:val="NoSpacing"/>
              <w:ind w:firstLine="0"/>
              <w:jc w:val="right"/>
              <w:rPr>
                <w:rFonts w:cs="Calibri"/>
                <w:color w:val="000000"/>
              </w:rPr>
            </w:pPr>
            <w:r w:rsidRPr="00E26AA2">
              <w:rPr>
                <w:rFonts w:cs="Calibri"/>
                <w:color w:val="000000"/>
              </w:rPr>
              <w:t xml:space="preserve">Stage </w:t>
            </w:r>
            <w:r w:rsidR="00E7422E">
              <w:rPr>
                <w:rFonts w:cs="Calibri"/>
                <w:color w:val="000000"/>
              </w:rPr>
              <w:t>0/</w:t>
            </w:r>
            <w:r w:rsidRPr="00E26AA2">
              <w:rPr>
                <w:rFonts w:cs="Calibri"/>
                <w:color w:val="000000"/>
              </w:rPr>
              <w:t>I</w:t>
            </w:r>
          </w:p>
        </w:tc>
        <w:tc>
          <w:tcPr>
            <w:tcW w:w="1170" w:type="pct"/>
            <w:noWrap/>
            <w:hideMark/>
          </w:tcPr>
          <w:p w14:paraId="039BE28C" w14:textId="77777777" w:rsidR="00C755A0" w:rsidRPr="00986F39" w:rsidRDefault="00C755A0" w:rsidP="001A4831">
            <w:pPr>
              <w:pStyle w:val="NoSpacing"/>
              <w:ind w:firstLine="0"/>
              <w:jc w:val="right"/>
              <w:rPr>
                <w:rFonts w:cs="Calibri"/>
                <w:color w:val="000000"/>
              </w:rPr>
            </w:pPr>
            <w:r w:rsidRPr="00986F39">
              <w:rPr>
                <w:rFonts w:cs="Calibri"/>
                <w:color w:val="000000"/>
              </w:rPr>
              <w:t>43 (19.4)</w:t>
            </w:r>
          </w:p>
        </w:tc>
        <w:tc>
          <w:tcPr>
            <w:tcW w:w="931" w:type="pct"/>
            <w:noWrap/>
            <w:hideMark/>
          </w:tcPr>
          <w:p w14:paraId="0E4ED1A1" w14:textId="77777777" w:rsidR="00C755A0" w:rsidRPr="00986F39" w:rsidRDefault="00C755A0" w:rsidP="001A4831">
            <w:pPr>
              <w:pStyle w:val="NoSpacing"/>
              <w:ind w:firstLine="0"/>
              <w:jc w:val="right"/>
              <w:rPr>
                <w:rFonts w:cs="Calibri"/>
                <w:color w:val="000000"/>
              </w:rPr>
            </w:pPr>
            <w:r w:rsidRPr="00986F39">
              <w:rPr>
                <w:rFonts w:cs="Calibri"/>
                <w:color w:val="000000"/>
              </w:rPr>
              <w:t>38 (17.1)</w:t>
            </w:r>
          </w:p>
        </w:tc>
        <w:tc>
          <w:tcPr>
            <w:tcW w:w="1225" w:type="pct"/>
            <w:noWrap/>
            <w:hideMark/>
          </w:tcPr>
          <w:p w14:paraId="00CCCCE2" w14:textId="77777777" w:rsidR="00C755A0" w:rsidRPr="00986F39" w:rsidRDefault="00C755A0" w:rsidP="001A4831">
            <w:pPr>
              <w:pStyle w:val="NoSpacing"/>
              <w:ind w:firstLine="0"/>
              <w:jc w:val="right"/>
              <w:rPr>
                <w:rFonts w:cs="Calibri"/>
                <w:color w:val="000000"/>
              </w:rPr>
            </w:pPr>
          </w:p>
        </w:tc>
      </w:tr>
      <w:tr w:rsidR="00C755A0" w:rsidRPr="00986F39" w14:paraId="1B6FB7D2" w14:textId="77777777" w:rsidTr="001A4831">
        <w:trPr>
          <w:trHeight w:val="300"/>
        </w:trPr>
        <w:tc>
          <w:tcPr>
            <w:tcW w:w="1674" w:type="pct"/>
            <w:noWrap/>
            <w:hideMark/>
          </w:tcPr>
          <w:p w14:paraId="6A132E6C" w14:textId="77777777" w:rsidR="00C755A0" w:rsidRPr="00E26AA2" w:rsidRDefault="00C755A0" w:rsidP="001A4831">
            <w:pPr>
              <w:pStyle w:val="NoSpacing"/>
              <w:ind w:firstLine="0"/>
              <w:jc w:val="right"/>
              <w:rPr>
                <w:rFonts w:cs="Calibri"/>
                <w:color w:val="000000"/>
              </w:rPr>
            </w:pPr>
            <w:r w:rsidRPr="00E26AA2">
              <w:rPr>
                <w:rFonts w:cs="Calibri"/>
                <w:color w:val="000000"/>
              </w:rPr>
              <w:t>Stage II</w:t>
            </w:r>
          </w:p>
        </w:tc>
        <w:tc>
          <w:tcPr>
            <w:tcW w:w="1170" w:type="pct"/>
            <w:noWrap/>
            <w:hideMark/>
          </w:tcPr>
          <w:p w14:paraId="7CE8D420" w14:textId="77777777" w:rsidR="00C755A0" w:rsidRPr="00986F39" w:rsidRDefault="00C755A0" w:rsidP="001A4831">
            <w:pPr>
              <w:pStyle w:val="NoSpacing"/>
              <w:ind w:firstLine="0"/>
              <w:jc w:val="right"/>
              <w:rPr>
                <w:rFonts w:cs="Calibri"/>
                <w:color w:val="000000"/>
              </w:rPr>
            </w:pPr>
            <w:r w:rsidRPr="00986F39">
              <w:rPr>
                <w:rFonts w:cs="Calibri"/>
                <w:color w:val="000000"/>
              </w:rPr>
              <w:t>27 (12.2)</w:t>
            </w:r>
          </w:p>
        </w:tc>
        <w:tc>
          <w:tcPr>
            <w:tcW w:w="931" w:type="pct"/>
            <w:noWrap/>
            <w:hideMark/>
          </w:tcPr>
          <w:p w14:paraId="0B1EC93D" w14:textId="77777777" w:rsidR="00C755A0" w:rsidRPr="00986F39" w:rsidRDefault="00C755A0" w:rsidP="001A4831">
            <w:pPr>
              <w:pStyle w:val="NoSpacing"/>
              <w:ind w:firstLine="0"/>
              <w:jc w:val="right"/>
              <w:rPr>
                <w:rFonts w:cs="Calibri"/>
                <w:color w:val="000000"/>
              </w:rPr>
            </w:pPr>
            <w:r w:rsidRPr="00986F39">
              <w:rPr>
                <w:rFonts w:cs="Calibri"/>
                <w:color w:val="000000"/>
              </w:rPr>
              <w:t>28 (12.6)</w:t>
            </w:r>
          </w:p>
        </w:tc>
        <w:tc>
          <w:tcPr>
            <w:tcW w:w="1225" w:type="pct"/>
            <w:noWrap/>
            <w:hideMark/>
          </w:tcPr>
          <w:p w14:paraId="371AD525" w14:textId="77777777" w:rsidR="00C755A0" w:rsidRPr="00986F39" w:rsidRDefault="00C755A0" w:rsidP="001A4831">
            <w:pPr>
              <w:pStyle w:val="NoSpacing"/>
              <w:ind w:firstLine="0"/>
              <w:jc w:val="right"/>
              <w:rPr>
                <w:rFonts w:cs="Calibri"/>
                <w:color w:val="000000"/>
              </w:rPr>
            </w:pPr>
          </w:p>
        </w:tc>
      </w:tr>
      <w:tr w:rsidR="00C755A0" w:rsidRPr="00986F39" w14:paraId="514AF4B8"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27EBC2CA" w14:textId="77777777" w:rsidR="00C755A0" w:rsidRPr="00E26AA2" w:rsidRDefault="00C755A0" w:rsidP="001A4831">
            <w:pPr>
              <w:pStyle w:val="NoSpacing"/>
              <w:ind w:firstLine="0"/>
              <w:jc w:val="right"/>
              <w:rPr>
                <w:rFonts w:cs="Calibri"/>
                <w:color w:val="000000"/>
              </w:rPr>
            </w:pPr>
            <w:r w:rsidRPr="00E26AA2">
              <w:rPr>
                <w:rFonts w:cs="Calibri"/>
                <w:color w:val="000000"/>
              </w:rPr>
              <w:t>Stage III</w:t>
            </w:r>
          </w:p>
        </w:tc>
        <w:tc>
          <w:tcPr>
            <w:tcW w:w="1170" w:type="pct"/>
            <w:noWrap/>
            <w:hideMark/>
          </w:tcPr>
          <w:p w14:paraId="1A9C8E82" w14:textId="77777777" w:rsidR="00C755A0" w:rsidRPr="00986F39" w:rsidRDefault="00C755A0" w:rsidP="001A4831">
            <w:pPr>
              <w:pStyle w:val="NoSpacing"/>
              <w:ind w:firstLine="0"/>
              <w:jc w:val="right"/>
              <w:rPr>
                <w:rFonts w:cs="Calibri"/>
                <w:color w:val="000000"/>
              </w:rPr>
            </w:pPr>
            <w:r w:rsidRPr="00986F39">
              <w:rPr>
                <w:rFonts w:cs="Calibri"/>
                <w:color w:val="000000"/>
              </w:rPr>
              <w:t>29 (13.1)</w:t>
            </w:r>
          </w:p>
        </w:tc>
        <w:tc>
          <w:tcPr>
            <w:tcW w:w="931" w:type="pct"/>
            <w:noWrap/>
            <w:hideMark/>
          </w:tcPr>
          <w:p w14:paraId="0313E3E0" w14:textId="77777777" w:rsidR="00C755A0" w:rsidRPr="00986F39" w:rsidRDefault="00C755A0" w:rsidP="001A4831">
            <w:pPr>
              <w:pStyle w:val="NoSpacing"/>
              <w:ind w:firstLine="0"/>
              <w:jc w:val="right"/>
              <w:rPr>
                <w:rFonts w:cs="Calibri"/>
                <w:color w:val="000000"/>
              </w:rPr>
            </w:pPr>
            <w:r w:rsidRPr="00986F39">
              <w:rPr>
                <w:rFonts w:cs="Calibri"/>
                <w:color w:val="000000"/>
              </w:rPr>
              <w:t>29 (13.1)</w:t>
            </w:r>
          </w:p>
        </w:tc>
        <w:tc>
          <w:tcPr>
            <w:tcW w:w="1225" w:type="pct"/>
            <w:noWrap/>
            <w:hideMark/>
          </w:tcPr>
          <w:p w14:paraId="2D19C944" w14:textId="77777777" w:rsidR="00C755A0" w:rsidRPr="00986F39" w:rsidRDefault="00C755A0" w:rsidP="001A4831">
            <w:pPr>
              <w:pStyle w:val="NoSpacing"/>
              <w:ind w:firstLine="0"/>
              <w:jc w:val="right"/>
              <w:rPr>
                <w:rFonts w:cs="Calibri"/>
                <w:color w:val="000000"/>
              </w:rPr>
            </w:pPr>
          </w:p>
        </w:tc>
      </w:tr>
      <w:tr w:rsidR="00C755A0" w:rsidRPr="00986F39" w14:paraId="4E9E2277" w14:textId="77777777" w:rsidTr="001A4831">
        <w:trPr>
          <w:trHeight w:val="300"/>
        </w:trPr>
        <w:tc>
          <w:tcPr>
            <w:tcW w:w="1674" w:type="pct"/>
            <w:noWrap/>
            <w:hideMark/>
          </w:tcPr>
          <w:p w14:paraId="439B1E78" w14:textId="77777777" w:rsidR="00C755A0" w:rsidRPr="00E26AA2" w:rsidRDefault="00C755A0" w:rsidP="001A4831">
            <w:pPr>
              <w:pStyle w:val="NoSpacing"/>
              <w:ind w:firstLine="0"/>
              <w:jc w:val="right"/>
              <w:rPr>
                <w:rFonts w:cs="Calibri"/>
                <w:color w:val="000000"/>
              </w:rPr>
            </w:pPr>
            <w:r w:rsidRPr="00E26AA2">
              <w:rPr>
                <w:rFonts w:cs="Calibri"/>
                <w:color w:val="000000"/>
              </w:rPr>
              <w:t>Stage IV</w:t>
            </w:r>
          </w:p>
        </w:tc>
        <w:tc>
          <w:tcPr>
            <w:tcW w:w="1170" w:type="pct"/>
            <w:noWrap/>
            <w:hideMark/>
          </w:tcPr>
          <w:p w14:paraId="30ECC374" w14:textId="77777777" w:rsidR="00C755A0" w:rsidRPr="00986F39" w:rsidRDefault="00C755A0" w:rsidP="001A4831">
            <w:pPr>
              <w:pStyle w:val="NoSpacing"/>
              <w:ind w:firstLine="0"/>
              <w:jc w:val="right"/>
              <w:rPr>
                <w:rFonts w:cs="Calibri"/>
                <w:color w:val="000000"/>
              </w:rPr>
            </w:pPr>
            <w:r w:rsidRPr="00986F39">
              <w:rPr>
                <w:rFonts w:cs="Calibri"/>
                <w:color w:val="000000"/>
              </w:rPr>
              <w:t>27 (12.2)</w:t>
            </w:r>
          </w:p>
        </w:tc>
        <w:tc>
          <w:tcPr>
            <w:tcW w:w="931" w:type="pct"/>
            <w:noWrap/>
            <w:hideMark/>
          </w:tcPr>
          <w:p w14:paraId="0612F529" w14:textId="77777777" w:rsidR="00C755A0" w:rsidRPr="00986F39" w:rsidRDefault="00C755A0" w:rsidP="001A4831">
            <w:pPr>
              <w:pStyle w:val="NoSpacing"/>
              <w:ind w:firstLine="0"/>
              <w:jc w:val="right"/>
              <w:rPr>
                <w:rFonts w:cs="Calibri"/>
                <w:color w:val="000000"/>
              </w:rPr>
            </w:pPr>
            <w:r w:rsidRPr="00986F39">
              <w:rPr>
                <w:rFonts w:cs="Calibri"/>
                <w:color w:val="000000"/>
              </w:rPr>
              <w:t>31 (14.0)</w:t>
            </w:r>
          </w:p>
        </w:tc>
        <w:tc>
          <w:tcPr>
            <w:tcW w:w="1225" w:type="pct"/>
            <w:noWrap/>
            <w:hideMark/>
          </w:tcPr>
          <w:p w14:paraId="2053EC54" w14:textId="77777777" w:rsidR="00C755A0" w:rsidRPr="00986F39" w:rsidRDefault="00C755A0" w:rsidP="001A4831">
            <w:pPr>
              <w:pStyle w:val="NoSpacing"/>
              <w:ind w:firstLine="0"/>
              <w:jc w:val="right"/>
              <w:rPr>
                <w:rFonts w:cs="Calibri"/>
                <w:color w:val="000000"/>
              </w:rPr>
            </w:pPr>
          </w:p>
        </w:tc>
      </w:tr>
      <w:tr w:rsidR="00C755A0" w:rsidRPr="00986F39" w14:paraId="3A7D599A"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239D01CE" w14:textId="77777777" w:rsidR="00C755A0" w:rsidRPr="00E26AA2" w:rsidRDefault="00C755A0" w:rsidP="001A4831">
            <w:pPr>
              <w:pStyle w:val="NoSpacing"/>
              <w:ind w:firstLine="0"/>
              <w:jc w:val="right"/>
              <w:rPr>
                <w:rFonts w:cs="Calibri"/>
                <w:color w:val="000000"/>
              </w:rPr>
            </w:pPr>
            <w:r w:rsidRPr="00E26AA2">
              <w:rPr>
                <w:rFonts w:cs="Calibri"/>
                <w:color w:val="000000"/>
              </w:rPr>
              <w:t>Unstaged</w:t>
            </w:r>
          </w:p>
        </w:tc>
        <w:tc>
          <w:tcPr>
            <w:tcW w:w="1170" w:type="pct"/>
            <w:noWrap/>
            <w:hideMark/>
          </w:tcPr>
          <w:p w14:paraId="595AF5C1" w14:textId="77777777" w:rsidR="00C755A0" w:rsidRPr="00986F39" w:rsidRDefault="00C755A0" w:rsidP="001A4831">
            <w:pPr>
              <w:pStyle w:val="NoSpacing"/>
              <w:ind w:firstLine="0"/>
              <w:jc w:val="right"/>
              <w:rPr>
                <w:rFonts w:cs="Calibri"/>
                <w:color w:val="000000"/>
              </w:rPr>
            </w:pPr>
            <w:r w:rsidRPr="00986F39">
              <w:rPr>
                <w:rFonts w:cs="Calibri"/>
                <w:color w:val="000000"/>
              </w:rPr>
              <w:t>96 (43.2)</w:t>
            </w:r>
          </w:p>
        </w:tc>
        <w:tc>
          <w:tcPr>
            <w:tcW w:w="931" w:type="pct"/>
            <w:noWrap/>
            <w:hideMark/>
          </w:tcPr>
          <w:p w14:paraId="1192D69E" w14:textId="77777777" w:rsidR="00C755A0" w:rsidRPr="00986F39" w:rsidRDefault="00C755A0" w:rsidP="001A4831">
            <w:pPr>
              <w:pStyle w:val="NoSpacing"/>
              <w:ind w:firstLine="0"/>
              <w:jc w:val="right"/>
              <w:rPr>
                <w:rFonts w:cs="Calibri"/>
                <w:color w:val="000000"/>
              </w:rPr>
            </w:pPr>
            <w:r w:rsidRPr="00986F39">
              <w:rPr>
                <w:rFonts w:cs="Calibri"/>
                <w:color w:val="000000"/>
              </w:rPr>
              <w:t>96 (43.2)</w:t>
            </w:r>
          </w:p>
        </w:tc>
        <w:tc>
          <w:tcPr>
            <w:tcW w:w="1225" w:type="pct"/>
            <w:noWrap/>
            <w:hideMark/>
          </w:tcPr>
          <w:p w14:paraId="49401548" w14:textId="77777777" w:rsidR="00C755A0" w:rsidRPr="00986F39" w:rsidRDefault="00C755A0" w:rsidP="001A4831">
            <w:pPr>
              <w:pStyle w:val="NoSpacing"/>
              <w:ind w:firstLine="0"/>
              <w:jc w:val="right"/>
              <w:rPr>
                <w:rFonts w:cs="Calibri"/>
                <w:color w:val="000000"/>
              </w:rPr>
            </w:pPr>
          </w:p>
        </w:tc>
      </w:tr>
      <w:tr w:rsidR="00C755A0" w:rsidRPr="00986F39" w14:paraId="6C2BF859" w14:textId="77777777" w:rsidTr="001A4831">
        <w:trPr>
          <w:trHeight w:val="300"/>
        </w:trPr>
        <w:tc>
          <w:tcPr>
            <w:tcW w:w="1674" w:type="pct"/>
            <w:noWrap/>
            <w:hideMark/>
          </w:tcPr>
          <w:p w14:paraId="75E338BE" w14:textId="77777777" w:rsidR="00C755A0" w:rsidRPr="00E26AA2" w:rsidRDefault="00C755A0" w:rsidP="001A4831">
            <w:pPr>
              <w:pStyle w:val="NoSpacing"/>
              <w:ind w:firstLine="0"/>
              <w:rPr>
                <w:rFonts w:cs="Calibri"/>
                <w:b/>
                <w:bCs/>
                <w:color w:val="000000"/>
              </w:rPr>
            </w:pPr>
            <w:r w:rsidRPr="00E26AA2">
              <w:rPr>
                <w:rFonts w:cs="Calibri"/>
                <w:b/>
                <w:bCs/>
                <w:color w:val="000000"/>
              </w:rPr>
              <w:t>Anatomic Site (%)</w:t>
            </w:r>
          </w:p>
        </w:tc>
        <w:tc>
          <w:tcPr>
            <w:tcW w:w="1170" w:type="pct"/>
            <w:noWrap/>
            <w:hideMark/>
          </w:tcPr>
          <w:p w14:paraId="2904BC06" w14:textId="77777777" w:rsidR="00C755A0" w:rsidRPr="00986F39" w:rsidRDefault="00C755A0" w:rsidP="001A4831">
            <w:pPr>
              <w:pStyle w:val="NoSpacing"/>
              <w:ind w:firstLine="0"/>
              <w:jc w:val="right"/>
              <w:rPr>
                <w:rFonts w:cs="Calibri"/>
                <w:color w:val="000000"/>
              </w:rPr>
            </w:pPr>
          </w:p>
        </w:tc>
        <w:tc>
          <w:tcPr>
            <w:tcW w:w="931" w:type="pct"/>
            <w:noWrap/>
            <w:hideMark/>
          </w:tcPr>
          <w:p w14:paraId="35ADF458" w14:textId="77777777" w:rsidR="00C755A0" w:rsidRPr="00986F39" w:rsidRDefault="00C755A0" w:rsidP="001A4831">
            <w:pPr>
              <w:pStyle w:val="NoSpacing"/>
              <w:ind w:firstLine="0"/>
              <w:jc w:val="right"/>
              <w:rPr>
                <w:sz w:val="20"/>
                <w:szCs w:val="20"/>
              </w:rPr>
            </w:pPr>
          </w:p>
        </w:tc>
        <w:tc>
          <w:tcPr>
            <w:tcW w:w="1225" w:type="pct"/>
            <w:noWrap/>
            <w:hideMark/>
          </w:tcPr>
          <w:p w14:paraId="6D83965A" w14:textId="77777777" w:rsidR="00C755A0" w:rsidRPr="00986F39" w:rsidRDefault="00C755A0" w:rsidP="001A4831">
            <w:pPr>
              <w:pStyle w:val="NoSpacing"/>
              <w:ind w:firstLine="0"/>
              <w:jc w:val="right"/>
              <w:rPr>
                <w:rFonts w:cs="Calibri"/>
                <w:color w:val="000000"/>
              </w:rPr>
            </w:pPr>
            <w:r w:rsidRPr="00986F39">
              <w:rPr>
                <w:rFonts w:cs="Calibri"/>
                <w:color w:val="000000"/>
              </w:rPr>
              <w:t>0.048</w:t>
            </w:r>
          </w:p>
        </w:tc>
      </w:tr>
      <w:tr w:rsidR="00C755A0" w:rsidRPr="00986F39" w14:paraId="1746D295"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6DE35FB2" w14:textId="436C6413" w:rsidR="00C755A0" w:rsidRPr="00E26AA2" w:rsidRDefault="00C755A0" w:rsidP="001A4831">
            <w:pPr>
              <w:pStyle w:val="NoSpacing"/>
              <w:ind w:firstLine="0"/>
              <w:jc w:val="right"/>
              <w:rPr>
                <w:rFonts w:cs="Calibri"/>
                <w:color w:val="000000"/>
              </w:rPr>
            </w:pPr>
            <w:r w:rsidRPr="00E26AA2">
              <w:rPr>
                <w:rFonts w:cs="Calibri"/>
                <w:color w:val="000000"/>
              </w:rPr>
              <w:t>Colon</w:t>
            </w:r>
          </w:p>
        </w:tc>
        <w:tc>
          <w:tcPr>
            <w:tcW w:w="1170" w:type="pct"/>
            <w:noWrap/>
            <w:hideMark/>
          </w:tcPr>
          <w:p w14:paraId="46DB291F" w14:textId="77777777" w:rsidR="00C755A0" w:rsidRPr="00986F39" w:rsidRDefault="00C755A0" w:rsidP="001A4831">
            <w:pPr>
              <w:pStyle w:val="NoSpacing"/>
              <w:ind w:firstLine="0"/>
              <w:jc w:val="right"/>
              <w:rPr>
                <w:rFonts w:cs="Calibri"/>
                <w:color w:val="000000"/>
              </w:rPr>
            </w:pPr>
            <w:r w:rsidRPr="00986F39">
              <w:rPr>
                <w:rFonts w:cs="Calibri"/>
                <w:color w:val="000000"/>
              </w:rPr>
              <w:t>144 (64.9)</w:t>
            </w:r>
          </w:p>
        </w:tc>
        <w:tc>
          <w:tcPr>
            <w:tcW w:w="931" w:type="pct"/>
            <w:noWrap/>
            <w:hideMark/>
          </w:tcPr>
          <w:p w14:paraId="60C57508" w14:textId="77777777" w:rsidR="00C755A0" w:rsidRPr="00986F39" w:rsidRDefault="00C755A0" w:rsidP="001A4831">
            <w:pPr>
              <w:pStyle w:val="NoSpacing"/>
              <w:ind w:firstLine="0"/>
              <w:jc w:val="right"/>
              <w:rPr>
                <w:rFonts w:cs="Calibri"/>
                <w:color w:val="000000"/>
              </w:rPr>
            </w:pPr>
            <w:r w:rsidRPr="00986F39">
              <w:rPr>
                <w:rFonts w:cs="Calibri"/>
                <w:color w:val="000000"/>
              </w:rPr>
              <w:t>166 (74.8)</w:t>
            </w:r>
          </w:p>
        </w:tc>
        <w:tc>
          <w:tcPr>
            <w:tcW w:w="1225" w:type="pct"/>
            <w:noWrap/>
            <w:hideMark/>
          </w:tcPr>
          <w:p w14:paraId="1227ADE5" w14:textId="77777777" w:rsidR="00C755A0" w:rsidRPr="00986F39" w:rsidRDefault="00C755A0" w:rsidP="001A4831">
            <w:pPr>
              <w:pStyle w:val="NoSpacing"/>
              <w:ind w:firstLine="0"/>
              <w:jc w:val="right"/>
              <w:rPr>
                <w:rFonts w:cs="Calibri"/>
                <w:color w:val="000000"/>
              </w:rPr>
            </w:pPr>
          </w:p>
        </w:tc>
      </w:tr>
      <w:tr w:rsidR="00C755A0" w:rsidRPr="00986F39" w14:paraId="2EDC123C" w14:textId="77777777" w:rsidTr="001A4831">
        <w:trPr>
          <w:trHeight w:val="300"/>
        </w:trPr>
        <w:tc>
          <w:tcPr>
            <w:tcW w:w="1674" w:type="pct"/>
            <w:noWrap/>
            <w:hideMark/>
          </w:tcPr>
          <w:p w14:paraId="13094DF0" w14:textId="3047FDAD" w:rsidR="00C755A0" w:rsidRPr="00E26AA2" w:rsidRDefault="00761E36" w:rsidP="001A4831">
            <w:pPr>
              <w:pStyle w:val="NoSpacing"/>
              <w:ind w:firstLine="0"/>
              <w:jc w:val="right"/>
              <w:rPr>
                <w:rFonts w:cs="Calibri"/>
                <w:color w:val="000000"/>
              </w:rPr>
            </w:pPr>
            <w:r>
              <w:rPr>
                <w:rFonts w:cs="Calibri"/>
                <w:color w:val="000000"/>
              </w:rPr>
              <w:t>Rectosigmoid junction</w:t>
            </w:r>
          </w:p>
        </w:tc>
        <w:tc>
          <w:tcPr>
            <w:tcW w:w="1170" w:type="pct"/>
            <w:noWrap/>
            <w:hideMark/>
          </w:tcPr>
          <w:p w14:paraId="66FF9F51" w14:textId="77777777" w:rsidR="00C755A0" w:rsidRPr="00986F39" w:rsidRDefault="00C755A0" w:rsidP="001A4831">
            <w:pPr>
              <w:pStyle w:val="NoSpacing"/>
              <w:ind w:firstLine="0"/>
              <w:jc w:val="right"/>
              <w:rPr>
                <w:rFonts w:cs="Calibri"/>
                <w:color w:val="000000"/>
              </w:rPr>
            </w:pPr>
            <w:r w:rsidRPr="00986F39">
              <w:rPr>
                <w:rFonts w:cs="Calibri"/>
                <w:color w:val="000000"/>
              </w:rPr>
              <w:t>30 (13.5)</w:t>
            </w:r>
          </w:p>
        </w:tc>
        <w:tc>
          <w:tcPr>
            <w:tcW w:w="931" w:type="pct"/>
            <w:noWrap/>
            <w:hideMark/>
          </w:tcPr>
          <w:p w14:paraId="778FC9ED" w14:textId="77777777" w:rsidR="00C755A0" w:rsidRPr="00986F39" w:rsidRDefault="00C755A0" w:rsidP="001A4831">
            <w:pPr>
              <w:pStyle w:val="NoSpacing"/>
              <w:ind w:firstLine="0"/>
              <w:jc w:val="right"/>
              <w:rPr>
                <w:rFonts w:cs="Calibri"/>
                <w:color w:val="000000"/>
              </w:rPr>
            </w:pPr>
            <w:r w:rsidRPr="00986F39">
              <w:rPr>
                <w:rFonts w:cs="Calibri"/>
                <w:color w:val="000000"/>
              </w:rPr>
              <w:t>17 (7.7)</w:t>
            </w:r>
          </w:p>
        </w:tc>
        <w:tc>
          <w:tcPr>
            <w:tcW w:w="1225" w:type="pct"/>
            <w:noWrap/>
            <w:hideMark/>
          </w:tcPr>
          <w:p w14:paraId="624291B1" w14:textId="77777777" w:rsidR="00C755A0" w:rsidRPr="00986F39" w:rsidRDefault="00C755A0" w:rsidP="001A4831">
            <w:pPr>
              <w:pStyle w:val="NoSpacing"/>
              <w:ind w:firstLine="0"/>
              <w:jc w:val="right"/>
              <w:rPr>
                <w:rFonts w:cs="Calibri"/>
                <w:color w:val="000000"/>
              </w:rPr>
            </w:pPr>
          </w:p>
        </w:tc>
      </w:tr>
      <w:tr w:rsidR="00C755A0" w:rsidRPr="00986F39" w14:paraId="265C54F9"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4BB466F5" w14:textId="77777777" w:rsidR="00C755A0" w:rsidRPr="00E26AA2" w:rsidRDefault="00C755A0" w:rsidP="001A4831">
            <w:pPr>
              <w:pStyle w:val="NoSpacing"/>
              <w:ind w:firstLine="0"/>
              <w:jc w:val="right"/>
              <w:rPr>
                <w:rFonts w:cs="Calibri"/>
                <w:color w:val="000000"/>
              </w:rPr>
            </w:pPr>
            <w:r w:rsidRPr="00E26AA2">
              <w:rPr>
                <w:rFonts w:cs="Calibri"/>
                <w:color w:val="000000"/>
              </w:rPr>
              <w:t>Rectum</w:t>
            </w:r>
          </w:p>
        </w:tc>
        <w:tc>
          <w:tcPr>
            <w:tcW w:w="1170" w:type="pct"/>
            <w:noWrap/>
            <w:hideMark/>
          </w:tcPr>
          <w:p w14:paraId="62DE92B4" w14:textId="77777777" w:rsidR="00C755A0" w:rsidRPr="00986F39" w:rsidRDefault="00C755A0" w:rsidP="001A4831">
            <w:pPr>
              <w:pStyle w:val="NoSpacing"/>
              <w:ind w:firstLine="0"/>
              <w:jc w:val="right"/>
              <w:rPr>
                <w:rFonts w:cs="Calibri"/>
                <w:color w:val="000000"/>
              </w:rPr>
            </w:pPr>
            <w:r w:rsidRPr="00986F39">
              <w:rPr>
                <w:rFonts w:cs="Calibri"/>
                <w:color w:val="000000"/>
              </w:rPr>
              <w:t>38 (21.6)</w:t>
            </w:r>
          </w:p>
        </w:tc>
        <w:tc>
          <w:tcPr>
            <w:tcW w:w="931" w:type="pct"/>
            <w:noWrap/>
            <w:hideMark/>
          </w:tcPr>
          <w:p w14:paraId="0FAEEB18" w14:textId="77777777" w:rsidR="00C755A0" w:rsidRPr="00986F39" w:rsidRDefault="00C755A0" w:rsidP="001A4831">
            <w:pPr>
              <w:pStyle w:val="NoSpacing"/>
              <w:ind w:firstLine="0"/>
              <w:jc w:val="right"/>
              <w:rPr>
                <w:rFonts w:cs="Calibri"/>
                <w:color w:val="000000"/>
              </w:rPr>
            </w:pPr>
            <w:r w:rsidRPr="00986F39">
              <w:rPr>
                <w:rFonts w:cs="Calibri"/>
                <w:color w:val="000000"/>
              </w:rPr>
              <w:t>39 (17.6)</w:t>
            </w:r>
          </w:p>
        </w:tc>
        <w:tc>
          <w:tcPr>
            <w:tcW w:w="1225" w:type="pct"/>
            <w:noWrap/>
            <w:hideMark/>
          </w:tcPr>
          <w:p w14:paraId="447DBA2E" w14:textId="77777777" w:rsidR="00C755A0" w:rsidRPr="00986F39" w:rsidRDefault="00C755A0" w:rsidP="001A4831">
            <w:pPr>
              <w:pStyle w:val="NoSpacing"/>
              <w:ind w:firstLine="0"/>
              <w:jc w:val="right"/>
              <w:rPr>
                <w:rFonts w:cs="Calibri"/>
                <w:color w:val="000000"/>
              </w:rPr>
            </w:pPr>
          </w:p>
        </w:tc>
      </w:tr>
      <w:tr w:rsidR="00C755A0" w:rsidRPr="00986F39" w14:paraId="68617F2B" w14:textId="77777777" w:rsidTr="001A4831">
        <w:trPr>
          <w:trHeight w:val="300"/>
        </w:trPr>
        <w:tc>
          <w:tcPr>
            <w:tcW w:w="1674" w:type="pct"/>
            <w:noWrap/>
            <w:hideMark/>
          </w:tcPr>
          <w:p w14:paraId="3F349B44" w14:textId="77777777" w:rsidR="00C755A0" w:rsidRPr="00986F39" w:rsidRDefault="00C755A0" w:rsidP="001A4831">
            <w:pPr>
              <w:pStyle w:val="NoSpacing"/>
              <w:ind w:firstLine="0"/>
              <w:rPr>
                <w:rFonts w:cs="Calibri"/>
                <w:b/>
                <w:bCs/>
                <w:color w:val="000000"/>
              </w:rPr>
            </w:pPr>
            <w:r w:rsidRPr="00986F39">
              <w:rPr>
                <w:rFonts w:cs="Calibri"/>
                <w:b/>
                <w:bCs/>
                <w:color w:val="000000"/>
              </w:rPr>
              <w:t>Year of Diagnosis</w:t>
            </w:r>
          </w:p>
        </w:tc>
        <w:tc>
          <w:tcPr>
            <w:tcW w:w="1170" w:type="pct"/>
            <w:noWrap/>
            <w:hideMark/>
          </w:tcPr>
          <w:p w14:paraId="60354C21" w14:textId="77777777" w:rsidR="00C755A0" w:rsidRPr="00986F39" w:rsidRDefault="00C755A0" w:rsidP="001A4831">
            <w:pPr>
              <w:pStyle w:val="NoSpacing"/>
              <w:ind w:firstLine="0"/>
              <w:jc w:val="right"/>
              <w:rPr>
                <w:rFonts w:cs="Calibri"/>
                <w:color w:val="000000"/>
              </w:rPr>
            </w:pPr>
          </w:p>
        </w:tc>
        <w:tc>
          <w:tcPr>
            <w:tcW w:w="931" w:type="pct"/>
            <w:noWrap/>
            <w:hideMark/>
          </w:tcPr>
          <w:p w14:paraId="77B67250" w14:textId="77777777" w:rsidR="00C755A0" w:rsidRPr="00986F39" w:rsidRDefault="00C755A0" w:rsidP="001A4831">
            <w:pPr>
              <w:pStyle w:val="NoSpacing"/>
              <w:ind w:firstLine="0"/>
              <w:jc w:val="right"/>
              <w:rPr>
                <w:sz w:val="20"/>
                <w:szCs w:val="20"/>
              </w:rPr>
            </w:pPr>
          </w:p>
        </w:tc>
        <w:tc>
          <w:tcPr>
            <w:tcW w:w="1225" w:type="pct"/>
            <w:noWrap/>
            <w:hideMark/>
          </w:tcPr>
          <w:p w14:paraId="2D4C6F95" w14:textId="77777777" w:rsidR="00C755A0" w:rsidRPr="00986F39" w:rsidRDefault="00C755A0" w:rsidP="001A4831">
            <w:pPr>
              <w:pStyle w:val="NoSpacing"/>
              <w:ind w:firstLine="0"/>
              <w:jc w:val="right"/>
              <w:rPr>
                <w:rFonts w:cs="Calibri"/>
                <w:color w:val="000000"/>
              </w:rPr>
            </w:pPr>
            <w:r w:rsidRPr="00986F39">
              <w:rPr>
                <w:rFonts w:cs="Calibri"/>
                <w:color w:val="000000"/>
              </w:rPr>
              <w:t>0.339</w:t>
            </w:r>
          </w:p>
        </w:tc>
      </w:tr>
      <w:tr w:rsidR="00C755A0" w:rsidRPr="00986F39" w14:paraId="5F96AA3C"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7F587EDE" w14:textId="77777777" w:rsidR="00C755A0" w:rsidRPr="00E26AA2" w:rsidRDefault="00C755A0" w:rsidP="001A4831">
            <w:pPr>
              <w:pStyle w:val="NoSpacing"/>
              <w:ind w:firstLine="0"/>
              <w:jc w:val="right"/>
              <w:rPr>
                <w:rFonts w:cs="Calibri"/>
                <w:color w:val="000000"/>
              </w:rPr>
            </w:pPr>
            <w:r w:rsidRPr="00E26AA2">
              <w:rPr>
                <w:rFonts w:cs="Calibri"/>
                <w:color w:val="000000"/>
              </w:rPr>
              <w:t>1995</w:t>
            </w:r>
          </w:p>
        </w:tc>
        <w:tc>
          <w:tcPr>
            <w:tcW w:w="1170" w:type="pct"/>
            <w:noWrap/>
            <w:hideMark/>
          </w:tcPr>
          <w:p w14:paraId="0107FA39" w14:textId="77777777" w:rsidR="00C755A0" w:rsidRPr="00986F39" w:rsidRDefault="00C755A0" w:rsidP="001A4831">
            <w:pPr>
              <w:pStyle w:val="NoSpacing"/>
              <w:ind w:firstLine="0"/>
              <w:jc w:val="right"/>
              <w:rPr>
                <w:rFonts w:cs="Calibri"/>
                <w:color w:val="000000"/>
              </w:rPr>
            </w:pPr>
            <w:r w:rsidRPr="00986F39">
              <w:rPr>
                <w:rFonts w:cs="Calibri"/>
                <w:color w:val="000000"/>
              </w:rPr>
              <w:t>13 (5.9)</w:t>
            </w:r>
          </w:p>
        </w:tc>
        <w:tc>
          <w:tcPr>
            <w:tcW w:w="931" w:type="pct"/>
            <w:noWrap/>
            <w:hideMark/>
          </w:tcPr>
          <w:p w14:paraId="2A16FBA7" w14:textId="77777777" w:rsidR="00C755A0" w:rsidRPr="00986F39" w:rsidRDefault="00C755A0" w:rsidP="001A4831">
            <w:pPr>
              <w:pStyle w:val="NoSpacing"/>
              <w:ind w:firstLine="0"/>
              <w:jc w:val="right"/>
              <w:rPr>
                <w:rFonts w:cs="Calibri"/>
                <w:color w:val="000000"/>
              </w:rPr>
            </w:pPr>
            <w:r w:rsidRPr="00986F39">
              <w:rPr>
                <w:rFonts w:cs="Calibri"/>
                <w:color w:val="000000"/>
              </w:rPr>
              <w:t>22 (9.9)</w:t>
            </w:r>
          </w:p>
        </w:tc>
        <w:tc>
          <w:tcPr>
            <w:tcW w:w="1225" w:type="pct"/>
            <w:noWrap/>
            <w:hideMark/>
          </w:tcPr>
          <w:p w14:paraId="4EC1102F" w14:textId="77777777" w:rsidR="00C755A0" w:rsidRPr="00986F39" w:rsidRDefault="00C755A0" w:rsidP="001A4831">
            <w:pPr>
              <w:pStyle w:val="NoSpacing"/>
              <w:ind w:firstLine="0"/>
              <w:jc w:val="right"/>
              <w:rPr>
                <w:rFonts w:cs="Calibri"/>
                <w:color w:val="000000"/>
              </w:rPr>
            </w:pPr>
          </w:p>
        </w:tc>
      </w:tr>
      <w:tr w:rsidR="00C755A0" w:rsidRPr="00986F39" w14:paraId="202D7728" w14:textId="77777777" w:rsidTr="001A4831">
        <w:trPr>
          <w:trHeight w:val="300"/>
        </w:trPr>
        <w:tc>
          <w:tcPr>
            <w:tcW w:w="1674" w:type="pct"/>
            <w:noWrap/>
            <w:hideMark/>
          </w:tcPr>
          <w:p w14:paraId="320DA926" w14:textId="77777777" w:rsidR="00C755A0" w:rsidRPr="00E26AA2" w:rsidRDefault="00C755A0" w:rsidP="001A4831">
            <w:pPr>
              <w:pStyle w:val="NoSpacing"/>
              <w:ind w:firstLine="0"/>
              <w:jc w:val="right"/>
              <w:rPr>
                <w:rFonts w:cs="Calibri"/>
                <w:color w:val="000000"/>
              </w:rPr>
            </w:pPr>
            <w:r w:rsidRPr="00E26AA2">
              <w:rPr>
                <w:rFonts w:cs="Calibri"/>
                <w:color w:val="000000"/>
              </w:rPr>
              <w:t>1996</w:t>
            </w:r>
          </w:p>
        </w:tc>
        <w:tc>
          <w:tcPr>
            <w:tcW w:w="1170" w:type="pct"/>
            <w:noWrap/>
            <w:hideMark/>
          </w:tcPr>
          <w:p w14:paraId="511ED91E" w14:textId="77777777" w:rsidR="00C755A0" w:rsidRPr="00986F39" w:rsidRDefault="00C755A0" w:rsidP="001A4831">
            <w:pPr>
              <w:pStyle w:val="NoSpacing"/>
              <w:ind w:firstLine="0"/>
              <w:jc w:val="right"/>
              <w:rPr>
                <w:rFonts w:cs="Calibri"/>
                <w:color w:val="000000"/>
              </w:rPr>
            </w:pPr>
            <w:r w:rsidRPr="00986F39">
              <w:rPr>
                <w:rFonts w:cs="Calibri"/>
                <w:color w:val="000000"/>
              </w:rPr>
              <w:t>17 (7.7)</w:t>
            </w:r>
          </w:p>
        </w:tc>
        <w:tc>
          <w:tcPr>
            <w:tcW w:w="931" w:type="pct"/>
            <w:noWrap/>
            <w:hideMark/>
          </w:tcPr>
          <w:p w14:paraId="277C2439" w14:textId="77777777" w:rsidR="00C755A0" w:rsidRPr="00986F39" w:rsidRDefault="00C755A0" w:rsidP="001A4831">
            <w:pPr>
              <w:pStyle w:val="NoSpacing"/>
              <w:ind w:firstLine="0"/>
              <w:jc w:val="right"/>
              <w:rPr>
                <w:rFonts w:cs="Calibri"/>
                <w:color w:val="000000"/>
              </w:rPr>
            </w:pPr>
            <w:r w:rsidRPr="00986F39">
              <w:rPr>
                <w:rFonts w:cs="Calibri"/>
                <w:color w:val="000000"/>
              </w:rPr>
              <w:t>21 (9.5)</w:t>
            </w:r>
          </w:p>
        </w:tc>
        <w:tc>
          <w:tcPr>
            <w:tcW w:w="1225" w:type="pct"/>
            <w:noWrap/>
            <w:hideMark/>
          </w:tcPr>
          <w:p w14:paraId="60866DC1" w14:textId="77777777" w:rsidR="00C755A0" w:rsidRPr="00986F39" w:rsidRDefault="00C755A0" w:rsidP="001A4831">
            <w:pPr>
              <w:pStyle w:val="NoSpacing"/>
              <w:ind w:firstLine="0"/>
              <w:jc w:val="right"/>
              <w:rPr>
                <w:rFonts w:cs="Calibri"/>
                <w:color w:val="000000"/>
              </w:rPr>
            </w:pPr>
          </w:p>
        </w:tc>
      </w:tr>
      <w:tr w:rsidR="00C755A0" w:rsidRPr="00986F39" w14:paraId="4FF677AD"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0B40FE8B" w14:textId="77777777" w:rsidR="00C755A0" w:rsidRPr="00E26AA2" w:rsidRDefault="00C755A0" w:rsidP="001A4831">
            <w:pPr>
              <w:pStyle w:val="NoSpacing"/>
              <w:ind w:firstLine="0"/>
              <w:jc w:val="right"/>
              <w:rPr>
                <w:rFonts w:cs="Calibri"/>
                <w:color w:val="000000"/>
              </w:rPr>
            </w:pPr>
            <w:r w:rsidRPr="00E26AA2">
              <w:rPr>
                <w:rFonts w:cs="Calibri"/>
                <w:color w:val="000000"/>
              </w:rPr>
              <w:t>1997</w:t>
            </w:r>
          </w:p>
        </w:tc>
        <w:tc>
          <w:tcPr>
            <w:tcW w:w="1170" w:type="pct"/>
            <w:noWrap/>
            <w:hideMark/>
          </w:tcPr>
          <w:p w14:paraId="5771D923" w14:textId="77777777" w:rsidR="00C755A0" w:rsidRPr="00986F39" w:rsidRDefault="00C755A0" w:rsidP="001A4831">
            <w:pPr>
              <w:pStyle w:val="NoSpacing"/>
              <w:ind w:firstLine="0"/>
              <w:jc w:val="right"/>
              <w:rPr>
                <w:rFonts w:cs="Calibri"/>
                <w:color w:val="000000"/>
              </w:rPr>
            </w:pPr>
            <w:r w:rsidRPr="00986F39">
              <w:rPr>
                <w:rFonts w:cs="Calibri"/>
                <w:color w:val="000000"/>
              </w:rPr>
              <w:t>15 (6.8)</w:t>
            </w:r>
          </w:p>
        </w:tc>
        <w:tc>
          <w:tcPr>
            <w:tcW w:w="931" w:type="pct"/>
            <w:noWrap/>
            <w:hideMark/>
          </w:tcPr>
          <w:p w14:paraId="45A3E7DC" w14:textId="77777777" w:rsidR="00C755A0" w:rsidRPr="00986F39" w:rsidRDefault="00C755A0" w:rsidP="001A4831">
            <w:pPr>
              <w:pStyle w:val="NoSpacing"/>
              <w:ind w:firstLine="0"/>
              <w:jc w:val="right"/>
              <w:rPr>
                <w:rFonts w:cs="Calibri"/>
                <w:color w:val="000000"/>
              </w:rPr>
            </w:pPr>
            <w:r w:rsidRPr="00986F39">
              <w:rPr>
                <w:rFonts w:cs="Calibri"/>
                <w:color w:val="000000"/>
              </w:rPr>
              <w:t>23 (10.4)</w:t>
            </w:r>
          </w:p>
        </w:tc>
        <w:tc>
          <w:tcPr>
            <w:tcW w:w="1225" w:type="pct"/>
            <w:noWrap/>
            <w:hideMark/>
          </w:tcPr>
          <w:p w14:paraId="3C02BC16" w14:textId="77777777" w:rsidR="00C755A0" w:rsidRPr="00986F39" w:rsidRDefault="00C755A0" w:rsidP="001A4831">
            <w:pPr>
              <w:pStyle w:val="NoSpacing"/>
              <w:ind w:firstLine="0"/>
              <w:jc w:val="right"/>
              <w:rPr>
                <w:rFonts w:cs="Calibri"/>
                <w:color w:val="000000"/>
              </w:rPr>
            </w:pPr>
          </w:p>
        </w:tc>
      </w:tr>
      <w:tr w:rsidR="00C755A0" w:rsidRPr="00986F39" w14:paraId="630A25E6" w14:textId="77777777" w:rsidTr="001A4831">
        <w:trPr>
          <w:trHeight w:val="300"/>
        </w:trPr>
        <w:tc>
          <w:tcPr>
            <w:tcW w:w="1674" w:type="pct"/>
            <w:noWrap/>
            <w:hideMark/>
          </w:tcPr>
          <w:p w14:paraId="3D59FFF7" w14:textId="77777777" w:rsidR="00C755A0" w:rsidRPr="00E26AA2" w:rsidRDefault="00C755A0" w:rsidP="001A4831">
            <w:pPr>
              <w:pStyle w:val="NoSpacing"/>
              <w:ind w:firstLine="0"/>
              <w:jc w:val="right"/>
              <w:rPr>
                <w:rFonts w:cs="Calibri"/>
                <w:color w:val="000000"/>
              </w:rPr>
            </w:pPr>
            <w:r w:rsidRPr="00E26AA2">
              <w:rPr>
                <w:rFonts w:cs="Calibri"/>
                <w:color w:val="000000"/>
              </w:rPr>
              <w:t>1998</w:t>
            </w:r>
          </w:p>
        </w:tc>
        <w:tc>
          <w:tcPr>
            <w:tcW w:w="1170" w:type="pct"/>
            <w:noWrap/>
            <w:hideMark/>
          </w:tcPr>
          <w:p w14:paraId="40BD7196" w14:textId="77777777" w:rsidR="00C755A0" w:rsidRPr="00986F39" w:rsidRDefault="00C755A0" w:rsidP="001A4831">
            <w:pPr>
              <w:pStyle w:val="NoSpacing"/>
              <w:ind w:firstLine="0"/>
              <w:jc w:val="right"/>
              <w:rPr>
                <w:rFonts w:cs="Calibri"/>
                <w:color w:val="000000"/>
              </w:rPr>
            </w:pPr>
            <w:r w:rsidRPr="00986F39">
              <w:rPr>
                <w:rFonts w:cs="Calibri"/>
                <w:color w:val="000000"/>
              </w:rPr>
              <w:t>27 (12.2)</w:t>
            </w:r>
          </w:p>
        </w:tc>
        <w:tc>
          <w:tcPr>
            <w:tcW w:w="931" w:type="pct"/>
            <w:noWrap/>
            <w:hideMark/>
          </w:tcPr>
          <w:p w14:paraId="3EBB4C94" w14:textId="77777777" w:rsidR="00C755A0" w:rsidRPr="00986F39" w:rsidRDefault="00C755A0" w:rsidP="001A4831">
            <w:pPr>
              <w:pStyle w:val="NoSpacing"/>
              <w:ind w:firstLine="0"/>
              <w:jc w:val="right"/>
              <w:rPr>
                <w:rFonts w:cs="Calibri"/>
                <w:color w:val="000000"/>
              </w:rPr>
            </w:pPr>
            <w:r w:rsidRPr="00986F39">
              <w:rPr>
                <w:rFonts w:cs="Calibri"/>
                <w:color w:val="000000"/>
              </w:rPr>
              <w:t>17 (7.7)</w:t>
            </w:r>
          </w:p>
        </w:tc>
        <w:tc>
          <w:tcPr>
            <w:tcW w:w="1225" w:type="pct"/>
            <w:noWrap/>
            <w:hideMark/>
          </w:tcPr>
          <w:p w14:paraId="32758F60" w14:textId="77777777" w:rsidR="00C755A0" w:rsidRPr="00986F39" w:rsidRDefault="00C755A0" w:rsidP="001A4831">
            <w:pPr>
              <w:pStyle w:val="NoSpacing"/>
              <w:ind w:firstLine="0"/>
              <w:jc w:val="right"/>
              <w:rPr>
                <w:rFonts w:cs="Calibri"/>
                <w:color w:val="000000"/>
              </w:rPr>
            </w:pPr>
          </w:p>
        </w:tc>
      </w:tr>
      <w:tr w:rsidR="00C755A0" w:rsidRPr="00986F39" w14:paraId="61E248AD"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175CC219" w14:textId="77777777" w:rsidR="00C755A0" w:rsidRPr="00E26AA2" w:rsidRDefault="00C755A0" w:rsidP="001A4831">
            <w:pPr>
              <w:pStyle w:val="NoSpacing"/>
              <w:ind w:firstLine="0"/>
              <w:jc w:val="right"/>
              <w:rPr>
                <w:rFonts w:cs="Calibri"/>
                <w:color w:val="000000"/>
              </w:rPr>
            </w:pPr>
            <w:r w:rsidRPr="00E26AA2">
              <w:rPr>
                <w:rFonts w:cs="Calibri"/>
                <w:color w:val="000000"/>
              </w:rPr>
              <w:t>1999</w:t>
            </w:r>
          </w:p>
        </w:tc>
        <w:tc>
          <w:tcPr>
            <w:tcW w:w="1170" w:type="pct"/>
            <w:noWrap/>
            <w:hideMark/>
          </w:tcPr>
          <w:p w14:paraId="5C8EEEE1" w14:textId="77777777" w:rsidR="00C755A0" w:rsidRPr="00986F39" w:rsidRDefault="00C755A0" w:rsidP="001A4831">
            <w:pPr>
              <w:pStyle w:val="NoSpacing"/>
              <w:ind w:firstLine="0"/>
              <w:jc w:val="right"/>
              <w:rPr>
                <w:rFonts w:cs="Calibri"/>
                <w:color w:val="000000"/>
              </w:rPr>
            </w:pPr>
            <w:r w:rsidRPr="00986F39">
              <w:rPr>
                <w:rFonts w:cs="Calibri"/>
                <w:color w:val="000000"/>
              </w:rPr>
              <w:t>27 (12.2)</w:t>
            </w:r>
          </w:p>
        </w:tc>
        <w:tc>
          <w:tcPr>
            <w:tcW w:w="931" w:type="pct"/>
            <w:noWrap/>
            <w:hideMark/>
          </w:tcPr>
          <w:p w14:paraId="726F179C" w14:textId="77777777" w:rsidR="00C755A0" w:rsidRPr="00986F39" w:rsidRDefault="00C755A0" w:rsidP="001A4831">
            <w:pPr>
              <w:pStyle w:val="NoSpacing"/>
              <w:ind w:firstLine="0"/>
              <w:jc w:val="right"/>
              <w:rPr>
                <w:rFonts w:cs="Calibri"/>
                <w:color w:val="000000"/>
              </w:rPr>
            </w:pPr>
            <w:r w:rsidRPr="00986F39">
              <w:rPr>
                <w:rFonts w:cs="Calibri"/>
                <w:color w:val="000000"/>
              </w:rPr>
              <w:t>34 (15.3)</w:t>
            </w:r>
          </w:p>
        </w:tc>
        <w:tc>
          <w:tcPr>
            <w:tcW w:w="1225" w:type="pct"/>
            <w:noWrap/>
            <w:hideMark/>
          </w:tcPr>
          <w:p w14:paraId="2AE9AEC3" w14:textId="77777777" w:rsidR="00C755A0" w:rsidRPr="00986F39" w:rsidRDefault="00C755A0" w:rsidP="001A4831">
            <w:pPr>
              <w:pStyle w:val="NoSpacing"/>
              <w:ind w:firstLine="0"/>
              <w:jc w:val="right"/>
              <w:rPr>
                <w:rFonts w:cs="Calibri"/>
                <w:color w:val="000000"/>
              </w:rPr>
            </w:pPr>
          </w:p>
        </w:tc>
      </w:tr>
      <w:tr w:rsidR="00C755A0" w:rsidRPr="00986F39" w14:paraId="3D7D0617" w14:textId="77777777" w:rsidTr="001A4831">
        <w:trPr>
          <w:trHeight w:val="300"/>
        </w:trPr>
        <w:tc>
          <w:tcPr>
            <w:tcW w:w="1674" w:type="pct"/>
            <w:noWrap/>
            <w:hideMark/>
          </w:tcPr>
          <w:p w14:paraId="410B0CE2" w14:textId="77777777" w:rsidR="00C755A0" w:rsidRPr="00E26AA2" w:rsidRDefault="00C755A0" w:rsidP="001A4831">
            <w:pPr>
              <w:pStyle w:val="NoSpacing"/>
              <w:ind w:firstLine="0"/>
              <w:jc w:val="right"/>
              <w:rPr>
                <w:rFonts w:cs="Calibri"/>
                <w:color w:val="000000"/>
              </w:rPr>
            </w:pPr>
            <w:r w:rsidRPr="00E26AA2">
              <w:rPr>
                <w:rFonts w:cs="Calibri"/>
                <w:color w:val="000000"/>
              </w:rPr>
              <w:t>2000</w:t>
            </w:r>
          </w:p>
        </w:tc>
        <w:tc>
          <w:tcPr>
            <w:tcW w:w="1170" w:type="pct"/>
            <w:noWrap/>
            <w:hideMark/>
          </w:tcPr>
          <w:p w14:paraId="5FFA137D" w14:textId="77777777" w:rsidR="00C755A0" w:rsidRPr="00986F39" w:rsidRDefault="00C755A0" w:rsidP="001A4831">
            <w:pPr>
              <w:pStyle w:val="NoSpacing"/>
              <w:ind w:firstLine="0"/>
              <w:jc w:val="right"/>
              <w:rPr>
                <w:rFonts w:cs="Calibri"/>
                <w:color w:val="000000"/>
              </w:rPr>
            </w:pPr>
            <w:r w:rsidRPr="00986F39">
              <w:rPr>
                <w:rFonts w:cs="Calibri"/>
                <w:color w:val="000000"/>
              </w:rPr>
              <w:t>26 (11.7)</w:t>
            </w:r>
          </w:p>
        </w:tc>
        <w:tc>
          <w:tcPr>
            <w:tcW w:w="931" w:type="pct"/>
            <w:noWrap/>
            <w:hideMark/>
          </w:tcPr>
          <w:p w14:paraId="17CA9700" w14:textId="77777777" w:rsidR="00C755A0" w:rsidRPr="00986F39" w:rsidRDefault="00C755A0" w:rsidP="001A4831">
            <w:pPr>
              <w:pStyle w:val="NoSpacing"/>
              <w:ind w:firstLine="0"/>
              <w:jc w:val="right"/>
              <w:rPr>
                <w:rFonts w:cs="Calibri"/>
                <w:color w:val="000000"/>
              </w:rPr>
            </w:pPr>
            <w:r w:rsidRPr="00986F39">
              <w:rPr>
                <w:rFonts w:cs="Calibri"/>
                <w:color w:val="000000"/>
              </w:rPr>
              <w:t>24 (10.8)</w:t>
            </w:r>
          </w:p>
        </w:tc>
        <w:tc>
          <w:tcPr>
            <w:tcW w:w="1225" w:type="pct"/>
            <w:noWrap/>
            <w:hideMark/>
          </w:tcPr>
          <w:p w14:paraId="520FA6C0" w14:textId="77777777" w:rsidR="00C755A0" w:rsidRPr="00986F39" w:rsidRDefault="00C755A0" w:rsidP="001A4831">
            <w:pPr>
              <w:pStyle w:val="NoSpacing"/>
              <w:ind w:firstLine="0"/>
              <w:jc w:val="right"/>
              <w:rPr>
                <w:rFonts w:cs="Calibri"/>
                <w:color w:val="000000"/>
              </w:rPr>
            </w:pPr>
          </w:p>
        </w:tc>
      </w:tr>
      <w:tr w:rsidR="00C755A0" w:rsidRPr="00986F39" w14:paraId="58EB0B3E"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005F813E" w14:textId="77777777" w:rsidR="00C755A0" w:rsidRPr="00E26AA2" w:rsidRDefault="00C755A0" w:rsidP="001A4831">
            <w:pPr>
              <w:pStyle w:val="NoSpacing"/>
              <w:ind w:firstLine="0"/>
              <w:jc w:val="right"/>
              <w:rPr>
                <w:rFonts w:cs="Calibri"/>
                <w:color w:val="000000"/>
              </w:rPr>
            </w:pPr>
            <w:r w:rsidRPr="00E26AA2">
              <w:rPr>
                <w:rFonts w:cs="Calibri"/>
                <w:color w:val="000000"/>
              </w:rPr>
              <w:t>2001</w:t>
            </w:r>
          </w:p>
        </w:tc>
        <w:tc>
          <w:tcPr>
            <w:tcW w:w="1170" w:type="pct"/>
            <w:noWrap/>
            <w:hideMark/>
          </w:tcPr>
          <w:p w14:paraId="6AEDD5AD" w14:textId="77777777" w:rsidR="00C755A0" w:rsidRPr="00986F39" w:rsidRDefault="00C755A0" w:rsidP="001A4831">
            <w:pPr>
              <w:pStyle w:val="NoSpacing"/>
              <w:ind w:firstLine="0"/>
              <w:jc w:val="right"/>
              <w:rPr>
                <w:rFonts w:cs="Calibri"/>
                <w:color w:val="000000"/>
              </w:rPr>
            </w:pPr>
            <w:r w:rsidRPr="00986F39">
              <w:rPr>
                <w:rFonts w:cs="Calibri"/>
                <w:color w:val="000000"/>
              </w:rPr>
              <w:t>32 (14.4)</w:t>
            </w:r>
          </w:p>
        </w:tc>
        <w:tc>
          <w:tcPr>
            <w:tcW w:w="931" w:type="pct"/>
            <w:noWrap/>
            <w:hideMark/>
          </w:tcPr>
          <w:p w14:paraId="412B49DB" w14:textId="77777777" w:rsidR="00C755A0" w:rsidRPr="00986F39" w:rsidRDefault="00C755A0" w:rsidP="001A4831">
            <w:pPr>
              <w:pStyle w:val="NoSpacing"/>
              <w:ind w:firstLine="0"/>
              <w:jc w:val="right"/>
              <w:rPr>
                <w:rFonts w:cs="Calibri"/>
                <w:color w:val="000000"/>
              </w:rPr>
            </w:pPr>
            <w:r w:rsidRPr="00986F39">
              <w:rPr>
                <w:rFonts w:cs="Calibri"/>
                <w:color w:val="000000"/>
              </w:rPr>
              <w:t>29 (13.1)</w:t>
            </w:r>
          </w:p>
        </w:tc>
        <w:tc>
          <w:tcPr>
            <w:tcW w:w="1225" w:type="pct"/>
            <w:noWrap/>
            <w:hideMark/>
          </w:tcPr>
          <w:p w14:paraId="34BD3019" w14:textId="77777777" w:rsidR="00C755A0" w:rsidRPr="00986F39" w:rsidRDefault="00C755A0" w:rsidP="001A4831">
            <w:pPr>
              <w:pStyle w:val="NoSpacing"/>
              <w:ind w:firstLine="0"/>
              <w:jc w:val="right"/>
              <w:rPr>
                <w:rFonts w:cs="Calibri"/>
                <w:color w:val="000000"/>
              </w:rPr>
            </w:pPr>
          </w:p>
        </w:tc>
      </w:tr>
      <w:tr w:rsidR="00C755A0" w:rsidRPr="00986F39" w14:paraId="0A4AA198" w14:textId="77777777" w:rsidTr="001A4831">
        <w:trPr>
          <w:trHeight w:val="300"/>
        </w:trPr>
        <w:tc>
          <w:tcPr>
            <w:tcW w:w="1674" w:type="pct"/>
            <w:noWrap/>
            <w:hideMark/>
          </w:tcPr>
          <w:p w14:paraId="4C1B3366" w14:textId="77777777" w:rsidR="00C755A0" w:rsidRPr="00E26AA2" w:rsidRDefault="00C755A0" w:rsidP="001A4831">
            <w:pPr>
              <w:pStyle w:val="NoSpacing"/>
              <w:ind w:firstLine="0"/>
              <w:jc w:val="right"/>
              <w:rPr>
                <w:rFonts w:cs="Calibri"/>
                <w:color w:val="000000"/>
              </w:rPr>
            </w:pPr>
            <w:r w:rsidRPr="00E26AA2">
              <w:rPr>
                <w:rFonts w:cs="Calibri"/>
                <w:color w:val="000000"/>
              </w:rPr>
              <w:t>2002</w:t>
            </w:r>
          </w:p>
        </w:tc>
        <w:tc>
          <w:tcPr>
            <w:tcW w:w="1170" w:type="pct"/>
            <w:noWrap/>
            <w:hideMark/>
          </w:tcPr>
          <w:p w14:paraId="4A8F9CC8" w14:textId="77777777" w:rsidR="00C755A0" w:rsidRPr="00986F39" w:rsidRDefault="00C755A0" w:rsidP="001A4831">
            <w:pPr>
              <w:pStyle w:val="NoSpacing"/>
              <w:ind w:firstLine="0"/>
              <w:jc w:val="right"/>
              <w:rPr>
                <w:rFonts w:cs="Calibri"/>
                <w:color w:val="000000"/>
              </w:rPr>
            </w:pPr>
            <w:r w:rsidRPr="00986F39">
              <w:rPr>
                <w:rFonts w:cs="Calibri"/>
                <w:color w:val="000000"/>
              </w:rPr>
              <w:t>28 (12.6)</w:t>
            </w:r>
          </w:p>
        </w:tc>
        <w:tc>
          <w:tcPr>
            <w:tcW w:w="931" w:type="pct"/>
            <w:noWrap/>
            <w:hideMark/>
          </w:tcPr>
          <w:p w14:paraId="027E7E80" w14:textId="77777777" w:rsidR="00C755A0" w:rsidRPr="00986F39" w:rsidRDefault="00C755A0" w:rsidP="001A4831">
            <w:pPr>
              <w:pStyle w:val="NoSpacing"/>
              <w:ind w:firstLine="0"/>
              <w:jc w:val="right"/>
              <w:rPr>
                <w:rFonts w:cs="Calibri"/>
                <w:color w:val="000000"/>
              </w:rPr>
            </w:pPr>
            <w:r w:rsidRPr="00986F39">
              <w:rPr>
                <w:rFonts w:cs="Calibri"/>
                <w:color w:val="000000"/>
              </w:rPr>
              <w:t>14 (6.3)</w:t>
            </w:r>
          </w:p>
        </w:tc>
        <w:tc>
          <w:tcPr>
            <w:tcW w:w="1225" w:type="pct"/>
            <w:noWrap/>
            <w:hideMark/>
          </w:tcPr>
          <w:p w14:paraId="49C79FCF" w14:textId="77777777" w:rsidR="00C755A0" w:rsidRPr="00986F39" w:rsidRDefault="00C755A0" w:rsidP="001A4831">
            <w:pPr>
              <w:pStyle w:val="NoSpacing"/>
              <w:ind w:firstLine="0"/>
              <w:jc w:val="right"/>
              <w:rPr>
                <w:rFonts w:cs="Calibri"/>
                <w:color w:val="000000"/>
              </w:rPr>
            </w:pPr>
          </w:p>
        </w:tc>
      </w:tr>
      <w:tr w:rsidR="00C755A0" w:rsidRPr="00986F39" w14:paraId="7D48D8E2" w14:textId="77777777" w:rsidTr="00F340C5">
        <w:trPr>
          <w:cnfStyle w:val="000000100000" w:firstRow="0" w:lastRow="0" w:firstColumn="0" w:lastColumn="0" w:oddVBand="0" w:evenVBand="0" w:oddHBand="1" w:evenHBand="0" w:firstRowFirstColumn="0" w:firstRowLastColumn="0" w:lastRowFirstColumn="0" w:lastRowLastColumn="0"/>
          <w:trHeight w:val="300"/>
        </w:trPr>
        <w:tc>
          <w:tcPr>
            <w:tcW w:w="1674" w:type="pct"/>
            <w:noWrap/>
            <w:hideMark/>
          </w:tcPr>
          <w:p w14:paraId="6C260315" w14:textId="77777777" w:rsidR="00C755A0" w:rsidRPr="00E26AA2" w:rsidRDefault="00C755A0" w:rsidP="001A4831">
            <w:pPr>
              <w:pStyle w:val="NoSpacing"/>
              <w:ind w:firstLine="0"/>
              <w:jc w:val="right"/>
              <w:rPr>
                <w:rFonts w:cs="Calibri"/>
                <w:color w:val="000000"/>
              </w:rPr>
            </w:pPr>
            <w:r w:rsidRPr="00E26AA2">
              <w:rPr>
                <w:rFonts w:cs="Calibri"/>
                <w:color w:val="000000"/>
              </w:rPr>
              <w:t>2003</w:t>
            </w:r>
          </w:p>
        </w:tc>
        <w:tc>
          <w:tcPr>
            <w:tcW w:w="1170" w:type="pct"/>
            <w:noWrap/>
            <w:hideMark/>
          </w:tcPr>
          <w:p w14:paraId="095125AF" w14:textId="77777777" w:rsidR="00C755A0" w:rsidRPr="00986F39" w:rsidRDefault="00C755A0" w:rsidP="001A4831">
            <w:pPr>
              <w:pStyle w:val="NoSpacing"/>
              <w:ind w:firstLine="0"/>
              <w:jc w:val="right"/>
              <w:rPr>
                <w:rFonts w:cs="Calibri"/>
                <w:color w:val="000000"/>
              </w:rPr>
            </w:pPr>
            <w:r w:rsidRPr="00986F39">
              <w:rPr>
                <w:rFonts w:cs="Calibri"/>
                <w:color w:val="000000"/>
              </w:rPr>
              <w:t>21(9.5)</w:t>
            </w:r>
          </w:p>
        </w:tc>
        <w:tc>
          <w:tcPr>
            <w:tcW w:w="931" w:type="pct"/>
            <w:noWrap/>
            <w:hideMark/>
          </w:tcPr>
          <w:p w14:paraId="091F512A" w14:textId="77777777" w:rsidR="00C755A0" w:rsidRPr="00986F39" w:rsidRDefault="00C755A0" w:rsidP="001A4831">
            <w:pPr>
              <w:pStyle w:val="NoSpacing"/>
              <w:ind w:firstLine="0"/>
              <w:jc w:val="right"/>
              <w:rPr>
                <w:rFonts w:cs="Calibri"/>
                <w:color w:val="000000"/>
              </w:rPr>
            </w:pPr>
            <w:r w:rsidRPr="00986F39">
              <w:rPr>
                <w:rFonts w:cs="Calibri"/>
                <w:color w:val="000000"/>
              </w:rPr>
              <w:t>21 (9.5)</w:t>
            </w:r>
          </w:p>
        </w:tc>
        <w:tc>
          <w:tcPr>
            <w:tcW w:w="1225" w:type="pct"/>
            <w:noWrap/>
            <w:hideMark/>
          </w:tcPr>
          <w:p w14:paraId="117980A4" w14:textId="77777777" w:rsidR="00C755A0" w:rsidRPr="00986F39" w:rsidRDefault="00C755A0" w:rsidP="001A4831">
            <w:pPr>
              <w:pStyle w:val="NoSpacing"/>
              <w:ind w:firstLine="0"/>
              <w:jc w:val="right"/>
              <w:rPr>
                <w:rFonts w:cs="Calibri"/>
                <w:color w:val="000000"/>
              </w:rPr>
            </w:pPr>
          </w:p>
        </w:tc>
      </w:tr>
      <w:tr w:rsidR="00C755A0" w:rsidRPr="00986F39" w14:paraId="62C722BD" w14:textId="77777777" w:rsidTr="00F340C5">
        <w:trPr>
          <w:trHeight w:val="300"/>
        </w:trPr>
        <w:tc>
          <w:tcPr>
            <w:tcW w:w="1674" w:type="pct"/>
            <w:tcBorders>
              <w:bottom w:val="single" w:sz="4" w:space="0" w:color="auto"/>
            </w:tcBorders>
            <w:noWrap/>
            <w:hideMark/>
          </w:tcPr>
          <w:p w14:paraId="6EB556FA" w14:textId="77777777" w:rsidR="00C755A0" w:rsidRPr="00E26AA2" w:rsidRDefault="00C755A0" w:rsidP="001A4831">
            <w:pPr>
              <w:pStyle w:val="NoSpacing"/>
              <w:ind w:firstLine="0"/>
              <w:jc w:val="right"/>
              <w:rPr>
                <w:rFonts w:cs="Calibri"/>
                <w:color w:val="000000"/>
              </w:rPr>
            </w:pPr>
            <w:r w:rsidRPr="00E26AA2">
              <w:rPr>
                <w:rFonts w:cs="Calibri"/>
                <w:color w:val="000000"/>
              </w:rPr>
              <w:t>2004</w:t>
            </w:r>
          </w:p>
        </w:tc>
        <w:tc>
          <w:tcPr>
            <w:tcW w:w="1170" w:type="pct"/>
            <w:tcBorders>
              <w:bottom w:val="single" w:sz="4" w:space="0" w:color="auto"/>
            </w:tcBorders>
            <w:noWrap/>
            <w:hideMark/>
          </w:tcPr>
          <w:p w14:paraId="3DD69ED8" w14:textId="77777777" w:rsidR="00C755A0" w:rsidRPr="00986F39" w:rsidRDefault="00C755A0" w:rsidP="001A4831">
            <w:pPr>
              <w:pStyle w:val="NoSpacing"/>
              <w:ind w:firstLine="0"/>
              <w:jc w:val="right"/>
              <w:rPr>
                <w:rFonts w:cs="Calibri"/>
                <w:color w:val="000000"/>
              </w:rPr>
            </w:pPr>
            <w:r w:rsidRPr="00986F39">
              <w:rPr>
                <w:rFonts w:cs="Calibri"/>
                <w:color w:val="000000"/>
              </w:rPr>
              <w:t>16 (7.2)</w:t>
            </w:r>
          </w:p>
        </w:tc>
        <w:tc>
          <w:tcPr>
            <w:tcW w:w="931" w:type="pct"/>
            <w:tcBorders>
              <w:bottom w:val="single" w:sz="4" w:space="0" w:color="auto"/>
            </w:tcBorders>
            <w:noWrap/>
            <w:hideMark/>
          </w:tcPr>
          <w:p w14:paraId="6D989F34" w14:textId="77777777" w:rsidR="00C755A0" w:rsidRPr="00986F39" w:rsidRDefault="00C755A0" w:rsidP="001A4831">
            <w:pPr>
              <w:pStyle w:val="NoSpacing"/>
              <w:ind w:firstLine="0"/>
              <w:jc w:val="right"/>
              <w:rPr>
                <w:rFonts w:cs="Calibri"/>
                <w:color w:val="000000"/>
              </w:rPr>
            </w:pPr>
            <w:r w:rsidRPr="00986F39">
              <w:rPr>
                <w:rFonts w:cs="Calibri"/>
                <w:color w:val="000000"/>
              </w:rPr>
              <w:t>17 (7.7)</w:t>
            </w:r>
          </w:p>
        </w:tc>
        <w:tc>
          <w:tcPr>
            <w:tcW w:w="1225" w:type="pct"/>
            <w:tcBorders>
              <w:bottom w:val="single" w:sz="4" w:space="0" w:color="auto"/>
            </w:tcBorders>
            <w:noWrap/>
            <w:hideMark/>
          </w:tcPr>
          <w:p w14:paraId="13208CD2" w14:textId="77777777" w:rsidR="00C755A0" w:rsidRPr="00986F39" w:rsidRDefault="00C755A0" w:rsidP="001A4831">
            <w:pPr>
              <w:pStyle w:val="NoSpacing"/>
              <w:ind w:firstLine="0"/>
              <w:jc w:val="right"/>
              <w:rPr>
                <w:rFonts w:cs="Calibri"/>
                <w:color w:val="000000"/>
              </w:rPr>
            </w:pPr>
          </w:p>
        </w:tc>
      </w:tr>
    </w:tbl>
    <w:p w14:paraId="590B502F" w14:textId="77777777" w:rsidR="00E26AA2" w:rsidRDefault="00E26AA2">
      <w:pPr>
        <w:spacing w:after="160" w:line="259" w:lineRule="auto"/>
        <w:ind w:firstLine="0"/>
      </w:pPr>
      <w:r>
        <w:br w:type="page"/>
      </w:r>
    </w:p>
    <w:p w14:paraId="7BFE4B6C" w14:textId="5F356BCD" w:rsidR="00C755A0" w:rsidRDefault="00C755A0" w:rsidP="00C755A0">
      <w:pPr>
        <w:pStyle w:val="TableName"/>
      </w:pPr>
      <w:bookmarkStart w:id="216" w:name="_Toc148375820"/>
      <w:r>
        <w:lastRenderedPageBreak/>
        <w:t xml:space="preserve">Table </w:t>
      </w:r>
      <w:r w:rsidR="00E26AA2">
        <w:t>VIII</w:t>
      </w:r>
      <w:r>
        <w:t>. Association between tumor characteristics and race/ethnicity among people diagnosed with colorectal cancer at UI Health, 1995-2004</w:t>
      </w:r>
      <w:bookmarkEnd w:id="216"/>
    </w:p>
    <w:tbl>
      <w:tblPr>
        <w:tblStyle w:val="PlainTable3"/>
        <w:tblW w:w="5000" w:type="pct"/>
        <w:tblLook w:val="0420" w:firstRow="1" w:lastRow="0" w:firstColumn="0" w:lastColumn="0" w:noHBand="0" w:noVBand="1"/>
      </w:tblPr>
      <w:tblGrid>
        <w:gridCol w:w="3406"/>
        <w:gridCol w:w="1298"/>
        <w:gridCol w:w="1301"/>
        <w:gridCol w:w="1303"/>
        <w:gridCol w:w="1303"/>
        <w:gridCol w:w="749"/>
      </w:tblGrid>
      <w:tr w:rsidR="00C755A0" w14:paraId="6D9FF358" w14:textId="77777777" w:rsidTr="001A4831">
        <w:trPr>
          <w:cnfStyle w:val="100000000000" w:firstRow="1" w:lastRow="0" w:firstColumn="0" w:lastColumn="0" w:oddVBand="0" w:evenVBand="0" w:oddHBand="0" w:evenHBand="0" w:firstRowFirstColumn="0" w:firstRowLastColumn="0" w:lastRowFirstColumn="0" w:lastRowLastColumn="0"/>
        </w:trPr>
        <w:tc>
          <w:tcPr>
            <w:tcW w:w="1820" w:type="pct"/>
          </w:tcPr>
          <w:p w14:paraId="65A05E8D" w14:textId="77777777" w:rsidR="00C755A0" w:rsidRPr="00CB3AB5" w:rsidRDefault="00C755A0" w:rsidP="00E26AA2">
            <w:pPr>
              <w:spacing w:line="240" w:lineRule="auto"/>
              <w:ind w:firstLine="0"/>
              <w:contextualSpacing/>
              <w:rPr>
                <w:b w:val="0"/>
                <w:bCs w:val="0"/>
              </w:rPr>
            </w:pPr>
          </w:p>
        </w:tc>
        <w:tc>
          <w:tcPr>
            <w:tcW w:w="694" w:type="pct"/>
          </w:tcPr>
          <w:p w14:paraId="54582BDA" w14:textId="77777777" w:rsidR="00C755A0" w:rsidRPr="003A1D52" w:rsidRDefault="00C755A0" w:rsidP="00E26AA2">
            <w:pPr>
              <w:spacing w:line="240" w:lineRule="auto"/>
              <w:ind w:firstLine="0"/>
              <w:contextualSpacing/>
              <w:jc w:val="right"/>
              <w:rPr>
                <w:caps w:val="0"/>
              </w:rPr>
            </w:pPr>
            <w:r w:rsidRPr="003A1D52">
              <w:rPr>
                <w:caps w:val="0"/>
              </w:rPr>
              <w:t>NHW</w:t>
            </w:r>
          </w:p>
        </w:tc>
        <w:tc>
          <w:tcPr>
            <w:tcW w:w="695" w:type="pct"/>
          </w:tcPr>
          <w:p w14:paraId="559721DC" w14:textId="77777777" w:rsidR="00C755A0" w:rsidRPr="003A1D52" w:rsidRDefault="00C755A0" w:rsidP="00E26AA2">
            <w:pPr>
              <w:spacing w:line="240" w:lineRule="auto"/>
              <w:ind w:firstLine="0"/>
              <w:contextualSpacing/>
              <w:jc w:val="right"/>
              <w:rPr>
                <w:caps w:val="0"/>
              </w:rPr>
            </w:pPr>
            <w:r w:rsidRPr="003A1D52">
              <w:rPr>
                <w:caps w:val="0"/>
              </w:rPr>
              <w:t>NHB</w:t>
            </w:r>
          </w:p>
        </w:tc>
        <w:tc>
          <w:tcPr>
            <w:tcW w:w="696" w:type="pct"/>
          </w:tcPr>
          <w:p w14:paraId="21FAE2B2" w14:textId="77777777" w:rsidR="00C755A0" w:rsidRPr="003A1D52" w:rsidRDefault="00C755A0" w:rsidP="00E26AA2">
            <w:pPr>
              <w:spacing w:line="240" w:lineRule="auto"/>
              <w:ind w:firstLine="0"/>
              <w:contextualSpacing/>
              <w:jc w:val="right"/>
              <w:rPr>
                <w:caps w:val="0"/>
              </w:rPr>
            </w:pPr>
            <w:r w:rsidRPr="003A1D52">
              <w:rPr>
                <w:caps w:val="0"/>
              </w:rPr>
              <w:t>Hispanic</w:t>
            </w:r>
          </w:p>
        </w:tc>
        <w:tc>
          <w:tcPr>
            <w:tcW w:w="696" w:type="pct"/>
          </w:tcPr>
          <w:p w14:paraId="30D77E1D" w14:textId="77777777" w:rsidR="00C755A0" w:rsidRPr="003A1D52" w:rsidRDefault="00C755A0" w:rsidP="00E26AA2">
            <w:pPr>
              <w:spacing w:line="240" w:lineRule="auto"/>
              <w:ind w:firstLine="0"/>
              <w:contextualSpacing/>
              <w:jc w:val="right"/>
              <w:rPr>
                <w:caps w:val="0"/>
              </w:rPr>
            </w:pPr>
            <w:r w:rsidRPr="003A1D52">
              <w:rPr>
                <w:caps w:val="0"/>
              </w:rPr>
              <w:t>Other</w:t>
            </w:r>
          </w:p>
        </w:tc>
        <w:tc>
          <w:tcPr>
            <w:tcW w:w="400" w:type="pct"/>
          </w:tcPr>
          <w:p w14:paraId="560DE1E5" w14:textId="77777777" w:rsidR="00C755A0" w:rsidRPr="003A1D52" w:rsidRDefault="00C755A0" w:rsidP="00E26AA2">
            <w:pPr>
              <w:spacing w:line="240" w:lineRule="auto"/>
              <w:ind w:firstLine="0"/>
              <w:contextualSpacing/>
              <w:jc w:val="right"/>
              <w:rPr>
                <w:caps w:val="0"/>
              </w:rPr>
            </w:pPr>
            <w:r w:rsidRPr="003A1D52">
              <w:rPr>
                <w:caps w:val="0"/>
              </w:rPr>
              <w:t>p</w:t>
            </w:r>
          </w:p>
        </w:tc>
      </w:tr>
      <w:tr w:rsidR="00C755A0" w14:paraId="79945A3F" w14:textId="77777777" w:rsidTr="001A4831">
        <w:trPr>
          <w:cnfStyle w:val="000000100000" w:firstRow="0" w:lastRow="0" w:firstColumn="0" w:lastColumn="0" w:oddVBand="0" w:evenVBand="0" w:oddHBand="1" w:evenHBand="0" w:firstRowFirstColumn="0" w:firstRowLastColumn="0" w:lastRowFirstColumn="0" w:lastRowLastColumn="0"/>
        </w:trPr>
        <w:tc>
          <w:tcPr>
            <w:tcW w:w="1820" w:type="pct"/>
          </w:tcPr>
          <w:p w14:paraId="2C47590D" w14:textId="77777777" w:rsidR="00C755A0" w:rsidRPr="003A1D52" w:rsidRDefault="00C755A0" w:rsidP="00E26AA2">
            <w:pPr>
              <w:spacing w:line="240" w:lineRule="auto"/>
              <w:ind w:firstLine="0"/>
              <w:contextualSpacing/>
              <w:rPr>
                <w:b/>
                <w:bCs/>
              </w:rPr>
            </w:pPr>
            <w:r w:rsidRPr="003A1D52">
              <w:rPr>
                <w:b/>
                <w:bCs/>
              </w:rPr>
              <w:t>N</w:t>
            </w:r>
          </w:p>
        </w:tc>
        <w:tc>
          <w:tcPr>
            <w:tcW w:w="694" w:type="pct"/>
          </w:tcPr>
          <w:p w14:paraId="483018B8" w14:textId="77777777" w:rsidR="00C755A0" w:rsidRDefault="00C755A0" w:rsidP="00E26AA2">
            <w:pPr>
              <w:spacing w:line="240" w:lineRule="auto"/>
              <w:ind w:firstLine="0"/>
              <w:contextualSpacing/>
              <w:jc w:val="right"/>
            </w:pPr>
            <w:r>
              <w:t>143</w:t>
            </w:r>
          </w:p>
        </w:tc>
        <w:tc>
          <w:tcPr>
            <w:tcW w:w="695" w:type="pct"/>
          </w:tcPr>
          <w:p w14:paraId="7831323E" w14:textId="77777777" w:rsidR="00C755A0" w:rsidRDefault="00C755A0" w:rsidP="00E26AA2">
            <w:pPr>
              <w:spacing w:line="240" w:lineRule="auto"/>
              <w:ind w:firstLine="0"/>
              <w:contextualSpacing/>
              <w:jc w:val="right"/>
            </w:pPr>
            <w:r>
              <w:t>217</w:t>
            </w:r>
          </w:p>
        </w:tc>
        <w:tc>
          <w:tcPr>
            <w:tcW w:w="696" w:type="pct"/>
          </w:tcPr>
          <w:p w14:paraId="126167D7" w14:textId="77777777" w:rsidR="00C755A0" w:rsidRDefault="00C755A0" w:rsidP="00E26AA2">
            <w:pPr>
              <w:spacing w:line="240" w:lineRule="auto"/>
              <w:ind w:firstLine="0"/>
              <w:contextualSpacing/>
              <w:jc w:val="right"/>
            </w:pPr>
            <w:r>
              <w:t>64</w:t>
            </w:r>
          </w:p>
        </w:tc>
        <w:tc>
          <w:tcPr>
            <w:tcW w:w="696" w:type="pct"/>
          </w:tcPr>
          <w:p w14:paraId="3DD96B90" w14:textId="77777777" w:rsidR="00C755A0" w:rsidRDefault="00C755A0" w:rsidP="00E26AA2">
            <w:pPr>
              <w:spacing w:line="240" w:lineRule="auto"/>
              <w:ind w:firstLine="0"/>
              <w:contextualSpacing/>
              <w:jc w:val="right"/>
            </w:pPr>
            <w:r>
              <w:t>20</w:t>
            </w:r>
          </w:p>
        </w:tc>
        <w:tc>
          <w:tcPr>
            <w:tcW w:w="400" w:type="pct"/>
          </w:tcPr>
          <w:p w14:paraId="59003F97" w14:textId="77777777" w:rsidR="00C755A0" w:rsidRDefault="00C755A0" w:rsidP="00E26AA2">
            <w:pPr>
              <w:spacing w:line="240" w:lineRule="auto"/>
              <w:ind w:firstLine="0"/>
              <w:contextualSpacing/>
              <w:jc w:val="right"/>
            </w:pPr>
          </w:p>
        </w:tc>
      </w:tr>
      <w:tr w:rsidR="00C755A0" w14:paraId="7A34B88B" w14:textId="77777777" w:rsidTr="001A4831">
        <w:tc>
          <w:tcPr>
            <w:tcW w:w="1820" w:type="pct"/>
          </w:tcPr>
          <w:p w14:paraId="4B570D49" w14:textId="77777777" w:rsidR="00C755A0" w:rsidRPr="003A1D52" w:rsidRDefault="00C755A0" w:rsidP="00E26AA2">
            <w:pPr>
              <w:spacing w:line="240" w:lineRule="auto"/>
              <w:ind w:firstLine="0"/>
              <w:contextualSpacing/>
              <w:rPr>
                <w:b/>
                <w:bCs/>
              </w:rPr>
            </w:pPr>
            <w:r w:rsidRPr="003A1D52">
              <w:rPr>
                <w:b/>
                <w:bCs/>
              </w:rPr>
              <w:t>Stage at Diagnosis (%)</w:t>
            </w:r>
          </w:p>
        </w:tc>
        <w:tc>
          <w:tcPr>
            <w:tcW w:w="694" w:type="pct"/>
          </w:tcPr>
          <w:p w14:paraId="65A580A9" w14:textId="77777777" w:rsidR="00C755A0" w:rsidRDefault="00C755A0" w:rsidP="00E26AA2">
            <w:pPr>
              <w:spacing w:line="240" w:lineRule="auto"/>
              <w:ind w:firstLine="0"/>
              <w:contextualSpacing/>
              <w:jc w:val="right"/>
            </w:pPr>
          </w:p>
        </w:tc>
        <w:tc>
          <w:tcPr>
            <w:tcW w:w="695" w:type="pct"/>
          </w:tcPr>
          <w:p w14:paraId="1945B6C1" w14:textId="77777777" w:rsidR="00C755A0" w:rsidRDefault="00C755A0" w:rsidP="00E26AA2">
            <w:pPr>
              <w:spacing w:line="240" w:lineRule="auto"/>
              <w:ind w:firstLine="0"/>
              <w:contextualSpacing/>
              <w:jc w:val="right"/>
            </w:pPr>
          </w:p>
        </w:tc>
        <w:tc>
          <w:tcPr>
            <w:tcW w:w="696" w:type="pct"/>
          </w:tcPr>
          <w:p w14:paraId="2280B80C" w14:textId="77777777" w:rsidR="00C755A0" w:rsidRDefault="00C755A0" w:rsidP="00E26AA2">
            <w:pPr>
              <w:spacing w:line="240" w:lineRule="auto"/>
              <w:ind w:firstLine="0"/>
              <w:contextualSpacing/>
              <w:jc w:val="right"/>
            </w:pPr>
          </w:p>
        </w:tc>
        <w:tc>
          <w:tcPr>
            <w:tcW w:w="696" w:type="pct"/>
          </w:tcPr>
          <w:p w14:paraId="3F216519" w14:textId="77777777" w:rsidR="00C755A0" w:rsidRDefault="00C755A0" w:rsidP="00E26AA2">
            <w:pPr>
              <w:spacing w:line="240" w:lineRule="auto"/>
              <w:ind w:firstLine="0"/>
              <w:contextualSpacing/>
              <w:jc w:val="right"/>
            </w:pPr>
          </w:p>
        </w:tc>
        <w:tc>
          <w:tcPr>
            <w:tcW w:w="400" w:type="pct"/>
          </w:tcPr>
          <w:p w14:paraId="7F304785" w14:textId="77777777" w:rsidR="00C755A0" w:rsidRDefault="00C755A0" w:rsidP="00E26AA2">
            <w:pPr>
              <w:spacing w:line="240" w:lineRule="auto"/>
              <w:ind w:firstLine="0"/>
              <w:contextualSpacing/>
              <w:jc w:val="right"/>
            </w:pPr>
            <w:r>
              <w:t>0.319</w:t>
            </w:r>
          </w:p>
        </w:tc>
      </w:tr>
      <w:tr w:rsidR="00C755A0" w14:paraId="23C76B9C" w14:textId="77777777" w:rsidTr="001A4831">
        <w:trPr>
          <w:cnfStyle w:val="000000100000" w:firstRow="0" w:lastRow="0" w:firstColumn="0" w:lastColumn="0" w:oddVBand="0" w:evenVBand="0" w:oddHBand="1" w:evenHBand="0" w:firstRowFirstColumn="0" w:firstRowLastColumn="0" w:lastRowFirstColumn="0" w:lastRowLastColumn="0"/>
        </w:trPr>
        <w:tc>
          <w:tcPr>
            <w:tcW w:w="1820" w:type="pct"/>
          </w:tcPr>
          <w:p w14:paraId="539896D2" w14:textId="6DF45D25" w:rsidR="00C755A0" w:rsidRPr="00E26AA2" w:rsidRDefault="00C755A0" w:rsidP="00E26AA2">
            <w:pPr>
              <w:spacing w:line="240" w:lineRule="auto"/>
              <w:ind w:left="165" w:firstLine="0"/>
              <w:contextualSpacing/>
              <w:jc w:val="right"/>
              <w:rPr>
                <w:b/>
                <w:bCs/>
              </w:rPr>
            </w:pPr>
            <w:r w:rsidRPr="00E26AA2">
              <w:t xml:space="preserve">Stage </w:t>
            </w:r>
            <w:r w:rsidR="00E7422E">
              <w:t>0/</w:t>
            </w:r>
            <w:r w:rsidRPr="00E26AA2">
              <w:t>I</w:t>
            </w:r>
          </w:p>
        </w:tc>
        <w:tc>
          <w:tcPr>
            <w:tcW w:w="694" w:type="pct"/>
          </w:tcPr>
          <w:p w14:paraId="1FDEC68A" w14:textId="77777777" w:rsidR="00C755A0" w:rsidRDefault="00C755A0" w:rsidP="00E26AA2">
            <w:pPr>
              <w:spacing w:line="240" w:lineRule="auto"/>
              <w:ind w:firstLine="0"/>
              <w:contextualSpacing/>
              <w:jc w:val="right"/>
            </w:pPr>
            <w:r>
              <w:t>25 (17.5)</w:t>
            </w:r>
          </w:p>
        </w:tc>
        <w:tc>
          <w:tcPr>
            <w:tcW w:w="695" w:type="pct"/>
          </w:tcPr>
          <w:p w14:paraId="40736437" w14:textId="77777777" w:rsidR="00C755A0" w:rsidRDefault="00C755A0" w:rsidP="00E26AA2">
            <w:pPr>
              <w:spacing w:line="240" w:lineRule="auto"/>
              <w:ind w:firstLine="0"/>
              <w:contextualSpacing/>
              <w:jc w:val="right"/>
            </w:pPr>
            <w:r w:rsidRPr="00F2507C">
              <w:t>40 (18.4)</w:t>
            </w:r>
          </w:p>
        </w:tc>
        <w:tc>
          <w:tcPr>
            <w:tcW w:w="696" w:type="pct"/>
          </w:tcPr>
          <w:p w14:paraId="25D861C8" w14:textId="77777777" w:rsidR="00C755A0" w:rsidRDefault="00C755A0" w:rsidP="00E26AA2">
            <w:pPr>
              <w:spacing w:line="240" w:lineRule="auto"/>
              <w:ind w:firstLine="0"/>
              <w:contextualSpacing/>
              <w:jc w:val="right"/>
            </w:pPr>
            <w:r w:rsidRPr="00E435AB">
              <w:t>11 (17.2)</w:t>
            </w:r>
          </w:p>
        </w:tc>
        <w:tc>
          <w:tcPr>
            <w:tcW w:w="696" w:type="pct"/>
          </w:tcPr>
          <w:p w14:paraId="792BFA4A" w14:textId="77777777" w:rsidR="00C755A0" w:rsidRDefault="00C755A0" w:rsidP="00E26AA2">
            <w:pPr>
              <w:spacing w:line="240" w:lineRule="auto"/>
              <w:ind w:firstLine="0"/>
              <w:contextualSpacing/>
              <w:jc w:val="right"/>
            </w:pPr>
            <w:r w:rsidRPr="00CA12FE">
              <w:t>5 (25.0)</w:t>
            </w:r>
          </w:p>
        </w:tc>
        <w:tc>
          <w:tcPr>
            <w:tcW w:w="400" w:type="pct"/>
          </w:tcPr>
          <w:p w14:paraId="272DD169" w14:textId="77777777" w:rsidR="00C755A0" w:rsidRDefault="00C755A0" w:rsidP="00E26AA2">
            <w:pPr>
              <w:spacing w:line="240" w:lineRule="auto"/>
              <w:ind w:firstLine="0"/>
              <w:contextualSpacing/>
              <w:jc w:val="right"/>
            </w:pPr>
          </w:p>
        </w:tc>
      </w:tr>
      <w:tr w:rsidR="00C755A0" w14:paraId="399EF012" w14:textId="77777777" w:rsidTr="001A4831">
        <w:tc>
          <w:tcPr>
            <w:tcW w:w="1820" w:type="pct"/>
          </w:tcPr>
          <w:p w14:paraId="3477F792" w14:textId="77777777" w:rsidR="00C755A0" w:rsidRPr="00E26AA2" w:rsidRDefault="00C755A0" w:rsidP="00E26AA2">
            <w:pPr>
              <w:spacing w:line="240" w:lineRule="auto"/>
              <w:ind w:left="165" w:firstLine="0"/>
              <w:contextualSpacing/>
              <w:jc w:val="right"/>
              <w:rPr>
                <w:b/>
                <w:bCs/>
              </w:rPr>
            </w:pPr>
            <w:r w:rsidRPr="00E26AA2">
              <w:t>Stage II</w:t>
            </w:r>
          </w:p>
        </w:tc>
        <w:tc>
          <w:tcPr>
            <w:tcW w:w="694" w:type="pct"/>
          </w:tcPr>
          <w:p w14:paraId="796162D8" w14:textId="77777777" w:rsidR="00C755A0" w:rsidRDefault="00C755A0" w:rsidP="00E26AA2">
            <w:pPr>
              <w:spacing w:line="240" w:lineRule="auto"/>
              <w:ind w:firstLine="0"/>
              <w:contextualSpacing/>
              <w:jc w:val="right"/>
            </w:pPr>
            <w:r w:rsidRPr="003415D8">
              <w:t>21 (14.7)</w:t>
            </w:r>
          </w:p>
        </w:tc>
        <w:tc>
          <w:tcPr>
            <w:tcW w:w="695" w:type="pct"/>
          </w:tcPr>
          <w:p w14:paraId="2819EB43" w14:textId="77777777" w:rsidR="00C755A0" w:rsidRDefault="00C755A0" w:rsidP="00E26AA2">
            <w:pPr>
              <w:spacing w:line="240" w:lineRule="auto"/>
              <w:ind w:firstLine="0"/>
              <w:contextualSpacing/>
              <w:jc w:val="right"/>
            </w:pPr>
            <w:r w:rsidRPr="00F2507C">
              <w:t>26 (12.0)</w:t>
            </w:r>
          </w:p>
        </w:tc>
        <w:tc>
          <w:tcPr>
            <w:tcW w:w="696" w:type="pct"/>
          </w:tcPr>
          <w:p w14:paraId="0563274F" w14:textId="77777777" w:rsidR="00C755A0" w:rsidRDefault="00C755A0" w:rsidP="00E26AA2">
            <w:pPr>
              <w:spacing w:line="240" w:lineRule="auto"/>
              <w:ind w:firstLine="0"/>
              <w:contextualSpacing/>
              <w:jc w:val="right"/>
            </w:pPr>
            <w:r w:rsidRPr="00E435AB">
              <w:t>6 (9.4)</w:t>
            </w:r>
          </w:p>
        </w:tc>
        <w:tc>
          <w:tcPr>
            <w:tcW w:w="696" w:type="pct"/>
          </w:tcPr>
          <w:p w14:paraId="47E7BD7E" w14:textId="77777777" w:rsidR="00C755A0" w:rsidRDefault="00C755A0" w:rsidP="00E26AA2">
            <w:pPr>
              <w:spacing w:line="240" w:lineRule="auto"/>
              <w:ind w:firstLine="0"/>
              <w:contextualSpacing/>
              <w:jc w:val="right"/>
            </w:pPr>
            <w:r w:rsidRPr="00CA12FE">
              <w:t>2 (10.0)</w:t>
            </w:r>
          </w:p>
        </w:tc>
        <w:tc>
          <w:tcPr>
            <w:tcW w:w="400" w:type="pct"/>
          </w:tcPr>
          <w:p w14:paraId="205D62AB" w14:textId="77777777" w:rsidR="00C755A0" w:rsidRDefault="00C755A0" w:rsidP="00E26AA2">
            <w:pPr>
              <w:spacing w:line="240" w:lineRule="auto"/>
              <w:ind w:firstLine="0"/>
              <w:contextualSpacing/>
              <w:jc w:val="right"/>
            </w:pPr>
          </w:p>
        </w:tc>
      </w:tr>
      <w:tr w:rsidR="00C755A0" w14:paraId="19D12C6C" w14:textId="77777777" w:rsidTr="001A4831">
        <w:trPr>
          <w:cnfStyle w:val="000000100000" w:firstRow="0" w:lastRow="0" w:firstColumn="0" w:lastColumn="0" w:oddVBand="0" w:evenVBand="0" w:oddHBand="1" w:evenHBand="0" w:firstRowFirstColumn="0" w:firstRowLastColumn="0" w:lastRowFirstColumn="0" w:lastRowLastColumn="0"/>
        </w:trPr>
        <w:tc>
          <w:tcPr>
            <w:tcW w:w="1820" w:type="pct"/>
          </w:tcPr>
          <w:p w14:paraId="216CB3FD" w14:textId="77777777" w:rsidR="00C755A0" w:rsidRPr="00E26AA2" w:rsidRDefault="00C755A0" w:rsidP="00E26AA2">
            <w:pPr>
              <w:spacing w:line="240" w:lineRule="auto"/>
              <w:ind w:left="165" w:firstLine="0"/>
              <w:contextualSpacing/>
              <w:jc w:val="right"/>
              <w:rPr>
                <w:b/>
                <w:bCs/>
              </w:rPr>
            </w:pPr>
            <w:r w:rsidRPr="00E26AA2">
              <w:t>Stage III</w:t>
            </w:r>
          </w:p>
        </w:tc>
        <w:tc>
          <w:tcPr>
            <w:tcW w:w="694" w:type="pct"/>
          </w:tcPr>
          <w:p w14:paraId="6241B565" w14:textId="77777777" w:rsidR="00C755A0" w:rsidRDefault="00C755A0" w:rsidP="00E26AA2">
            <w:pPr>
              <w:spacing w:line="240" w:lineRule="auto"/>
              <w:ind w:firstLine="0"/>
              <w:contextualSpacing/>
              <w:jc w:val="right"/>
            </w:pPr>
            <w:r w:rsidRPr="003415D8">
              <w:t>13 (9.1)</w:t>
            </w:r>
          </w:p>
        </w:tc>
        <w:tc>
          <w:tcPr>
            <w:tcW w:w="695" w:type="pct"/>
          </w:tcPr>
          <w:p w14:paraId="0DD8BE48" w14:textId="77777777" w:rsidR="00C755A0" w:rsidRDefault="00C755A0" w:rsidP="00E26AA2">
            <w:pPr>
              <w:spacing w:line="240" w:lineRule="auto"/>
              <w:ind w:firstLine="0"/>
              <w:contextualSpacing/>
              <w:jc w:val="right"/>
            </w:pPr>
            <w:r w:rsidRPr="00F2507C">
              <w:t>36 (16.6)</w:t>
            </w:r>
          </w:p>
        </w:tc>
        <w:tc>
          <w:tcPr>
            <w:tcW w:w="696" w:type="pct"/>
          </w:tcPr>
          <w:p w14:paraId="4F089AC9" w14:textId="77777777" w:rsidR="00C755A0" w:rsidRDefault="00C755A0" w:rsidP="00E26AA2">
            <w:pPr>
              <w:spacing w:line="240" w:lineRule="auto"/>
              <w:ind w:firstLine="0"/>
              <w:contextualSpacing/>
              <w:jc w:val="right"/>
            </w:pPr>
            <w:r w:rsidRPr="00E435AB">
              <w:t>8 (12.5)</w:t>
            </w:r>
          </w:p>
        </w:tc>
        <w:tc>
          <w:tcPr>
            <w:tcW w:w="696" w:type="pct"/>
          </w:tcPr>
          <w:p w14:paraId="1826E791" w14:textId="77777777" w:rsidR="00C755A0" w:rsidRDefault="00C755A0" w:rsidP="00E26AA2">
            <w:pPr>
              <w:spacing w:line="240" w:lineRule="auto"/>
              <w:ind w:firstLine="0"/>
              <w:contextualSpacing/>
              <w:jc w:val="right"/>
            </w:pPr>
            <w:r w:rsidRPr="00CA12FE">
              <w:t>1 (5.0)</w:t>
            </w:r>
          </w:p>
        </w:tc>
        <w:tc>
          <w:tcPr>
            <w:tcW w:w="400" w:type="pct"/>
          </w:tcPr>
          <w:p w14:paraId="278E5149" w14:textId="77777777" w:rsidR="00C755A0" w:rsidRDefault="00C755A0" w:rsidP="00E26AA2">
            <w:pPr>
              <w:spacing w:line="240" w:lineRule="auto"/>
              <w:ind w:firstLine="0"/>
              <w:contextualSpacing/>
              <w:jc w:val="right"/>
            </w:pPr>
          </w:p>
        </w:tc>
      </w:tr>
      <w:tr w:rsidR="00C755A0" w14:paraId="233E7D2F" w14:textId="77777777" w:rsidTr="001A4831">
        <w:tc>
          <w:tcPr>
            <w:tcW w:w="1820" w:type="pct"/>
          </w:tcPr>
          <w:p w14:paraId="08A1E8FB" w14:textId="77777777" w:rsidR="00C755A0" w:rsidRPr="00E26AA2" w:rsidRDefault="00C755A0" w:rsidP="00E26AA2">
            <w:pPr>
              <w:spacing w:line="240" w:lineRule="auto"/>
              <w:ind w:left="165" w:firstLine="0"/>
              <w:contextualSpacing/>
              <w:jc w:val="right"/>
              <w:rPr>
                <w:b/>
                <w:bCs/>
              </w:rPr>
            </w:pPr>
            <w:r w:rsidRPr="00E26AA2">
              <w:t>Stage IV</w:t>
            </w:r>
          </w:p>
        </w:tc>
        <w:tc>
          <w:tcPr>
            <w:tcW w:w="694" w:type="pct"/>
          </w:tcPr>
          <w:p w14:paraId="46738C12" w14:textId="77777777" w:rsidR="00C755A0" w:rsidRDefault="00C755A0" w:rsidP="00E26AA2">
            <w:pPr>
              <w:spacing w:line="240" w:lineRule="auto"/>
              <w:ind w:firstLine="0"/>
              <w:contextualSpacing/>
              <w:jc w:val="right"/>
            </w:pPr>
            <w:r w:rsidRPr="003415D8">
              <w:t>16 (11.2)</w:t>
            </w:r>
          </w:p>
        </w:tc>
        <w:tc>
          <w:tcPr>
            <w:tcW w:w="695" w:type="pct"/>
          </w:tcPr>
          <w:p w14:paraId="59D172CB" w14:textId="77777777" w:rsidR="00C755A0" w:rsidRDefault="00C755A0" w:rsidP="00E26AA2">
            <w:pPr>
              <w:spacing w:line="240" w:lineRule="auto"/>
              <w:ind w:firstLine="0"/>
              <w:contextualSpacing/>
              <w:jc w:val="right"/>
            </w:pPr>
            <w:r w:rsidRPr="00F2507C">
              <w:t>27 (12.4)</w:t>
            </w:r>
          </w:p>
        </w:tc>
        <w:tc>
          <w:tcPr>
            <w:tcW w:w="696" w:type="pct"/>
          </w:tcPr>
          <w:p w14:paraId="532DB0EF" w14:textId="77777777" w:rsidR="00C755A0" w:rsidRDefault="00C755A0" w:rsidP="00E26AA2">
            <w:pPr>
              <w:spacing w:line="240" w:lineRule="auto"/>
              <w:ind w:firstLine="0"/>
              <w:contextualSpacing/>
              <w:jc w:val="right"/>
            </w:pPr>
            <w:r w:rsidRPr="00E435AB">
              <w:t>14 (21.9)</w:t>
            </w:r>
          </w:p>
        </w:tc>
        <w:tc>
          <w:tcPr>
            <w:tcW w:w="696" w:type="pct"/>
          </w:tcPr>
          <w:p w14:paraId="1AE99CD7" w14:textId="77777777" w:rsidR="00C755A0" w:rsidRDefault="00C755A0" w:rsidP="00E26AA2">
            <w:pPr>
              <w:spacing w:line="240" w:lineRule="auto"/>
              <w:ind w:firstLine="0"/>
              <w:contextualSpacing/>
              <w:jc w:val="right"/>
            </w:pPr>
            <w:r w:rsidRPr="00CA12FE">
              <w:t>1 (5.0)</w:t>
            </w:r>
          </w:p>
        </w:tc>
        <w:tc>
          <w:tcPr>
            <w:tcW w:w="400" w:type="pct"/>
          </w:tcPr>
          <w:p w14:paraId="0F3299AF" w14:textId="77777777" w:rsidR="00C755A0" w:rsidRDefault="00C755A0" w:rsidP="00E26AA2">
            <w:pPr>
              <w:spacing w:line="240" w:lineRule="auto"/>
              <w:ind w:firstLine="0"/>
              <w:contextualSpacing/>
              <w:jc w:val="right"/>
            </w:pPr>
          </w:p>
        </w:tc>
      </w:tr>
      <w:tr w:rsidR="00C755A0" w14:paraId="180443AD" w14:textId="77777777" w:rsidTr="001A4831">
        <w:trPr>
          <w:cnfStyle w:val="000000100000" w:firstRow="0" w:lastRow="0" w:firstColumn="0" w:lastColumn="0" w:oddVBand="0" w:evenVBand="0" w:oddHBand="1" w:evenHBand="0" w:firstRowFirstColumn="0" w:firstRowLastColumn="0" w:lastRowFirstColumn="0" w:lastRowLastColumn="0"/>
        </w:trPr>
        <w:tc>
          <w:tcPr>
            <w:tcW w:w="1820" w:type="pct"/>
          </w:tcPr>
          <w:p w14:paraId="2F5526CD" w14:textId="77777777" w:rsidR="00C755A0" w:rsidRPr="00E26AA2" w:rsidRDefault="00C755A0" w:rsidP="00E26AA2">
            <w:pPr>
              <w:spacing w:line="240" w:lineRule="auto"/>
              <w:ind w:left="165" w:firstLine="0"/>
              <w:contextualSpacing/>
              <w:jc w:val="right"/>
              <w:rPr>
                <w:b/>
                <w:bCs/>
              </w:rPr>
            </w:pPr>
            <w:r w:rsidRPr="00E26AA2">
              <w:t>Unstaged</w:t>
            </w:r>
          </w:p>
        </w:tc>
        <w:tc>
          <w:tcPr>
            <w:tcW w:w="694" w:type="pct"/>
          </w:tcPr>
          <w:p w14:paraId="70BE5F2F" w14:textId="77777777" w:rsidR="00C755A0" w:rsidRDefault="00C755A0" w:rsidP="00E26AA2">
            <w:pPr>
              <w:spacing w:line="240" w:lineRule="auto"/>
              <w:ind w:firstLine="0"/>
              <w:contextualSpacing/>
              <w:jc w:val="right"/>
            </w:pPr>
            <w:r w:rsidRPr="003415D8">
              <w:t>68 (47.6)</w:t>
            </w:r>
          </w:p>
        </w:tc>
        <w:tc>
          <w:tcPr>
            <w:tcW w:w="695" w:type="pct"/>
          </w:tcPr>
          <w:p w14:paraId="525690AC" w14:textId="77777777" w:rsidR="00C755A0" w:rsidRDefault="00C755A0" w:rsidP="00E26AA2">
            <w:pPr>
              <w:spacing w:line="240" w:lineRule="auto"/>
              <w:ind w:firstLine="0"/>
              <w:contextualSpacing/>
              <w:jc w:val="right"/>
            </w:pPr>
            <w:r w:rsidRPr="00F2507C">
              <w:t>88 (40.6)</w:t>
            </w:r>
          </w:p>
        </w:tc>
        <w:tc>
          <w:tcPr>
            <w:tcW w:w="696" w:type="pct"/>
          </w:tcPr>
          <w:p w14:paraId="5DF90766" w14:textId="77777777" w:rsidR="00C755A0" w:rsidRDefault="00C755A0" w:rsidP="00E26AA2">
            <w:pPr>
              <w:spacing w:line="240" w:lineRule="auto"/>
              <w:ind w:firstLine="0"/>
              <w:contextualSpacing/>
              <w:jc w:val="right"/>
            </w:pPr>
            <w:r w:rsidRPr="00E435AB">
              <w:t>25 (39.1)</w:t>
            </w:r>
          </w:p>
        </w:tc>
        <w:tc>
          <w:tcPr>
            <w:tcW w:w="696" w:type="pct"/>
          </w:tcPr>
          <w:p w14:paraId="359DC9FE" w14:textId="77777777" w:rsidR="00C755A0" w:rsidRDefault="00C755A0" w:rsidP="00E26AA2">
            <w:pPr>
              <w:spacing w:line="240" w:lineRule="auto"/>
              <w:ind w:firstLine="0"/>
              <w:contextualSpacing/>
              <w:jc w:val="right"/>
            </w:pPr>
            <w:r w:rsidRPr="00CA12FE">
              <w:t>11 (55.0)</w:t>
            </w:r>
          </w:p>
        </w:tc>
        <w:tc>
          <w:tcPr>
            <w:tcW w:w="400" w:type="pct"/>
          </w:tcPr>
          <w:p w14:paraId="015AEB5F" w14:textId="77777777" w:rsidR="00C755A0" w:rsidRDefault="00C755A0" w:rsidP="00E26AA2">
            <w:pPr>
              <w:spacing w:line="240" w:lineRule="auto"/>
              <w:ind w:firstLine="0"/>
              <w:contextualSpacing/>
              <w:jc w:val="right"/>
            </w:pPr>
          </w:p>
        </w:tc>
      </w:tr>
      <w:tr w:rsidR="00C755A0" w14:paraId="508D45BE" w14:textId="77777777" w:rsidTr="001A4831">
        <w:tc>
          <w:tcPr>
            <w:tcW w:w="1820" w:type="pct"/>
          </w:tcPr>
          <w:p w14:paraId="76A5051C" w14:textId="77777777" w:rsidR="00C755A0" w:rsidRPr="003A1D52" w:rsidRDefault="00C755A0" w:rsidP="00E26AA2">
            <w:pPr>
              <w:spacing w:line="240" w:lineRule="auto"/>
              <w:ind w:firstLine="0"/>
              <w:contextualSpacing/>
              <w:rPr>
                <w:b/>
                <w:bCs/>
              </w:rPr>
            </w:pPr>
            <w:r w:rsidRPr="003A1D52">
              <w:rPr>
                <w:b/>
                <w:bCs/>
              </w:rPr>
              <w:t>Anatomic Site (%)</w:t>
            </w:r>
          </w:p>
        </w:tc>
        <w:tc>
          <w:tcPr>
            <w:tcW w:w="694" w:type="pct"/>
          </w:tcPr>
          <w:p w14:paraId="33C1F088" w14:textId="77777777" w:rsidR="00C755A0" w:rsidRDefault="00C755A0" w:rsidP="00E26AA2">
            <w:pPr>
              <w:spacing w:line="240" w:lineRule="auto"/>
              <w:ind w:firstLine="0"/>
              <w:contextualSpacing/>
              <w:jc w:val="right"/>
            </w:pPr>
          </w:p>
        </w:tc>
        <w:tc>
          <w:tcPr>
            <w:tcW w:w="695" w:type="pct"/>
          </w:tcPr>
          <w:p w14:paraId="32355C1C" w14:textId="77777777" w:rsidR="00C755A0" w:rsidRDefault="00C755A0" w:rsidP="00E26AA2">
            <w:pPr>
              <w:spacing w:line="240" w:lineRule="auto"/>
              <w:ind w:firstLine="0"/>
              <w:contextualSpacing/>
              <w:jc w:val="right"/>
            </w:pPr>
          </w:p>
        </w:tc>
        <w:tc>
          <w:tcPr>
            <w:tcW w:w="696" w:type="pct"/>
          </w:tcPr>
          <w:p w14:paraId="441B7BAF" w14:textId="77777777" w:rsidR="00C755A0" w:rsidRDefault="00C755A0" w:rsidP="00E26AA2">
            <w:pPr>
              <w:spacing w:line="240" w:lineRule="auto"/>
              <w:ind w:firstLine="0"/>
              <w:contextualSpacing/>
              <w:jc w:val="right"/>
            </w:pPr>
          </w:p>
        </w:tc>
        <w:tc>
          <w:tcPr>
            <w:tcW w:w="696" w:type="pct"/>
          </w:tcPr>
          <w:p w14:paraId="6D64B66C" w14:textId="77777777" w:rsidR="00C755A0" w:rsidRDefault="00C755A0" w:rsidP="00E26AA2">
            <w:pPr>
              <w:spacing w:line="240" w:lineRule="auto"/>
              <w:ind w:firstLine="0"/>
              <w:contextualSpacing/>
              <w:jc w:val="right"/>
            </w:pPr>
          </w:p>
        </w:tc>
        <w:tc>
          <w:tcPr>
            <w:tcW w:w="400" w:type="pct"/>
          </w:tcPr>
          <w:p w14:paraId="4BB742DF" w14:textId="77777777" w:rsidR="00C755A0" w:rsidRDefault="00C755A0" w:rsidP="00E26AA2">
            <w:pPr>
              <w:spacing w:line="240" w:lineRule="auto"/>
              <w:ind w:firstLine="0"/>
              <w:contextualSpacing/>
              <w:jc w:val="right"/>
            </w:pPr>
            <w:r>
              <w:t>0.035</w:t>
            </w:r>
          </w:p>
        </w:tc>
      </w:tr>
      <w:tr w:rsidR="00C755A0" w14:paraId="4AD42A1B" w14:textId="77777777" w:rsidTr="001A4831">
        <w:trPr>
          <w:cnfStyle w:val="000000100000" w:firstRow="0" w:lastRow="0" w:firstColumn="0" w:lastColumn="0" w:oddVBand="0" w:evenVBand="0" w:oddHBand="1" w:evenHBand="0" w:firstRowFirstColumn="0" w:firstRowLastColumn="0" w:lastRowFirstColumn="0" w:lastRowLastColumn="0"/>
        </w:trPr>
        <w:tc>
          <w:tcPr>
            <w:tcW w:w="1820" w:type="pct"/>
          </w:tcPr>
          <w:p w14:paraId="56B976F8" w14:textId="77777777" w:rsidR="00C755A0" w:rsidRPr="00E26AA2" w:rsidRDefault="00C755A0" w:rsidP="00E26AA2">
            <w:pPr>
              <w:spacing w:line="240" w:lineRule="auto"/>
              <w:ind w:left="165" w:firstLine="0"/>
              <w:contextualSpacing/>
              <w:jc w:val="right"/>
              <w:rPr>
                <w:b/>
                <w:bCs/>
              </w:rPr>
            </w:pPr>
            <w:r w:rsidRPr="00E26AA2">
              <w:t>Proximal Colon</w:t>
            </w:r>
          </w:p>
        </w:tc>
        <w:tc>
          <w:tcPr>
            <w:tcW w:w="694" w:type="pct"/>
          </w:tcPr>
          <w:p w14:paraId="2415E5FB" w14:textId="77777777" w:rsidR="00C755A0" w:rsidRDefault="00C755A0" w:rsidP="00E26AA2">
            <w:pPr>
              <w:spacing w:line="240" w:lineRule="auto"/>
              <w:ind w:firstLine="0"/>
              <w:contextualSpacing/>
              <w:jc w:val="right"/>
            </w:pPr>
            <w:r w:rsidRPr="007670F2">
              <w:t>86 (60.1)</w:t>
            </w:r>
          </w:p>
        </w:tc>
        <w:tc>
          <w:tcPr>
            <w:tcW w:w="695" w:type="pct"/>
          </w:tcPr>
          <w:p w14:paraId="77249882" w14:textId="77777777" w:rsidR="00C755A0" w:rsidRDefault="00C755A0" w:rsidP="00E26AA2">
            <w:pPr>
              <w:spacing w:line="240" w:lineRule="auto"/>
              <w:ind w:firstLine="0"/>
              <w:contextualSpacing/>
              <w:jc w:val="right"/>
            </w:pPr>
            <w:r w:rsidRPr="00DC6B2A">
              <w:t>168 (77.4)</w:t>
            </w:r>
          </w:p>
        </w:tc>
        <w:tc>
          <w:tcPr>
            <w:tcW w:w="696" w:type="pct"/>
          </w:tcPr>
          <w:p w14:paraId="51FBBA9F" w14:textId="77777777" w:rsidR="00C755A0" w:rsidRDefault="00C755A0" w:rsidP="00E26AA2">
            <w:pPr>
              <w:spacing w:line="240" w:lineRule="auto"/>
              <w:ind w:firstLine="0"/>
              <w:contextualSpacing/>
              <w:jc w:val="right"/>
            </w:pPr>
            <w:r w:rsidRPr="00B436C1">
              <w:t>44 (68.8)</w:t>
            </w:r>
          </w:p>
        </w:tc>
        <w:tc>
          <w:tcPr>
            <w:tcW w:w="696" w:type="pct"/>
          </w:tcPr>
          <w:p w14:paraId="4133484B" w14:textId="77777777" w:rsidR="00C755A0" w:rsidRDefault="00C755A0" w:rsidP="00E26AA2">
            <w:pPr>
              <w:spacing w:line="240" w:lineRule="auto"/>
              <w:ind w:firstLine="0"/>
              <w:contextualSpacing/>
              <w:jc w:val="right"/>
            </w:pPr>
            <w:r w:rsidRPr="00171CCE">
              <w:t>12 (60.0)</w:t>
            </w:r>
          </w:p>
        </w:tc>
        <w:tc>
          <w:tcPr>
            <w:tcW w:w="400" w:type="pct"/>
          </w:tcPr>
          <w:p w14:paraId="6769399D" w14:textId="77777777" w:rsidR="00C755A0" w:rsidRDefault="00C755A0" w:rsidP="00E26AA2">
            <w:pPr>
              <w:spacing w:line="240" w:lineRule="auto"/>
              <w:ind w:firstLine="0"/>
              <w:contextualSpacing/>
              <w:jc w:val="right"/>
            </w:pPr>
          </w:p>
        </w:tc>
      </w:tr>
      <w:tr w:rsidR="00C755A0" w14:paraId="58E4E3E9" w14:textId="77777777" w:rsidTr="00F340C5">
        <w:tc>
          <w:tcPr>
            <w:tcW w:w="1820" w:type="pct"/>
          </w:tcPr>
          <w:p w14:paraId="48602121" w14:textId="77777777" w:rsidR="00C755A0" w:rsidRPr="00E26AA2" w:rsidRDefault="00C755A0" w:rsidP="00E26AA2">
            <w:pPr>
              <w:spacing w:line="240" w:lineRule="auto"/>
              <w:ind w:left="165" w:firstLine="0"/>
              <w:contextualSpacing/>
              <w:jc w:val="right"/>
              <w:rPr>
                <w:b/>
                <w:bCs/>
              </w:rPr>
            </w:pPr>
            <w:r w:rsidRPr="00E26AA2">
              <w:t>Distal Colon</w:t>
            </w:r>
          </w:p>
        </w:tc>
        <w:tc>
          <w:tcPr>
            <w:tcW w:w="694" w:type="pct"/>
          </w:tcPr>
          <w:p w14:paraId="2AE3C83B" w14:textId="77777777" w:rsidR="00C755A0" w:rsidRDefault="00C755A0" w:rsidP="00E26AA2">
            <w:pPr>
              <w:spacing w:line="240" w:lineRule="auto"/>
              <w:ind w:firstLine="0"/>
              <w:contextualSpacing/>
              <w:jc w:val="right"/>
            </w:pPr>
            <w:r w:rsidRPr="007670F2">
              <w:t>20 (14.0)</w:t>
            </w:r>
          </w:p>
        </w:tc>
        <w:tc>
          <w:tcPr>
            <w:tcW w:w="695" w:type="pct"/>
          </w:tcPr>
          <w:p w14:paraId="7F853FB8" w14:textId="77777777" w:rsidR="00C755A0" w:rsidRDefault="00C755A0" w:rsidP="00E26AA2">
            <w:pPr>
              <w:spacing w:line="240" w:lineRule="auto"/>
              <w:ind w:firstLine="0"/>
              <w:contextualSpacing/>
              <w:jc w:val="right"/>
            </w:pPr>
            <w:r w:rsidRPr="00DC6B2A">
              <w:t>18 (8.3)</w:t>
            </w:r>
          </w:p>
        </w:tc>
        <w:tc>
          <w:tcPr>
            <w:tcW w:w="696" w:type="pct"/>
          </w:tcPr>
          <w:p w14:paraId="35EA7034" w14:textId="77777777" w:rsidR="00C755A0" w:rsidRDefault="00C755A0" w:rsidP="00E26AA2">
            <w:pPr>
              <w:spacing w:line="240" w:lineRule="auto"/>
              <w:ind w:firstLine="0"/>
              <w:contextualSpacing/>
              <w:jc w:val="right"/>
            </w:pPr>
            <w:r w:rsidRPr="00B436C1">
              <w:t>6 (9.4)</w:t>
            </w:r>
          </w:p>
        </w:tc>
        <w:tc>
          <w:tcPr>
            <w:tcW w:w="696" w:type="pct"/>
          </w:tcPr>
          <w:p w14:paraId="7DDF4631" w14:textId="77777777" w:rsidR="00C755A0" w:rsidRDefault="00C755A0" w:rsidP="00E26AA2">
            <w:pPr>
              <w:spacing w:line="240" w:lineRule="auto"/>
              <w:ind w:firstLine="0"/>
              <w:contextualSpacing/>
              <w:jc w:val="right"/>
            </w:pPr>
            <w:r w:rsidRPr="00171CCE">
              <w:t>3 (15.0)</w:t>
            </w:r>
          </w:p>
        </w:tc>
        <w:tc>
          <w:tcPr>
            <w:tcW w:w="400" w:type="pct"/>
          </w:tcPr>
          <w:p w14:paraId="7994B4B1" w14:textId="77777777" w:rsidR="00C755A0" w:rsidRDefault="00C755A0" w:rsidP="00E26AA2">
            <w:pPr>
              <w:spacing w:line="240" w:lineRule="auto"/>
              <w:ind w:firstLine="0"/>
              <w:contextualSpacing/>
              <w:jc w:val="right"/>
            </w:pPr>
          </w:p>
        </w:tc>
      </w:tr>
      <w:tr w:rsidR="00C755A0" w14:paraId="604687E8" w14:textId="77777777" w:rsidTr="00F340C5">
        <w:trPr>
          <w:cnfStyle w:val="000000100000" w:firstRow="0" w:lastRow="0" w:firstColumn="0" w:lastColumn="0" w:oddVBand="0" w:evenVBand="0" w:oddHBand="1" w:evenHBand="0" w:firstRowFirstColumn="0" w:firstRowLastColumn="0" w:lastRowFirstColumn="0" w:lastRowLastColumn="0"/>
        </w:trPr>
        <w:tc>
          <w:tcPr>
            <w:tcW w:w="1820" w:type="pct"/>
            <w:tcBorders>
              <w:bottom w:val="single" w:sz="4" w:space="0" w:color="auto"/>
            </w:tcBorders>
          </w:tcPr>
          <w:p w14:paraId="600833FD" w14:textId="77777777" w:rsidR="00C755A0" w:rsidRPr="00E26AA2" w:rsidRDefault="00C755A0" w:rsidP="00E26AA2">
            <w:pPr>
              <w:spacing w:line="240" w:lineRule="auto"/>
              <w:ind w:left="165" w:firstLine="0"/>
              <w:contextualSpacing/>
              <w:jc w:val="right"/>
              <w:rPr>
                <w:b/>
                <w:bCs/>
              </w:rPr>
            </w:pPr>
            <w:r w:rsidRPr="00E26AA2">
              <w:t>Rectum</w:t>
            </w:r>
          </w:p>
        </w:tc>
        <w:tc>
          <w:tcPr>
            <w:tcW w:w="694" w:type="pct"/>
            <w:tcBorders>
              <w:bottom w:val="single" w:sz="4" w:space="0" w:color="auto"/>
            </w:tcBorders>
          </w:tcPr>
          <w:p w14:paraId="35BF62A7" w14:textId="77777777" w:rsidR="00C755A0" w:rsidRDefault="00C755A0" w:rsidP="00E26AA2">
            <w:pPr>
              <w:spacing w:line="240" w:lineRule="auto"/>
              <w:ind w:firstLine="0"/>
              <w:contextualSpacing/>
              <w:jc w:val="right"/>
            </w:pPr>
            <w:r w:rsidRPr="007670F2">
              <w:t>37 (25.9)</w:t>
            </w:r>
          </w:p>
        </w:tc>
        <w:tc>
          <w:tcPr>
            <w:tcW w:w="695" w:type="pct"/>
            <w:tcBorders>
              <w:bottom w:val="single" w:sz="4" w:space="0" w:color="auto"/>
            </w:tcBorders>
          </w:tcPr>
          <w:p w14:paraId="0A38702C" w14:textId="77777777" w:rsidR="00C755A0" w:rsidRDefault="00C755A0" w:rsidP="00E26AA2">
            <w:pPr>
              <w:spacing w:line="240" w:lineRule="auto"/>
              <w:ind w:firstLine="0"/>
              <w:contextualSpacing/>
              <w:jc w:val="right"/>
            </w:pPr>
            <w:r w:rsidRPr="00DC6B2A">
              <w:t>31 (14.3)</w:t>
            </w:r>
          </w:p>
        </w:tc>
        <w:tc>
          <w:tcPr>
            <w:tcW w:w="696" w:type="pct"/>
            <w:tcBorders>
              <w:bottom w:val="single" w:sz="4" w:space="0" w:color="auto"/>
            </w:tcBorders>
          </w:tcPr>
          <w:p w14:paraId="3233F0BF" w14:textId="77777777" w:rsidR="00C755A0" w:rsidRDefault="00C755A0" w:rsidP="00E26AA2">
            <w:pPr>
              <w:spacing w:line="240" w:lineRule="auto"/>
              <w:ind w:firstLine="0"/>
              <w:contextualSpacing/>
              <w:jc w:val="right"/>
            </w:pPr>
            <w:r w:rsidRPr="00B436C1">
              <w:t>14 (21.9)</w:t>
            </w:r>
          </w:p>
        </w:tc>
        <w:tc>
          <w:tcPr>
            <w:tcW w:w="696" w:type="pct"/>
            <w:tcBorders>
              <w:bottom w:val="single" w:sz="4" w:space="0" w:color="auto"/>
            </w:tcBorders>
          </w:tcPr>
          <w:p w14:paraId="0DA7A209" w14:textId="77777777" w:rsidR="00C755A0" w:rsidRDefault="00C755A0" w:rsidP="00E26AA2">
            <w:pPr>
              <w:spacing w:line="240" w:lineRule="auto"/>
              <w:ind w:firstLine="0"/>
              <w:contextualSpacing/>
              <w:jc w:val="right"/>
            </w:pPr>
            <w:r w:rsidRPr="00171CCE">
              <w:t>5 (25.0)</w:t>
            </w:r>
          </w:p>
        </w:tc>
        <w:tc>
          <w:tcPr>
            <w:tcW w:w="400" w:type="pct"/>
            <w:tcBorders>
              <w:bottom w:val="single" w:sz="4" w:space="0" w:color="auto"/>
            </w:tcBorders>
          </w:tcPr>
          <w:p w14:paraId="72FFF428" w14:textId="77777777" w:rsidR="00C755A0" w:rsidRDefault="00C755A0" w:rsidP="00E26AA2">
            <w:pPr>
              <w:spacing w:line="240" w:lineRule="auto"/>
              <w:ind w:firstLine="0"/>
              <w:contextualSpacing/>
              <w:jc w:val="right"/>
            </w:pPr>
          </w:p>
        </w:tc>
      </w:tr>
    </w:tbl>
    <w:p w14:paraId="0CD8C659" w14:textId="77777777" w:rsidR="00C755A0" w:rsidRDefault="00C755A0" w:rsidP="00E26AA2">
      <w:pPr>
        <w:spacing w:line="240" w:lineRule="auto"/>
      </w:pPr>
    </w:p>
    <w:p w14:paraId="72CB5FD8" w14:textId="77777777" w:rsidR="00E26AA2" w:rsidRDefault="00E26AA2" w:rsidP="00E26AA2">
      <w:pPr>
        <w:spacing w:line="240" w:lineRule="auto"/>
      </w:pPr>
    </w:p>
    <w:p w14:paraId="1C77D17C" w14:textId="77777777" w:rsidR="00E26AA2" w:rsidRDefault="00E26AA2" w:rsidP="00E26AA2">
      <w:pPr>
        <w:spacing w:line="240" w:lineRule="auto"/>
      </w:pPr>
    </w:p>
    <w:p w14:paraId="5D7D7FC8" w14:textId="77777777" w:rsidR="00E26AA2" w:rsidRDefault="00E26AA2" w:rsidP="00E26AA2">
      <w:pPr>
        <w:spacing w:line="240" w:lineRule="auto"/>
      </w:pPr>
    </w:p>
    <w:p w14:paraId="24765730" w14:textId="77777777" w:rsidR="00E26AA2" w:rsidRDefault="00E26AA2" w:rsidP="00E26AA2">
      <w:pPr>
        <w:spacing w:line="240" w:lineRule="auto"/>
      </w:pPr>
    </w:p>
    <w:p w14:paraId="733DE97E" w14:textId="13C79060" w:rsidR="00C755A0" w:rsidRDefault="00C755A0" w:rsidP="00C755A0">
      <w:r>
        <w:t xml:space="preserve">There was no inherent order to the observed cancer stages because of the large share of cancers that were unstaged. Probability of having a stage II, III, IV, or unstaged cancer as opposed to stage </w:t>
      </w:r>
      <w:r w:rsidR="00E7422E">
        <w:t>0/</w:t>
      </w:r>
      <w:r>
        <w:t xml:space="preserve">I was modeled using multinomial regression. Only anatomic site, male sex, and year of diagnosis were significantly associated with stage. The significant association with year of diagnosis largely reflected the fact that more recent cases were less likely to be unstaged. Results were similar for both CD score at diagnosis and 10-year lagged CD score, neither of which predicted CRC stage. Model results for the 10-year lagged CD score are shown in Table </w:t>
      </w:r>
      <w:r w:rsidR="00E26AA2">
        <w:t>IX</w:t>
      </w:r>
      <w:r>
        <w:t xml:space="preserve">. Model results using CD score at diagnosis are shown in Table </w:t>
      </w:r>
      <w:r w:rsidR="00E26AA2">
        <w:t>X</w:t>
      </w:r>
      <w:r>
        <w:t>.</w:t>
      </w:r>
    </w:p>
    <w:p w14:paraId="5335181E" w14:textId="77777777" w:rsidR="00607735" w:rsidRDefault="00607735" w:rsidP="00607735">
      <w:r>
        <w:t>Stage data were available in 363 cases used for the binary logistic regression models. Results were similar to those from the multinomial model. Neither CD score at diagnosis nor CD score 10 years before diagnosis was associated with having a more advanced cancer stage. Race/ethnicity remained unassociated with stage after adjustment.</w:t>
      </w:r>
    </w:p>
    <w:p w14:paraId="1F15A771" w14:textId="2CE6439B" w:rsidR="00607735" w:rsidRDefault="00607735" w:rsidP="00C755A0">
      <w:r>
        <w:t>Kaplan-Meier survival curves were calculated stratified by stage at diagnosis to determine whether cases with missing stage data could be included in the survival models (Figure 3). The</w:t>
      </w:r>
    </w:p>
    <w:p w14:paraId="18BC4CCE" w14:textId="77777777" w:rsidR="00607735" w:rsidRDefault="00607735">
      <w:pPr>
        <w:spacing w:after="160" w:line="259" w:lineRule="auto"/>
        <w:ind w:firstLine="0"/>
      </w:pPr>
      <w:r>
        <w:br w:type="page"/>
      </w:r>
    </w:p>
    <w:p w14:paraId="29338A93" w14:textId="4FFB2066" w:rsidR="00C755A0" w:rsidRDefault="00C755A0" w:rsidP="00C755A0">
      <w:pPr>
        <w:pStyle w:val="TableName"/>
      </w:pPr>
      <w:bookmarkStart w:id="217" w:name="_Toc148375821"/>
      <w:r>
        <w:lastRenderedPageBreak/>
        <w:t xml:space="preserve">Table </w:t>
      </w:r>
      <w:r w:rsidR="00E26AA2">
        <w:t>IX</w:t>
      </w:r>
      <w:r>
        <w:t>. multinomial Model 1: predictors of stage at diagnosis with lagged concentrated disadvantage among people diagnosed with colorectal cancer at UI Health, 1995-2004</w:t>
      </w:r>
      <w:bookmarkEnd w:id="217"/>
    </w:p>
    <w:tbl>
      <w:tblPr>
        <w:tblStyle w:val="PlainTable3"/>
        <w:tblW w:w="5000" w:type="pct"/>
        <w:tblLook w:val="0420" w:firstRow="1" w:lastRow="0" w:firstColumn="0" w:lastColumn="0" w:noHBand="0" w:noVBand="1"/>
      </w:tblPr>
      <w:tblGrid>
        <w:gridCol w:w="3371"/>
        <w:gridCol w:w="1345"/>
        <w:gridCol w:w="1339"/>
        <w:gridCol w:w="1511"/>
        <w:gridCol w:w="1794"/>
      </w:tblGrid>
      <w:tr w:rsidR="00C755A0" w:rsidRPr="00B702C3" w14:paraId="31F90ADF" w14:textId="77777777" w:rsidTr="001A4831">
        <w:trPr>
          <w:cnfStyle w:val="100000000000" w:firstRow="1" w:lastRow="0" w:firstColumn="0" w:lastColumn="0" w:oddVBand="0" w:evenVBand="0" w:oddHBand="0" w:evenHBand="0" w:firstRowFirstColumn="0" w:firstRowLastColumn="0" w:lastRowFirstColumn="0" w:lastRowLastColumn="0"/>
          <w:trHeight w:val="300"/>
        </w:trPr>
        <w:tc>
          <w:tcPr>
            <w:tcW w:w="1694" w:type="pct"/>
            <w:noWrap/>
            <w:hideMark/>
          </w:tcPr>
          <w:p w14:paraId="3957F05C" w14:textId="77777777" w:rsidR="00C755A0" w:rsidRPr="00B702C3" w:rsidRDefault="00C755A0" w:rsidP="001A4831">
            <w:pPr>
              <w:pStyle w:val="NoSpacing"/>
              <w:ind w:firstLine="0"/>
              <w:jc w:val="right"/>
            </w:pPr>
          </w:p>
        </w:tc>
        <w:tc>
          <w:tcPr>
            <w:tcW w:w="745" w:type="pct"/>
            <w:noWrap/>
            <w:hideMark/>
          </w:tcPr>
          <w:p w14:paraId="7DACD3C8" w14:textId="77777777" w:rsidR="00C755A0" w:rsidRPr="003563C9" w:rsidRDefault="00C755A0" w:rsidP="001A4831">
            <w:pPr>
              <w:pStyle w:val="NoSpacing"/>
              <w:ind w:firstLine="0"/>
              <w:jc w:val="right"/>
              <w:rPr>
                <w:rFonts w:cs="Calibri"/>
                <w:caps w:val="0"/>
                <w:color w:val="000000"/>
              </w:rPr>
            </w:pPr>
            <w:r w:rsidRPr="003563C9">
              <w:rPr>
                <w:rFonts w:cs="Calibri"/>
                <w:caps w:val="0"/>
              </w:rPr>
              <w:t>Stage II</w:t>
            </w:r>
          </w:p>
        </w:tc>
        <w:tc>
          <w:tcPr>
            <w:tcW w:w="742" w:type="pct"/>
            <w:noWrap/>
            <w:hideMark/>
          </w:tcPr>
          <w:p w14:paraId="6A45A21B" w14:textId="77777777" w:rsidR="00C755A0" w:rsidRPr="003563C9" w:rsidRDefault="00C755A0" w:rsidP="001A4831">
            <w:pPr>
              <w:pStyle w:val="NoSpacing"/>
              <w:ind w:firstLine="0"/>
              <w:jc w:val="right"/>
              <w:rPr>
                <w:rFonts w:cs="Calibri"/>
                <w:caps w:val="0"/>
                <w:color w:val="000000"/>
              </w:rPr>
            </w:pPr>
            <w:r w:rsidRPr="003563C9">
              <w:rPr>
                <w:rFonts w:cs="Calibri"/>
                <w:caps w:val="0"/>
                <w:color w:val="000000"/>
              </w:rPr>
              <w:t>Stage III</w:t>
            </w:r>
          </w:p>
        </w:tc>
        <w:tc>
          <w:tcPr>
            <w:tcW w:w="834" w:type="pct"/>
            <w:noWrap/>
            <w:hideMark/>
          </w:tcPr>
          <w:p w14:paraId="0C68C8CB" w14:textId="77777777" w:rsidR="00C755A0" w:rsidRPr="003563C9" w:rsidRDefault="00C755A0" w:rsidP="001A4831">
            <w:pPr>
              <w:pStyle w:val="NoSpacing"/>
              <w:ind w:firstLine="0"/>
              <w:jc w:val="right"/>
              <w:rPr>
                <w:rFonts w:cs="Calibri"/>
                <w:caps w:val="0"/>
                <w:color w:val="000000"/>
              </w:rPr>
            </w:pPr>
            <w:r w:rsidRPr="003563C9">
              <w:rPr>
                <w:rFonts w:cs="Calibri"/>
                <w:caps w:val="0"/>
              </w:rPr>
              <w:t>Stage IV</w:t>
            </w:r>
          </w:p>
        </w:tc>
        <w:tc>
          <w:tcPr>
            <w:tcW w:w="985" w:type="pct"/>
            <w:noWrap/>
            <w:hideMark/>
          </w:tcPr>
          <w:p w14:paraId="2AEBC533" w14:textId="77777777" w:rsidR="00C755A0" w:rsidRPr="003563C9" w:rsidRDefault="00C755A0" w:rsidP="001A4831">
            <w:pPr>
              <w:pStyle w:val="NoSpacing"/>
              <w:ind w:firstLine="0"/>
              <w:jc w:val="right"/>
              <w:rPr>
                <w:rFonts w:cs="Calibri"/>
                <w:caps w:val="0"/>
                <w:color w:val="000000"/>
              </w:rPr>
            </w:pPr>
            <w:r w:rsidRPr="003563C9">
              <w:rPr>
                <w:rFonts w:cs="Calibri"/>
                <w:caps w:val="0"/>
                <w:color w:val="000000"/>
              </w:rPr>
              <w:t>Unstaged</w:t>
            </w:r>
          </w:p>
        </w:tc>
      </w:tr>
      <w:tr w:rsidR="00C755A0" w:rsidRPr="00B702C3" w14:paraId="749ADF4E"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4" w:type="pct"/>
            <w:noWrap/>
            <w:hideMark/>
          </w:tcPr>
          <w:p w14:paraId="3A22E295" w14:textId="5BC6CBE6" w:rsidR="00C755A0" w:rsidRPr="003A1D52" w:rsidRDefault="00C755A0" w:rsidP="001A4831">
            <w:pPr>
              <w:pStyle w:val="NoSpacing"/>
              <w:ind w:firstLine="0"/>
              <w:rPr>
                <w:rFonts w:cs="Calibri"/>
                <w:b/>
                <w:bCs/>
                <w:color w:val="000000"/>
              </w:rPr>
            </w:pPr>
            <w:r w:rsidRPr="003A1D52">
              <w:rPr>
                <w:rFonts w:cs="Calibri"/>
                <w:b/>
                <w:bCs/>
                <w:color w:val="000000"/>
              </w:rPr>
              <w:t xml:space="preserve">Age (per </w:t>
            </w:r>
            <w:r w:rsidR="00F340C5" w:rsidRPr="003A1D52">
              <w:rPr>
                <w:rFonts w:cs="Calibri"/>
                <w:b/>
                <w:bCs/>
                <w:color w:val="000000"/>
              </w:rPr>
              <w:t>10-year</w:t>
            </w:r>
            <w:r w:rsidRPr="003A1D52">
              <w:rPr>
                <w:rFonts w:cs="Calibri"/>
                <w:b/>
                <w:bCs/>
                <w:color w:val="000000"/>
              </w:rPr>
              <w:t xml:space="preserve"> change)</w:t>
            </w:r>
          </w:p>
        </w:tc>
        <w:tc>
          <w:tcPr>
            <w:tcW w:w="745" w:type="pct"/>
            <w:noWrap/>
            <w:hideMark/>
          </w:tcPr>
          <w:p w14:paraId="675B323D" w14:textId="77777777" w:rsidR="00C755A0" w:rsidRPr="00B702C3" w:rsidRDefault="00C755A0" w:rsidP="001A4831">
            <w:pPr>
              <w:pStyle w:val="NoSpacing"/>
              <w:ind w:firstLine="0"/>
              <w:jc w:val="right"/>
              <w:rPr>
                <w:rFonts w:cs="Calibri"/>
                <w:color w:val="000000"/>
              </w:rPr>
            </w:pPr>
            <w:r w:rsidRPr="001A627A">
              <w:t>0.02</w:t>
            </w:r>
          </w:p>
        </w:tc>
        <w:tc>
          <w:tcPr>
            <w:tcW w:w="742" w:type="pct"/>
            <w:noWrap/>
            <w:hideMark/>
          </w:tcPr>
          <w:p w14:paraId="30A32C45" w14:textId="77777777" w:rsidR="00C755A0" w:rsidRPr="00B702C3" w:rsidRDefault="00C755A0" w:rsidP="001A4831">
            <w:pPr>
              <w:pStyle w:val="NoSpacing"/>
              <w:ind w:firstLine="0"/>
              <w:jc w:val="right"/>
              <w:rPr>
                <w:rFonts w:cs="Calibri"/>
                <w:color w:val="000000"/>
              </w:rPr>
            </w:pPr>
            <w:r w:rsidRPr="001A627A">
              <w:t>0.0249</w:t>
            </w:r>
          </w:p>
        </w:tc>
        <w:tc>
          <w:tcPr>
            <w:tcW w:w="834" w:type="pct"/>
            <w:noWrap/>
            <w:hideMark/>
          </w:tcPr>
          <w:p w14:paraId="7EE6324C" w14:textId="77777777" w:rsidR="00C755A0" w:rsidRPr="00B702C3" w:rsidRDefault="00C755A0" w:rsidP="001A4831">
            <w:pPr>
              <w:pStyle w:val="NoSpacing"/>
              <w:ind w:firstLine="0"/>
              <w:jc w:val="right"/>
              <w:rPr>
                <w:rFonts w:cs="Calibri"/>
                <w:color w:val="000000"/>
              </w:rPr>
            </w:pPr>
            <w:r w:rsidRPr="001A627A">
              <w:t>-0.2278</w:t>
            </w:r>
          </w:p>
        </w:tc>
        <w:tc>
          <w:tcPr>
            <w:tcW w:w="985" w:type="pct"/>
            <w:noWrap/>
            <w:hideMark/>
          </w:tcPr>
          <w:p w14:paraId="602488A4" w14:textId="77777777" w:rsidR="00C755A0" w:rsidRPr="00B702C3" w:rsidRDefault="00C755A0" w:rsidP="001A4831">
            <w:pPr>
              <w:pStyle w:val="NoSpacing"/>
              <w:ind w:firstLine="0"/>
              <w:jc w:val="right"/>
              <w:rPr>
                <w:rFonts w:cs="Calibri"/>
                <w:color w:val="000000"/>
              </w:rPr>
            </w:pPr>
            <w:r w:rsidRPr="001A627A">
              <w:t>0.1569</w:t>
            </w:r>
          </w:p>
        </w:tc>
      </w:tr>
      <w:tr w:rsidR="00C755A0" w:rsidRPr="00B702C3" w14:paraId="0830E307" w14:textId="77777777" w:rsidTr="001A4831">
        <w:trPr>
          <w:trHeight w:val="300"/>
        </w:trPr>
        <w:tc>
          <w:tcPr>
            <w:tcW w:w="1694" w:type="pct"/>
            <w:noWrap/>
            <w:hideMark/>
          </w:tcPr>
          <w:p w14:paraId="7475AA78" w14:textId="77777777" w:rsidR="00C755A0" w:rsidRPr="003A1D52" w:rsidRDefault="00C755A0" w:rsidP="001A4831">
            <w:pPr>
              <w:pStyle w:val="NoSpacing"/>
              <w:ind w:firstLine="0"/>
              <w:rPr>
                <w:rFonts w:cs="Calibri"/>
                <w:b/>
                <w:bCs/>
                <w:color w:val="000000"/>
              </w:rPr>
            </w:pPr>
            <w:r w:rsidRPr="003A1D52">
              <w:rPr>
                <w:rFonts w:cs="Calibri"/>
                <w:b/>
                <w:bCs/>
                <w:color w:val="000000"/>
              </w:rPr>
              <w:t>Male</w:t>
            </w:r>
          </w:p>
        </w:tc>
        <w:tc>
          <w:tcPr>
            <w:tcW w:w="745" w:type="pct"/>
            <w:noWrap/>
            <w:hideMark/>
          </w:tcPr>
          <w:p w14:paraId="6119B69A" w14:textId="77777777" w:rsidR="00C755A0" w:rsidRPr="00B702C3" w:rsidRDefault="00C755A0" w:rsidP="001A4831">
            <w:pPr>
              <w:pStyle w:val="NoSpacing"/>
              <w:ind w:firstLine="0"/>
              <w:jc w:val="right"/>
              <w:rPr>
                <w:rFonts w:cs="Calibri"/>
                <w:color w:val="000000"/>
              </w:rPr>
            </w:pPr>
            <w:r w:rsidRPr="001A627A">
              <w:t>-0.0995</w:t>
            </w:r>
          </w:p>
        </w:tc>
        <w:tc>
          <w:tcPr>
            <w:tcW w:w="742" w:type="pct"/>
            <w:noWrap/>
            <w:hideMark/>
          </w:tcPr>
          <w:p w14:paraId="327F1946" w14:textId="77777777" w:rsidR="00C755A0" w:rsidRPr="00B702C3" w:rsidRDefault="00C755A0" w:rsidP="001A4831">
            <w:pPr>
              <w:pStyle w:val="NoSpacing"/>
              <w:ind w:firstLine="0"/>
              <w:jc w:val="right"/>
              <w:rPr>
                <w:rFonts w:cs="Calibri"/>
                <w:color w:val="000000"/>
              </w:rPr>
            </w:pPr>
            <w:r w:rsidRPr="001A627A">
              <w:t xml:space="preserve"> -.4002*</w:t>
            </w:r>
          </w:p>
        </w:tc>
        <w:tc>
          <w:tcPr>
            <w:tcW w:w="834" w:type="pct"/>
            <w:noWrap/>
            <w:hideMark/>
          </w:tcPr>
          <w:p w14:paraId="50F95869" w14:textId="77777777" w:rsidR="00C755A0" w:rsidRPr="00B702C3" w:rsidRDefault="00C755A0" w:rsidP="001A4831">
            <w:pPr>
              <w:pStyle w:val="NoSpacing"/>
              <w:ind w:firstLine="0"/>
              <w:jc w:val="right"/>
              <w:rPr>
                <w:rFonts w:cs="Calibri"/>
                <w:color w:val="000000"/>
              </w:rPr>
            </w:pPr>
            <w:r w:rsidRPr="001A627A">
              <w:t>-0.081</w:t>
            </w:r>
          </w:p>
        </w:tc>
        <w:tc>
          <w:tcPr>
            <w:tcW w:w="985" w:type="pct"/>
            <w:noWrap/>
            <w:hideMark/>
          </w:tcPr>
          <w:p w14:paraId="08C1A703" w14:textId="77777777" w:rsidR="00C755A0" w:rsidRPr="00B702C3" w:rsidRDefault="00C755A0" w:rsidP="001A4831">
            <w:pPr>
              <w:pStyle w:val="NoSpacing"/>
              <w:ind w:firstLine="0"/>
              <w:jc w:val="right"/>
              <w:rPr>
                <w:rFonts w:cs="Calibri"/>
                <w:color w:val="000000"/>
              </w:rPr>
            </w:pPr>
            <w:r w:rsidRPr="001A627A">
              <w:t>-0.1424</w:t>
            </w:r>
          </w:p>
        </w:tc>
      </w:tr>
      <w:tr w:rsidR="00C755A0" w:rsidRPr="00B702C3" w14:paraId="15153366"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4" w:type="pct"/>
            <w:noWrap/>
          </w:tcPr>
          <w:p w14:paraId="56823B37" w14:textId="77777777" w:rsidR="00C755A0" w:rsidRPr="003A1D52" w:rsidRDefault="00C755A0" w:rsidP="001A4831">
            <w:pPr>
              <w:pStyle w:val="NoSpacing"/>
              <w:ind w:firstLine="0"/>
              <w:rPr>
                <w:rFonts w:cs="Calibri"/>
                <w:b/>
                <w:bCs/>
                <w:color w:val="000000"/>
              </w:rPr>
            </w:pPr>
            <w:r w:rsidRPr="003A1D52">
              <w:rPr>
                <w:rFonts w:cs="Calibri"/>
                <w:b/>
                <w:bCs/>
                <w:color w:val="000000"/>
              </w:rPr>
              <w:t>Race/Ethnicity</w:t>
            </w:r>
          </w:p>
        </w:tc>
        <w:tc>
          <w:tcPr>
            <w:tcW w:w="745" w:type="pct"/>
            <w:noWrap/>
          </w:tcPr>
          <w:p w14:paraId="5D26853F" w14:textId="77777777" w:rsidR="00C755A0" w:rsidRPr="001A627A" w:rsidRDefault="00C755A0" w:rsidP="001A4831">
            <w:pPr>
              <w:pStyle w:val="NoSpacing"/>
              <w:ind w:firstLine="0"/>
              <w:jc w:val="right"/>
            </w:pPr>
          </w:p>
        </w:tc>
        <w:tc>
          <w:tcPr>
            <w:tcW w:w="742" w:type="pct"/>
            <w:noWrap/>
          </w:tcPr>
          <w:p w14:paraId="29D29AAE" w14:textId="77777777" w:rsidR="00C755A0" w:rsidRPr="001A627A" w:rsidRDefault="00C755A0" w:rsidP="001A4831">
            <w:pPr>
              <w:pStyle w:val="NoSpacing"/>
              <w:ind w:firstLine="0"/>
              <w:jc w:val="right"/>
            </w:pPr>
          </w:p>
        </w:tc>
        <w:tc>
          <w:tcPr>
            <w:tcW w:w="834" w:type="pct"/>
            <w:noWrap/>
          </w:tcPr>
          <w:p w14:paraId="0F84C20E" w14:textId="77777777" w:rsidR="00C755A0" w:rsidRPr="001A627A" w:rsidRDefault="00C755A0" w:rsidP="001A4831">
            <w:pPr>
              <w:pStyle w:val="NoSpacing"/>
              <w:ind w:firstLine="0"/>
              <w:jc w:val="right"/>
            </w:pPr>
          </w:p>
        </w:tc>
        <w:tc>
          <w:tcPr>
            <w:tcW w:w="985" w:type="pct"/>
            <w:noWrap/>
          </w:tcPr>
          <w:p w14:paraId="73155971" w14:textId="77777777" w:rsidR="00C755A0" w:rsidRPr="001A627A" w:rsidRDefault="00C755A0" w:rsidP="001A4831">
            <w:pPr>
              <w:pStyle w:val="NoSpacing"/>
              <w:ind w:firstLine="0"/>
              <w:jc w:val="right"/>
            </w:pPr>
          </w:p>
        </w:tc>
      </w:tr>
      <w:tr w:rsidR="00C755A0" w:rsidRPr="00B702C3" w14:paraId="27B025A8" w14:textId="77777777" w:rsidTr="001A4831">
        <w:trPr>
          <w:trHeight w:val="300"/>
        </w:trPr>
        <w:tc>
          <w:tcPr>
            <w:tcW w:w="1694" w:type="pct"/>
            <w:noWrap/>
            <w:hideMark/>
          </w:tcPr>
          <w:p w14:paraId="69618088" w14:textId="77777777" w:rsidR="00C755A0" w:rsidRPr="003A1D52" w:rsidRDefault="00C755A0" w:rsidP="001A4831">
            <w:pPr>
              <w:pStyle w:val="NoSpacing"/>
              <w:ind w:firstLine="0"/>
              <w:jc w:val="right"/>
              <w:rPr>
                <w:rFonts w:cs="Calibri"/>
                <w:i/>
                <w:iCs/>
                <w:color w:val="000000"/>
              </w:rPr>
            </w:pPr>
            <w:r w:rsidRPr="003A1D52">
              <w:rPr>
                <w:rFonts w:cs="Calibri"/>
                <w:i/>
                <w:iCs/>
                <w:color w:val="000000"/>
              </w:rPr>
              <w:t>Non-Hispanic Black</w:t>
            </w:r>
          </w:p>
        </w:tc>
        <w:tc>
          <w:tcPr>
            <w:tcW w:w="745" w:type="pct"/>
            <w:noWrap/>
            <w:hideMark/>
          </w:tcPr>
          <w:p w14:paraId="5C8CCF40" w14:textId="77777777" w:rsidR="00C755A0" w:rsidRPr="00B702C3" w:rsidRDefault="00C755A0" w:rsidP="001A4831">
            <w:pPr>
              <w:pStyle w:val="NoSpacing"/>
              <w:ind w:firstLine="0"/>
              <w:jc w:val="right"/>
              <w:rPr>
                <w:rFonts w:cs="Calibri"/>
                <w:color w:val="000000"/>
              </w:rPr>
            </w:pPr>
            <w:r w:rsidRPr="001A627A">
              <w:t>-0.144</w:t>
            </w:r>
          </w:p>
        </w:tc>
        <w:tc>
          <w:tcPr>
            <w:tcW w:w="742" w:type="pct"/>
            <w:noWrap/>
            <w:hideMark/>
          </w:tcPr>
          <w:p w14:paraId="20F7AF08" w14:textId="77777777" w:rsidR="00C755A0" w:rsidRPr="00B702C3" w:rsidRDefault="00C755A0" w:rsidP="001A4831">
            <w:pPr>
              <w:pStyle w:val="NoSpacing"/>
              <w:ind w:firstLine="0"/>
              <w:jc w:val="right"/>
              <w:rPr>
                <w:rFonts w:cs="Calibri"/>
                <w:color w:val="000000"/>
              </w:rPr>
            </w:pPr>
            <w:r w:rsidRPr="001A627A">
              <w:t>0.5074</w:t>
            </w:r>
          </w:p>
        </w:tc>
        <w:tc>
          <w:tcPr>
            <w:tcW w:w="834" w:type="pct"/>
            <w:noWrap/>
            <w:hideMark/>
          </w:tcPr>
          <w:p w14:paraId="59028525" w14:textId="77777777" w:rsidR="00C755A0" w:rsidRPr="00B702C3" w:rsidRDefault="00C755A0" w:rsidP="001A4831">
            <w:pPr>
              <w:pStyle w:val="NoSpacing"/>
              <w:ind w:firstLine="0"/>
              <w:jc w:val="right"/>
              <w:rPr>
                <w:rFonts w:cs="Calibri"/>
                <w:color w:val="000000"/>
              </w:rPr>
            </w:pPr>
            <w:r w:rsidRPr="001A627A">
              <w:t>-0.0384</w:t>
            </w:r>
          </w:p>
        </w:tc>
        <w:tc>
          <w:tcPr>
            <w:tcW w:w="985" w:type="pct"/>
            <w:noWrap/>
            <w:hideMark/>
          </w:tcPr>
          <w:p w14:paraId="50BAC1F8" w14:textId="77777777" w:rsidR="00C755A0" w:rsidRPr="00B702C3" w:rsidRDefault="00C755A0" w:rsidP="001A4831">
            <w:pPr>
              <w:pStyle w:val="NoSpacing"/>
              <w:ind w:firstLine="0"/>
              <w:jc w:val="right"/>
              <w:rPr>
                <w:rFonts w:cs="Calibri"/>
                <w:color w:val="000000"/>
              </w:rPr>
            </w:pPr>
            <w:r w:rsidRPr="001A627A">
              <w:t>-0.3682</w:t>
            </w:r>
          </w:p>
        </w:tc>
      </w:tr>
      <w:tr w:rsidR="00C755A0" w:rsidRPr="00B702C3" w14:paraId="010EB953"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4" w:type="pct"/>
            <w:noWrap/>
            <w:hideMark/>
          </w:tcPr>
          <w:p w14:paraId="2BA15A5A" w14:textId="77777777" w:rsidR="00C755A0" w:rsidRPr="003A1D52" w:rsidRDefault="00C755A0" w:rsidP="001A4831">
            <w:pPr>
              <w:pStyle w:val="NoSpacing"/>
              <w:ind w:firstLine="0"/>
              <w:jc w:val="right"/>
              <w:rPr>
                <w:rFonts w:cs="Calibri"/>
                <w:i/>
                <w:iCs/>
                <w:color w:val="000000"/>
              </w:rPr>
            </w:pPr>
            <w:r w:rsidRPr="003A1D52">
              <w:rPr>
                <w:rFonts w:cs="Calibri"/>
                <w:i/>
                <w:iCs/>
                <w:color w:val="000000"/>
              </w:rPr>
              <w:t>Hispanic</w:t>
            </w:r>
          </w:p>
        </w:tc>
        <w:tc>
          <w:tcPr>
            <w:tcW w:w="745" w:type="pct"/>
            <w:noWrap/>
            <w:hideMark/>
          </w:tcPr>
          <w:p w14:paraId="6813EAA3" w14:textId="77777777" w:rsidR="00C755A0" w:rsidRPr="00B702C3" w:rsidRDefault="00C755A0" w:rsidP="001A4831">
            <w:pPr>
              <w:pStyle w:val="NoSpacing"/>
              <w:ind w:firstLine="0"/>
              <w:jc w:val="right"/>
              <w:rPr>
                <w:rFonts w:cs="Calibri"/>
                <w:color w:val="000000"/>
              </w:rPr>
            </w:pPr>
            <w:r w:rsidRPr="001A627A">
              <w:t>-0.0834</w:t>
            </w:r>
          </w:p>
        </w:tc>
        <w:tc>
          <w:tcPr>
            <w:tcW w:w="742" w:type="pct"/>
            <w:noWrap/>
            <w:hideMark/>
          </w:tcPr>
          <w:p w14:paraId="5F1D550A" w14:textId="77777777" w:rsidR="00C755A0" w:rsidRPr="00B702C3" w:rsidRDefault="00C755A0" w:rsidP="001A4831">
            <w:pPr>
              <w:pStyle w:val="NoSpacing"/>
              <w:ind w:firstLine="0"/>
              <w:jc w:val="right"/>
              <w:rPr>
                <w:rFonts w:cs="Calibri"/>
                <w:color w:val="000000"/>
              </w:rPr>
            </w:pPr>
            <w:r w:rsidRPr="001A627A">
              <w:t>0.3881</w:t>
            </w:r>
          </w:p>
        </w:tc>
        <w:tc>
          <w:tcPr>
            <w:tcW w:w="834" w:type="pct"/>
            <w:noWrap/>
            <w:hideMark/>
          </w:tcPr>
          <w:p w14:paraId="03545B12" w14:textId="77777777" w:rsidR="00C755A0" w:rsidRPr="00B702C3" w:rsidRDefault="00C755A0" w:rsidP="001A4831">
            <w:pPr>
              <w:pStyle w:val="NoSpacing"/>
              <w:ind w:firstLine="0"/>
              <w:jc w:val="right"/>
              <w:rPr>
                <w:rFonts w:cs="Calibri"/>
                <w:color w:val="000000"/>
              </w:rPr>
            </w:pPr>
            <w:r w:rsidRPr="001A627A">
              <w:t>0.7066</w:t>
            </w:r>
          </w:p>
        </w:tc>
        <w:tc>
          <w:tcPr>
            <w:tcW w:w="985" w:type="pct"/>
            <w:noWrap/>
            <w:hideMark/>
          </w:tcPr>
          <w:p w14:paraId="56366D5F" w14:textId="77777777" w:rsidR="00C755A0" w:rsidRPr="00B702C3" w:rsidRDefault="00C755A0" w:rsidP="001A4831">
            <w:pPr>
              <w:pStyle w:val="NoSpacing"/>
              <w:ind w:firstLine="0"/>
              <w:jc w:val="right"/>
              <w:rPr>
                <w:rFonts w:cs="Calibri"/>
                <w:color w:val="000000"/>
              </w:rPr>
            </w:pPr>
            <w:r w:rsidRPr="001A627A">
              <w:t>-0.1118</w:t>
            </w:r>
          </w:p>
        </w:tc>
      </w:tr>
      <w:tr w:rsidR="00C755A0" w:rsidRPr="00B702C3" w14:paraId="4E063B09" w14:textId="77777777" w:rsidTr="001A4831">
        <w:trPr>
          <w:trHeight w:val="300"/>
        </w:trPr>
        <w:tc>
          <w:tcPr>
            <w:tcW w:w="1694" w:type="pct"/>
            <w:noWrap/>
            <w:hideMark/>
          </w:tcPr>
          <w:p w14:paraId="2CE8472C" w14:textId="77777777" w:rsidR="00C755A0" w:rsidRPr="003A1D52" w:rsidRDefault="00C755A0" w:rsidP="001A4831">
            <w:pPr>
              <w:pStyle w:val="NoSpacing"/>
              <w:ind w:firstLine="0"/>
              <w:jc w:val="right"/>
              <w:rPr>
                <w:rFonts w:cs="Calibri"/>
                <w:i/>
                <w:iCs/>
                <w:color w:val="000000"/>
              </w:rPr>
            </w:pPr>
            <w:r w:rsidRPr="003A1D52">
              <w:rPr>
                <w:rFonts w:cs="Calibri"/>
                <w:i/>
                <w:iCs/>
                <w:color w:val="000000"/>
              </w:rPr>
              <w:t>Other Race/Ethnicity</w:t>
            </w:r>
          </w:p>
        </w:tc>
        <w:tc>
          <w:tcPr>
            <w:tcW w:w="745" w:type="pct"/>
            <w:noWrap/>
            <w:hideMark/>
          </w:tcPr>
          <w:p w14:paraId="65FF284B" w14:textId="77777777" w:rsidR="00C755A0" w:rsidRPr="00B702C3" w:rsidRDefault="00C755A0" w:rsidP="001A4831">
            <w:pPr>
              <w:pStyle w:val="NoSpacing"/>
              <w:ind w:firstLine="0"/>
              <w:jc w:val="right"/>
              <w:rPr>
                <w:rFonts w:cs="Calibri"/>
                <w:color w:val="000000"/>
              </w:rPr>
            </w:pPr>
            <w:r w:rsidRPr="001A627A">
              <w:t>-0.1798</w:t>
            </w:r>
          </w:p>
        </w:tc>
        <w:tc>
          <w:tcPr>
            <w:tcW w:w="742" w:type="pct"/>
            <w:noWrap/>
            <w:hideMark/>
          </w:tcPr>
          <w:p w14:paraId="08B9AB44" w14:textId="77777777" w:rsidR="00C755A0" w:rsidRPr="00B702C3" w:rsidRDefault="00C755A0" w:rsidP="001A4831">
            <w:pPr>
              <w:pStyle w:val="NoSpacing"/>
              <w:ind w:firstLine="0"/>
              <w:jc w:val="right"/>
              <w:rPr>
                <w:rFonts w:cs="Calibri"/>
                <w:color w:val="000000"/>
              </w:rPr>
            </w:pPr>
            <w:r w:rsidRPr="001A627A">
              <w:t>-0.9065</w:t>
            </w:r>
          </w:p>
        </w:tc>
        <w:tc>
          <w:tcPr>
            <w:tcW w:w="834" w:type="pct"/>
            <w:noWrap/>
            <w:hideMark/>
          </w:tcPr>
          <w:p w14:paraId="55EBFB9C" w14:textId="77777777" w:rsidR="00C755A0" w:rsidRPr="00B702C3" w:rsidRDefault="00C755A0" w:rsidP="001A4831">
            <w:pPr>
              <w:pStyle w:val="NoSpacing"/>
              <w:ind w:firstLine="0"/>
              <w:jc w:val="right"/>
              <w:rPr>
                <w:rFonts w:cs="Calibri"/>
                <w:color w:val="000000"/>
              </w:rPr>
            </w:pPr>
            <w:r w:rsidRPr="001A627A">
              <w:t>-0.8308</w:t>
            </w:r>
          </w:p>
        </w:tc>
        <w:tc>
          <w:tcPr>
            <w:tcW w:w="985" w:type="pct"/>
            <w:noWrap/>
            <w:hideMark/>
          </w:tcPr>
          <w:p w14:paraId="59207A72" w14:textId="77777777" w:rsidR="00C755A0" w:rsidRPr="00B702C3" w:rsidRDefault="00C755A0" w:rsidP="001A4831">
            <w:pPr>
              <w:pStyle w:val="NoSpacing"/>
              <w:ind w:firstLine="0"/>
              <w:jc w:val="right"/>
              <w:rPr>
                <w:rFonts w:cs="Calibri"/>
                <w:color w:val="000000"/>
              </w:rPr>
            </w:pPr>
            <w:r w:rsidRPr="001A627A">
              <w:t>0.2876</w:t>
            </w:r>
          </w:p>
        </w:tc>
      </w:tr>
      <w:tr w:rsidR="00C755A0" w:rsidRPr="00B702C3" w14:paraId="2A7F01C7"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4" w:type="pct"/>
            <w:noWrap/>
          </w:tcPr>
          <w:p w14:paraId="60139704" w14:textId="77777777" w:rsidR="00C755A0" w:rsidRPr="003A1D52" w:rsidRDefault="00C755A0" w:rsidP="001A4831">
            <w:pPr>
              <w:pStyle w:val="NoSpacing"/>
              <w:ind w:firstLine="0"/>
              <w:rPr>
                <w:rFonts w:cs="Calibri"/>
                <w:b/>
                <w:bCs/>
                <w:color w:val="000000"/>
              </w:rPr>
            </w:pPr>
            <w:r w:rsidRPr="003A1D52">
              <w:rPr>
                <w:rFonts w:cs="Calibri"/>
                <w:b/>
                <w:bCs/>
                <w:color w:val="000000"/>
              </w:rPr>
              <w:t>Anatomic Site</w:t>
            </w:r>
          </w:p>
        </w:tc>
        <w:tc>
          <w:tcPr>
            <w:tcW w:w="745" w:type="pct"/>
            <w:noWrap/>
          </w:tcPr>
          <w:p w14:paraId="6A9570FB" w14:textId="77777777" w:rsidR="00C755A0" w:rsidRPr="001A627A" w:rsidRDefault="00C755A0" w:rsidP="001A4831">
            <w:pPr>
              <w:pStyle w:val="NoSpacing"/>
              <w:ind w:firstLine="0"/>
              <w:jc w:val="right"/>
            </w:pPr>
          </w:p>
        </w:tc>
        <w:tc>
          <w:tcPr>
            <w:tcW w:w="742" w:type="pct"/>
            <w:noWrap/>
          </w:tcPr>
          <w:p w14:paraId="021C490B" w14:textId="77777777" w:rsidR="00C755A0" w:rsidRPr="001A627A" w:rsidRDefault="00C755A0" w:rsidP="001A4831">
            <w:pPr>
              <w:pStyle w:val="NoSpacing"/>
              <w:ind w:firstLine="0"/>
              <w:jc w:val="right"/>
            </w:pPr>
          </w:p>
        </w:tc>
        <w:tc>
          <w:tcPr>
            <w:tcW w:w="834" w:type="pct"/>
            <w:noWrap/>
          </w:tcPr>
          <w:p w14:paraId="122AE824" w14:textId="77777777" w:rsidR="00C755A0" w:rsidRPr="001A627A" w:rsidRDefault="00C755A0" w:rsidP="001A4831">
            <w:pPr>
              <w:pStyle w:val="NoSpacing"/>
              <w:ind w:firstLine="0"/>
              <w:jc w:val="right"/>
            </w:pPr>
          </w:p>
        </w:tc>
        <w:tc>
          <w:tcPr>
            <w:tcW w:w="985" w:type="pct"/>
            <w:noWrap/>
          </w:tcPr>
          <w:p w14:paraId="131868F4" w14:textId="77777777" w:rsidR="00C755A0" w:rsidRPr="001A627A" w:rsidRDefault="00C755A0" w:rsidP="001A4831">
            <w:pPr>
              <w:pStyle w:val="NoSpacing"/>
              <w:ind w:firstLine="0"/>
              <w:jc w:val="right"/>
            </w:pPr>
          </w:p>
        </w:tc>
      </w:tr>
      <w:tr w:rsidR="00C755A0" w:rsidRPr="00B702C3" w14:paraId="667A01DC" w14:textId="77777777" w:rsidTr="001A4831">
        <w:trPr>
          <w:trHeight w:val="300"/>
        </w:trPr>
        <w:tc>
          <w:tcPr>
            <w:tcW w:w="1694" w:type="pct"/>
            <w:noWrap/>
            <w:hideMark/>
          </w:tcPr>
          <w:p w14:paraId="6573FE6A" w14:textId="54DBA858" w:rsidR="00C755A0" w:rsidRPr="003A1D52" w:rsidRDefault="00FF2326" w:rsidP="001A4831">
            <w:pPr>
              <w:pStyle w:val="NoSpacing"/>
              <w:ind w:firstLine="0"/>
              <w:jc w:val="right"/>
              <w:rPr>
                <w:rFonts w:cs="Calibri"/>
                <w:i/>
                <w:iCs/>
                <w:color w:val="000000"/>
              </w:rPr>
            </w:pPr>
            <w:r>
              <w:rPr>
                <w:rFonts w:cs="Calibri"/>
                <w:i/>
                <w:iCs/>
                <w:color w:val="000000"/>
              </w:rPr>
              <w:t>Colon</w:t>
            </w:r>
          </w:p>
        </w:tc>
        <w:tc>
          <w:tcPr>
            <w:tcW w:w="745" w:type="pct"/>
            <w:noWrap/>
            <w:hideMark/>
          </w:tcPr>
          <w:p w14:paraId="2DF42185" w14:textId="77777777" w:rsidR="00C755A0" w:rsidRPr="00B702C3" w:rsidRDefault="00C755A0" w:rsidP="001A4831">
            <w:pPr>
              <w:pStyle w:val="NoSpacing"/>
              <w:ind w:firstLine="0"/>
              <w:jc w:val="right"/>
              <w:rPr>
                <w:rFonts w:cs="Calibri"/>
                <w:color w:val="000000"/>
              </w:rPr>
            </w:pPr>
            <w:r w:rsidRPr="001A627A">
              <w:t>0.2599</w:t>
            </w:r>
          </w:p>
        </w:tc>
        <w:tc>
          <w:tcPr>
            <w:tcW w:w="742" w:type="pct"/>
            <w:noWrap/>
            <w:hideMark/>
          </w:tcPr>
          <w:p w14:paraId="09B6AC35" w14:textId="77777777" w:rsidR="00C755A0" w:rsidRPr="00B702C3" w:rsidRDefault="00C755A0" w:rsidP="001A4831">
            <w:pPr>
              <w:pStyle w:val="NoSpacing"/>
              <w:ind w:firstLine="0"/>
              <w:jc w:val="right"/>
              <w:rPr>
                <w:rFonts w:cs="Calibri"/>
                <w:color w:val="000000"/>
              </w:rPr>
            </w:pPr>
            <w:r w:rsidRPr="001A627A">
              <w:t>0.1893</w:t>
            </w:r>
          </w:p>
        </w:tc>
        <w:tc>
          <w:tcPr>
            <w:tcW w:w="834" w:type="pct"/>
            <w:noWrap/>
            <w:hideMark/>
          </w:tcPr>
          <w:p w14:paraId="3FF92C45" w14:textId="77777777" w:rsidR="00C755A0" w:rsidRPr="00B702C3" w:rsidRDefault="00C755A0" w:rsidP="001A4831">
            <w:pPr>
              <w:pStyle w:val="NoSpacing"/>
              <w:ind w:firstLine="0"/>
              <w:jc w:val="right"/>
              <w:rPr>
                <w:rFonts w:cs="Calibri"/>
                <w:color w:val="000000"/>
              </w:rPr>
            </w:pPr>
            <w:r w:rsidRPr="001A627A">
              <w:t>0.2684</w:t>
            </w:r>
          </w:p>
        </w:tc>
        <w:tc>
          <w:tcPr>
            <w:tcW w:w="985" w:type="pct"/>
            <w:noWrap/>
            <w:hideMark/>
          </w:tcPr>
          <w:p w14:paraId="552423B0" w14:textId="77777777" w:rsidR="00C755A0" w:rsidRPr="00B702C3" w:rsidRDefault="00C755A0" w:rsidP="001A4831">
            <w:pPr>
              <w:pStyle w:val="NoSpacing"/>
              <w:ind w:firstLine="0"/>
              <w:jc w:val="right"/>
              <w:rPr>
                <w:rFonts w:cs="Calibri"/>
                <w:color w:val="000000"/>
              </w:rPr>
            </w:pPr>
            <w:r w:rsidRPr="001A627A">
              <w:t>0.3984</w:t>
            </w:r>
          </w:p>
        </w:tc>
      </w:tr>
      <w:tr w:rsidR="00C755A0" w:rsidRPr="00B702C3" w14:paraId="0E87AF1A"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4" w:type="pct"/>
            <w:noWrap/>
            <w:hideMark/>
          </w:tcPr>
          <w:p w14:paraId="71A6367A" w14:textId="09D61149" w:rsidR="00C755A0" w:rsidRPr="003A1D52" w:rsidRDefault="00FF2326" w:rsidP="001A4831">
            <w:pPr>
              <w:pStyle w:val="NoSpacing"/>
              <w:ind w:firstLine="0"/>
              <w:jc w:val="right"/>
              <w:rPr>
                <w:rFonts w:cs="Calibri"/>
                <w:i/>
                <w:iCs/>
                <w:color w:val="000000"/>
              </w:rPr>
            </w:pPr>
            <w:r>
              <w:rPr>
                <w:rFonts w:cs="Calibri"/>
                <w:i/>
                <w:iCs/>
                <w:color w:val="000000"/>
              </w:rPr>
              <w:t>Rectosigmoid junction</w:t>
            </w:r>
          </w:p>
        </w:tc>
        <w:tc>
          <w:tcPr>
            <w:tcW w:w="745" w:type="pct"/>
            <w:noWrap/>
            <w:hideMark/>
          </w:tcPr>
          <w:p w14:paraId="1084D332" w14:textId="77777777" w:rsidR="00C755A0" w:rsidRPr="00B702C3" w:rsidRDefault="00C755A0" w:rsidP="001A4831">
            <w:pPr>
              <w:pStyle w:val="NoSpacing"/>
              <w:ind w:firstLine="0"/>
              <w:jc w:val="right"/>
              <w:rPr>
                <w:rFonts w:cs="Calibri"/>
                <w:color w:val="000000"/>
              </w:rPr>
            </w:pPr>
            <w:r w:rsidRPr="001A627A">
              <w:t>0.6853</w:t>
            </w:r>
          </w:p>
        </w:tc>
        <w:tc>
          <w:tcPr>
            <w:tcW w:w="742" w:type="pct"/>
            <w:noWrap/>
            <w:hideMark/>
          </w:tcPr>
          <w:p w14:paraId="52A6D5CB" w14:textId="77777777" w:rsidR="00C755A0" w:rsidRPr="00B702C3" w:rsidRDefault="00C755A0" w:rsidP="001A4831">
            <w:pPr>
              <w:pStyle w:val="NoSpacing"/>
              <w:ind w:firstLine="0"/>
              <w:jc w:val="right"/>
              <w:rPr>
                <w:rFonts w:cs="Calibri"/>
                <w:color w:val="000000"/>
              </w:rPr>
            </w:pPr>
            <w:r w:rsidRPr="001A627A">
              <w:t>0.4912</w:t>
            </w:r>
          </w:p>
        </w:tc>
        <w:tc>
          <w:tcPr>
            <w:tcW w:w="834" w:type="pct"/>
            <w:noWrap/>
            <w:hideMark/>
          </w:tcPr>
          <w:p w14:paraId="6564A22A" w14:textId="77777777" w:rsidR="00C755A0" w:rsidRPr="00B702C3" w:rsidRDefault="00C755A0" w:rsidP="001A4831">
            <w:pPr>
              <w:pStyle w:val="NoSpacing"/>
              <w:ind w:firstLine="0"/>
              <w:jc w:val="right"/>
              <w:rPr>
                <w:rFonts w:cs="Calibri"/>
                <w:color w:val="000000"/>
              </w:rPr>
            </w:pPr>
            <w:r w:rsidRPr="001A627A">
              <w:t>0.8131</w:t>
            </w:r>
          </w:p>
        </w:tc>
        <w:tc>
          <w:tcPr>
            <w:tcW w:w="985" w:type="pct"/>
            <w:noWrap/>
            <w:hideMark/>
          </w:tcPr>
          <w:p w14:paraId="60AE01CB" w14:textId="77777777" w:rsidR="00C755A0" w:rsidRPr="00B702C3" w:rsidRDefault="00C755A0" w:rsidP="001A4831">
            <w:pPr>
              <w:pStyle w:val="NoSpacing"/>
              <w:ind w:firstLine="0"/>
              <w:jc w:val="right"/>
              <w:rPr>
                <w:rFonts w:cs="Calibri"/>
                <w:color w:val="000000"/>
              </w:rPr>
            </w:pPr>
            <w:r w:rsidRPr="001A627A">
              <w:t>-0.0242</w:t>
            </w:r>
          </w:p>
        </w:tc>
      </w:tr>
      <w:tr w:rsidR="00C755A0" w:rsidRPr="00B702C3" w14:paraId="15A322B1" w14:textId="77777777" w:rsidTr="00F340C5">
        <w:trPr>
          <w:trHeight w:val="300"/>
        </w:trPr>
        <w:tc>
          <w:tcPr>
            <w:tcW w:w="1694" w:type="pct"/>
            <w:noWrap/>
          </w:tcPr>
          <w:p w14:paraId="06553092" w14:textId="77777777" w:rsidR="00C755A0" w:rsidRPr="003A1D52" w:rsidRDefault="00C755A0" w:rsidP="001A4831">
            <w:pPr>
              <w:pStyle w:val="NoSpacing"/>
              <w:ind w:firstLine="0"/>
              <w:rPr>
                <w:rFonts w:cs="Calibri"/>
                <w:b/>
                <w:bCs/>
                <w:color w:val="000000"/>
              </w:rPr>
            </w:pPr>
            <w:r w:rsidRPr="003A1D52">
              <w:rPr>
                <w:rFonts w:cs="Calibri"/>
                <w:b/>
                <w:bCs/>
                <w:color w:val="000000"/>
              </w:rPr>
              <w:t>Year of Diagnosis</w:t>
            </w:r>
          </w:p>
        </w:tc>
        <w:tc>
          <w:tcPr>
            <w:tcW w:w="745" w:type="pct"/>
            <w:noWrap/>
          </w:tcPr>
          <w:p w14:paraId="0D350664" w14:textId="77777777" w:rsidR="00C755A0" w:rsidRPr="001A627A" w:rsidRDefault="00C755A0" w:rsidP="001A4831">
            <w:pPr>
              <w:pStyle w:val="NoSpacing"/>
              <w:ind w:firstLine="0"/>
              <w:jc w:val="right"/>
            </w:pPr>
            <w:r w:rsidRPr="00FB4D35">
              <w:t>-0.1332</w:t>
            </w:r>
          </w:p>
        </w:tc>
        <w:tc>
          <w:tcPr>
            <w:tcW w:w="742" w:type="pct"/>
            <w:noWrap/>
          </w:tcPr>
          <w:p w14:paraId="4642EA64" w14:textId="77777777" w:rsidR="00C755A0" w:rsidRPr="001A627A" w:rsidRDefault="00C755A0" w:rsidP="001A4831">
            <w:pPr>
              <w:pStyle w:val="NoSpacing"/>
              <w:ind w:firstLine="0"/>
              <w:jc w:val="right"/>
            </w:pPr>
            <w:r w:rsidRPr="00FB4D35">
              <w:t>-0.0711</w:t>
            </w:r>
          </w:p>
        </w:tc>
        <w:tc>
          <w:tcPr>
            <w:tcW w:w="834" w:type="pct"/>
            <w:noWrap/>
          </w:tcPr>
          <w:p w14:paraId="1026E3C9" w14:textId="77777777" w:rsidR="00C755A0" w:rsidRPr="001A627A" w:rsidRDefault="00C755A0" w:rsidP="001A4831">
            <w:pPr>
              <w:pStyle w:val="NoSpacing"/>
              <w:ind w:firstLine="0"/>
              <w:jc w:val="right"/>
            </w:pPr>
            <w:r w:rsidRPr="00FB4D35">
              <w:t>-0.1288</w:t>
            </w:r>
          </w:p>
        </w:tc>
        <w:tc>
          <w:tcPr>
            <w:tcW w:w="985" w:type="pct"/>
            <w:noWrap/>
          </w:tcPr>
          <w:p w14:paraId="3EFD473F" w14:textId="77777777" w:rsidR="00C755A0" w:rsidRPr="001A627A" w:rsidRDefault="00C755A0" w:rsidP="001A4831">
            <w:pPr>
              <w:pStyle w:val="NoSpacing"/>
              <w:ind w:firstLine="0"/>
              <w:jc w:val="right"/>
            </w:pPr>
            <w:r w:rsidRPr="00FB4D35">
              <w:t xml:space="preserve"> -.2184**</w:t>
            </w:r>
          </w:p>
        </w:tc>
      </w:tr>
      <w:tr w:rsidR="00C755A0" w:rsidRPr="00B702C3" w14:paraId="790F2221" w14:textId="77777777" w:rsidTr="00F340C5">
        <w:trPr>
          <w:cnfStyle w:val="000000100000" w:firstRow="0" w:lastRow="0" w:firstColumn="0" w:lastColumn="0" w:oddVBand="0" w:evenVBand="0" w:oddHBand="1" w:evenHBand="0" w:firstRowFirstColumn="0" w:firstRowLastColumn="0" w:lastRowFirstColumn="0" w:lastRowLastColumn="0"/>
          <w:trHeight w:val="300"/>
        </w:trPr>
        <w:tc>
          <w:tcPr>
            <w:tcW w:w="1694" w:type="pct"/>
            <w:tcBorders>
              <w:bottom w:val="single" w:sz="4" w:space="0" w:color="auto"/>
            </w:tcBorders>
            <w:noWrap/>
            <w:hideMark/>
          </w:tcPr>
          <w:p w14:paraId="2E769BDF" w14:textId="77777777" w:rsidR="00C755A0" w:rsidRPr="003A1D52" w:rsidRDefault="00C755A0" w:rsidP="001A4831">
            <w:pPr>
              <w:pStyle w:val="NoSpacing"/>
              <w:ind w:firstLine="0"/>
              <w:rPr>
                <w:rFonts w:cs="Calibri"/>
                <w:b/>
                <w:bCs/>
                <w:color w:val="000000"/>
              </w:rPr>
            </w:pPr>
            <w:r w:rsidRPr="003A1D52">
              <w:rPr>
                <w:rFonts w:cs="Calibri"/>
                <w:b/>
                <w:bCs/>
                <w:color w:val="000000"/>
              </w:rPr>
              <w:t>CD Score at Diagnosis -10 years</w:t>
            </w:r>
          </w:p>
        </w:tc>
        <w:tc>
          <w:tcPr>
            <w:tcW w:w="745" w:type="pct"/>
            <w:tcBorders>
              <w:bottom w:val="single" w:sz="4" w:space="0" w:color="auto"/>
            </w:tcBorders>
            <w:noWrap/>
            <w:hideMark/>
          </w:tcPr>
          <w:p w14:paraId="17467D00" w14:textId="77777777" w:rsidR="00C755A0" w:rsidRPr="00B702C3" w:rsidRDefault="00C755A0" w:rsidP="001A4831">
            <w:pPr>
              <w:pStyle w:val="NoSpacing"/>
              <w:ind w:firstLine="0"/>
              <w:jc w:val="right"/>
              <w:rPr>
                <w:rFonts w:cs="Calibri"/>
                <w:color w:val="000000"/>
              </w:rPr>
            </w:pPr>
            <w:r w:rsidRPr="001A627A">
              <w:t>0.1583</w:t>
            </w:r>
          </w:p>
        </w:tc>
        <w:tc>
          <w:tcPr>
            <w:tcW w:w="742" w:type="pct"/>
            <w:tcBorders>
              <w:bottom w:val="single" w:sz="4" w:space="0" w:color="auto"/>
            </w:tcBorders>
            <w:noWrap/>
            <w:hideMark/>
          </w:tcPr>
          <w:p w14:paraId="06362B51" w14:textId="77777777" w:rsidR="00C755A0" w:rsidRPr="00B702C3" w:rsidRDefault="00C755A0" w:rsidP="001A4831">
            <w:pPr>
              <w:pStyle w:val="NoSpacing"/>
              <w:ind w:firstLine="0"/>
              <w:jc w:val="right"/>
              <w:rPr>
                <w:rFonts w:cs="Calibri"/>
                <w:color w:val="000000"/>
              </w:rPr>
            </w:pPr>
            <w:r w:rsidRPr="001A627A">
              <w:t>-0.197</w:t>
            </w:r>
          </w:p>
        </w:tc>
        <w:tc>
          <w:tcPr>
            <w:tcW w:w="834" w:type="pct"/>
            <w:tcBorders>
              <w:bottom w:val="single" w:sz="4" w:space="0" w:color="auto"/>
            </w:tcBorders>
            <w:noWrap/>
            <w:hideMark/>
          </w:tcPr>
          <w:p w14:paraId="67286C62" w14:textId="77777777" w:rsidR="00C755A0" w:rsidRPr="00B702C3" w:rsidRDefault="00C755A0" w:rsidP="001A4831">
            <w:pPr>
              <w:pStyle w:val="NoSpacing"/>
              <w:ind w:firstLine="0"/>
              <w:jc w:val="right"/>
              <w:rPr>
                <w:rFonts w:cs="Calibri"/>
                <w:color w:val="000000"/>
              </w:rPr>
            </w:pPr>
            <w:r w:rsidRPr="001A627A">
              <w:t>0.1489</w:t>
            </w:r>
          </w:p>
        </w:tc>
        <w:tc>
          <w:tcPr>
            <w:tcW w:w="985" w:type="pct"/>
            <w:tcBorders>
              <w:bottom w:val="single" w:sz="4" w:space="0" w:color="auto"/>
            </w:tcBorders>
            <w:noWrap/>
            <w:hideMark/>
          </w:tcPr>
          <w:p w14:paraId="14D2E104" w14:textId="77777777" w:rsidR="00C755A0" w:rsidRPr="00B702C3" w:rsidRDefault="00C755A0" w:rsidP="001A4831">
            <w:pPr>
              <w:pStyle w:val="NoSpacing"/>
              <w:ind w:firstLine="0"/>
              <w:jc w:val="right"/>
              <w:rPr>
                <w:rFonts w:cs="Calibri"/>
                <w:color w:val="000000"/>
              </w:rPr>
            </w:pPr>
            <w:r w:rsidRPr="001A627A">
              <w:t>0.1799</w:t>
            </w:r>
          </w:p>
        </w:tc>
      </w:tr>
    </w:tbl>
    <w:p w14:paraId="549D375C" w14:textId="77777777" w:rsidR="00C755A0" w:rsidRDefault="00C755A0" w:rsidP="00C755A0">
      <w:pPr>
        <w:ind w:firstLine="0"/>
      </w:pPr>
      <w:r>
        <w:t>*: p&lt;0.05; **: p&lt;0.01</w:t>
      </w:r>
    </w:p>
    <w:p w14:paraId="6EAE0E4A" w14:textId="77777777" w:rsidR="00607735" w:rsidRDefault="00607735" w:rsidP="00607735">
      <w:pPr>
        <w:pStyle w:val="NoSpacing"/>
      </w:pPr>
    </w:p>
    <w:p w14:paraId="58E294F5" w14:textId="77777777" w:rsidR="00607735" w:rsidRDefault="00607735" w:rsidP="00607735">
      <w:pPr>
        <w:pStyle w:val="NoSpacing"/>
      </w:pPr>
    </w:p>
    <w:p w14:paraId="5625C3B7" w14:textId="77777777" w:rsidR="00607735" w:rsidRDefault="00607735" w:rsidP="00607735">
      <w:pPr>
        <w:pStyle w:val="NoSpacing"/>
      </w:pPr>
    </w:p>
    <w:p w14:paraId="76B86D91" w14:textId="77777777" w:rsidR="00607735" w:rsidRDefault="00607735" w:rsidP="00607735">
      <w:pPr>
        <w:pStyle w:val="NoSpacing"/>
      </w:pPr>
    </w:p>
    <w:p w14:paraId="5089692B" w14:textId="77777777" w:rsidR="00607735" w:rsidRDefault="00607735" w:rsidP="00607735">
      <w:pPr>
        <w:pStyle w:val="NoSpacing"/>
      </w:pPr>
    </w:p>
    <w:p w14:paraId="5590FAAF" w14:textId="77777777" w:rsidR="00607735" w:rsidRDefault="00607735" w:rsidP="00607735">
      <w:pPr>
        <w:pStyle w:val="NoSpacing"/>
      </w:pPr>
    </w:p>
    <w:p w14:paraId="0192902D" w14:textId="77777777" w:rsidR="00607735" w:rsidRDefault="00607735" w:rsidP="00607735">
      <w:pPr>
        <w:pStyle w:val="NoSpacing"/>
      </w:pPr>
    </w:p>
    <w:p w14:paraId="3514E570" w14:textId="77777777" w:rsidR="00607735" w:rsidRDefault="00607735" w:rsidP="00607735">
      <w:pPr>
        <w:pStyle w:val="NoSpacing"/>
      </w:pPr>
    </w:p>
    <w:p w14:paraId="2E61A980" w14:textId="776EBF4E" w:rsidR="00C755A0" w:rsidRDefault="00C755A0" w:rsidP="00C755A0">
      <w:pPr>
        <w:pStyle w:val="TableName"/>
      </w:pPr>
      <w:bookmarkStart w:id="218" w:name="_Toc148375822"/>
      <w:r>
        <w:t xml:space="preserve">Table </w:t>
      </w:r>
      <w:r w:rsidR="00E26AA2">
        <w:t>X</w:t>
      </w:r>
      <w:r>
        <w:t>. Multinomial Model 2: Predictors of Stage at Diagnosis with contemporary concentrated disadvantage among people diagnosed with colorectal cancer at UI Health, 1995-2004</w:t>
      </w:r>
      <w:bookmarkEnd w:id="218"/>
    </w:p>
    <w:tbl>
      <w:tblPr>
        <w:tblStyle w:val="PlainTable3"/>
        <w:tblW w:w="5000" w:type="pct"/>
        <w:tblLook w:val="0420" w:firstRow="1" w:lastRow="0" w:firstColumn="0" w:lastColumn="0" w:noHBand="0" w:noVBand="1"/>
      </w:tblPr>
      <w:tblGrid>
        <w:gridCol w:w="3175"/>
        <w:gridCol w:w="1393"/>
        <w:gridCol w:w="1389"/>
        <w:gridCol w:w="1561"/>
        <w:gridCol w:w="1842"/>
      </w:tblGrid>
      <w:tr w:rsidR="00C755A0" w:rsidRPr="003563C9" w14:paraId="4235D429" w14:textId="77777777" w:rsidTr="001A4831">
        <w:trPr>
          <w:cnfStyle w:val="100000000000" w:firstRow="1" w:lastRow="0" w:firstColumn="0" w:lastColumn="0" w:oddVBand="0" w:evenVBand="0" w:oddHBand="0" w:evenHBand="0" w:firstRowFirstColumn="0" w:firstRowLastColumn="0" w:lastRowFirstColumn="0" w:lastRowLastColumn="0"/>
          <w:trHeight w:val="300"/>
        </w:trPr>
        <w:tc>
          <w:tcPr>
            <w:tcW w:w="1696" w:type="pct"/>
            <w:noWrap/>
            <w:hideMark/>
          </w:tcPr>
          <w:p w14:paraId="73B06E9C" w14:textId="77777777" w:rsidR="00C755A0" w:rsidRPr="00B702C3" w:rsidRDefault="00C755A0" w:rsidP="001A4831">
            <w:pPr>
              <w:pStyle w:val="NoSpacing"/>
              <w:ind w:firstLine="0"/>
              <w:jc w:val="right"/>
            </w:pPr>
          </w:p>
        </w:tc>
        <w:tc>
          <w:tcPr>
            <w:tcW w:w="744" w:type="pct"/>
            <w:noWrap/>
            <w:hideMark/>
          </w:tcPr>
          <w:p w14:paraId="52905214" w14:textId="77777777" w:rsidR="00C755A0" w:rsidRPr="003563C9" w:rsidRDefault="00C755A0" w:rsidP="001A4831">
            <w:pPr>
              <w:pStyle w:val="NoSpacing"/>
              <w:ind w:firstLine="0"/>
              <w:jc w:val="right"/>
              <w:rPr>
                <w:rFonts w:cs="Calibri"/>
                <w:caps w:val="0"/>
                <w:color w:val="000000"/>
              </w:rPr>
            </w:pPr>
            <w:r w:rsidRPr="003563C9">
              <w:rPr>
                <w:rFonts w:cs="Calibri"/>
                <w:caps w:val="0"/>
              </w:rPr>
              <w:t>Stage II</w:t>
            </w:r>
          </w:p>
        </w:tc>
        <w:tc>
          <w:tcPr>
            <w:tcW w:w="742" w:type="pct"/>
            <w:noWrap/>
            <w:hideMark/>
          </w:tcPr>
          <w:p w14:paraId="05A9A967" w14:textId="77777777" w:rsidR="00C755A0" w:rsidRPr="003563C9" w:rsidRDefault="00C755A0" w:rsidP="001A4831">
            <w:pPr>
              <w:pStyle w:val="NoSpacing"/>
              <w:ind w:firstLine="0"/>
              <w:jc w:val="right"/>
              <w:rPr>
                <w:rFonts w:cs="Calibri"/>
                <w:caps w:val="0"/>
                <w:color w:val="000000"/>
              </w:rPr>
            </w:pPr>
            <w:r w:rsidRPr="003563C9">
              <w:rPr>
                <w:rFonts w:cs="Calibri"/>
                <w:caps w:val="0"/>
                <w:color w:val="000000"/>
              </w:rPr>
              <w:t>Stage III</w:t>
            </w:r>
          </w:p>
        </w:tc>
        <w:tc>
          <w:tcPr>
            <w:tcW w:w="834" w:type="pct"/>
            <w:noWrap/>
            <w:hideMark/>
          </w:tcPr>
          <w:p w14:paraId="58D4899E" w14:textId="77777777" w:rsidR="00C755A0" w:rsidRPr="003563C9" w:rsidRDefault="00C755A0" w:rsidP="001A4831">
            <w:pPr>
              <w:pStyle w:val="NoSpacing"/>
              <w:ind w:firstLine="0"/>
              <w:jc w:val="right"/>
              <w:rPr>
                <w:rFonts w:cs="Calibri"/>
                <w:caps w:val="0"/>
                <w:color w:val="000000"/>
              </w:rPr>
            </w:pPr>
            <w:r w:rsidRPr="003563C9">
              <w:rPr>
                <w:rFonts w:cs="Calibri"/>
                <w:caps w:val="0"/>
              </w:rPr>
              <w:t>Stage IV</w:t>
            </w:r>
          </w:p>
        </w:tc>
        <w:tc>
          <w:tcPr>
            <w:tcW w:w="984" w:type="pct"/>
            <w:noWrap/>
            <w:hideMark/>
          </w:tcPr>
          <w:p w14:paraId="6CB04AE3" w14:textId="77777777" w:rsidR="00C755A0" w:rsidRPr="003563C9" w:rsidRDefault="00C755A0" w:rsidP="001A4831">
            <w:pPr>
              <w:pStyle w:val="NoSpacing"/>
              <w:ind w:firstLine="0"/>
              <w:jc w:val="right"/>
              <w:rPr>
                <w:rFonts w:cs="Calibri"/>
                <w:caps w:val="0"/>
                <w:color w:val="000000"/>
              </w:rPr>
            </w:pPr>
            <w:r w:rsidRPr="003563C9">
              <w:rPr>
                <w:rFonts w:cs="Calibri"/>
                <w:caps w:val="0"/>
                <w:color w:val="000000"/>
              </w:rPr>
              <w:t>Unstaged</w:t>
            </w:r>
          </w:p>
        </w:tc>
      </w:tr>
      <w:tr w:rsidR="00C755A0" w:rsidRPr="00B702C3" w14:paraId="485318CB"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6" w:type="pct"/>
            <w:noWrap/>
            <w:hideMark/>
          </w:tcPr>
          <w:p w14:paraId="2618FFBD" w14:textId="77777777" w:rsidR="00C755A0" w:rsidRPr="003A1D52" w:rsidRDefault="00C755A0" w:rsidP="001A4831">
            <w:pPr>
              <w:pStyle w:val="NoSpacing"/>
              <w:ind w:firstLine="0"/>
              <w:rPr>
                <w:rFonts w:cs="Calibri"/>
                <w:b/>
                <w:bCs/>
                <w:color w:val="000000"/>
              </w:rPr>
            </w:pPr>
            <w:r w:rsidRPr="003A1D52">
              <w:rPr>
                <w:rFonts w:cs="Calibri"/>
                <w:b/>
                <w:bCs/>
                <w:color w:val="000000"/>
              </w:rPr>
              <w:t>Age</w:t>
            </w:r>
          </w:p>
        </w:tc>
        <w:tc>
          <w:tcPr>
            <w:tcW w:w="744" w:type="pct"/>
            <w:noWrap/>
            <w:hideMark/>
          </w:tcPr>
          <w:p w14:paraId="2817BD25" w14:textId="77777777" w:rsidR="00C755A0" w:rsidRPr="00B702C3" w:rsidRDefault="00C755A0" w:rsidP="001A4831">
            <w:pPr>
              <w:pStyle w:val="NoSpacing"/>
              <w:ind w:firstLine="0"/>
              <w:jc w:val="right"/>
              <w:rPr>
                <w:rFonts w:cs="Calibri"/>
                <w:color w:val="000000"/>
              </w:rPr>
            </w:pPr>
            <w:r w:rsidRPr="00724C7D">
              <w:t>0.0233</w:t>
            </w:r>
          </w:p>
        </w:tc>
        <w:tc>
          <w:tcPr>
            <w:tcW w:w="742" w:type="pct"/>
            <w:noWrap/>
            <w:hideMark/>
          </w:tcPr>
          <w:p w14:paraId="31BFF2DC" w14:textId="77777777" w:rsidR="00C755A0" w:rsidRPr="00B702C3" w:rsidRDefault="00C755A0" w:rsidP="001A4831">
            <w:pPr>
              <w:pStyle w:val="NoSpacing"/>
              <w:ind w:firstLine="0"/>
              <w:jc w:val="right"/>
              <w:rPr>
                <w:rFonts w:cs="Calibri"/>
                <w:color w:val="000000"/>
              </w:rPr>
            </w:pPr>
            <w:r w:rsidRPr="00724C7D">
              <w:t>0.0193</w:t>
            </w:r>
          </w:p>
        </w:tc>
        <w:tc>
          <w:tcPr>
            <w:tcW w:w="834" w:type="pct"/>
            <w:noWrap/>
            <w:hideMark/>
          </w:tcPr>
          <w:p w14:paraId="2BD4A12A" w14:textId="77777777" w:rsidR="00C755A0" w:rsidRPr="00B702C3" w:rsidRDefault="00C755A0" w:rsidP="001A4831">
            <w:pPr>
              <w:pStyle w:val="NoSpacing"/>
              <w:ind w:firstLine="0"/>
              <w:jc w:val="right"/>
              <w:rPr>
                <w:rFonts w:cs="Calibri"/>
                <w:color w:val="000000"/>
              </w:rPr>
            </w:pPr>
            <w:r w:rsidRPr="00724C7D">
              <w:t>-0.2038</w:t>
            </w:r>
          </w:p>
        </w:tc>
        <w:tc>
          <w:tcPr>
            <w:tcW w:w="984" w:type="pct"/>
            <w:noWrap/>
            <w:hideMark/>
          </w:tcPr>
          <w:p w14:paraId="1737876D" w14:textId="77777777" w:rsidR="00C755A0" w:rsidRPr="00B702C3" w:rsidRDefault="00C755A0" w:rsidP="001A4831">
            <w:pPr>
              <w:pStyle w:val="NoSpacing"/>
              <w:ind w:firstLine="0"/>
              <w:jc w:val="right"/>
              <w:rPr>
                <w:rFonts w:cs="Calibri"/>
                <w:color w:val="000000"/>
              </w:rPr>
            </w:pPr>
            <w:r w:rsidRPr="00724C7D">
              <w:t>-0.1555</w:t>
            </w:r>
          </w:p>
        </w:tc>
      </w:tr>
      <w:tr w:rsidR="00C755A0" w:rsidRPr="00B702C3" w14:paraId="068021BA" w14:textId="77777777" w:rsidTr="001A4831">
        <w:trPr>
          <w:trHeight w:val="300"/>
        </w:trPr>
        <w:tc>
          <w:tcPr>
            <w:tcW w:w="1696" w:type="pct"/>
            <w:noWrap/>
            <w:hideMark/>
          </w:tcPr>
          <w:p w14:paraId="36EB066D" w14:textId="77777777" w:rsidR="00C755A0" w:rsidRPr="003A1D52" w:rsidRDefault="00C755A0" w:rsidP="001A4831">
            <w:pPr>
              <w:pStyle w:val="NoSpacing"/>
              <w:ind w:firstLine="0"/>
              <w:rPr>
                <w:rFonts w:cs="Calibri"/>
                <w:b/>
                <w:bCs/>
                <w:color w:val="000000"/>
              </w:rPr>
            </w:pPr>
            <w:r w:rsidRPr="003A1D52">
              <w:rPr>
                <w:rFonts w:cs="Calibri"/>
                <w:b/>
                <w:bCs/>
                <w:color w:val="000000"/>
              </w:rPr>
              <w:t>Male</w:t>
            </w:r>
          </w:p>
        </w:tc>
        <w:tc>
          <w:tcPr>
            <w:tcW w:w="744" w:type="pct"/>
            <w:noWrap/>
            <w:hideMark/>
          </w:tcPr>
          <w:p w14:paraId="716265E7" w14:textId="77777777" w:rsidR="00C755A0" w:rsidRPr="00B702C3" w:rsidRDefault="00C755A0" w:rsidP="001A4831">
            <w:pPr>
              <w:pStyle w:val="NoSpacing"/>
              <w:ind w:firstLine="0"/>
              <w:jc w:val="right"/>
              <w:rPr>
                <w:rFonts w:cs="Calibri"/>
                <w:color w:val="000000"/>
              </w:rPr>
            </w:pPr>
            <w:r w:rsidRPr="00724C7D">
              <w:t>-0.1031</w:t>
            </w:r>
          </w:p>
        </w:tc>
        <w:tc>
          <w:tcPr>
            <w:tcW w:w="742" w:type="pct"/>
            <w:noWrap/>
            <w:hideMark/>
          </w:tcPr>
          <w:p w14:paraId="66EC34BE" w14:textId="77777777" w:rsidR="00C755A0" w:rsidRPr="00B702C3" w:rsidRDefault="00C755A0" w:rsidP="001A4831">
            <w:pPr>
              <w:pStyle w:val="NoSpacing"/>
              <w:ind w:firstLine="0"/>
              <w:jc w:val="right"/>
              <w:rPr>
                <w:rFonts w:cs="Calibri"/>
                <w:color w:val="000000"/>
              </w:rPr>
            </w:pPr>
            <w:r w:rsidRPr="00724C7D">
              <w:t xml:space="preserve"> -0.403*</w:t>
            </w:r>
          </w:p>
        </w:tc>
        <w:tc>
          <w:tcPr>
            <w:tcW w:w="834" w:type="pct"/>
            <w:noWrap/>
            <w:hideMark/>
          </w:tcPr>
          <w:p w14:paraId="0EB05789" w14:textId="77777777" w:rsidR="00C755A0" w:rsidRPr="00B702C3" w:rsidRDefault="00C755A0" w:rsidP="001A4831">
            <w:pPr>
              <w:pStyle w:val="NoSpacing"/>
              <w:ind w:firstLine="0"/>
              <w:jc w:val="right"/>
              <w:rPr>
                <w:rFonts w:cs="Calibri"/>
                <w:color w:val="000000"/>
              </w:rPr>
            </w:pPr>
            <w:r w:rsidRPr="00724C7D">
              <w:t>-0.1093</w:t>
            </w:r>
          </w:p>
        </w:tc>
        <w:tc>
          <w:tcPr>
            <w:tcW w:w="984" w:type="pct"/>
            <w:noWrap/>
            <w:hideMark/>
          </w:tcPr>
          <w:p w14:paraId="1E1AD593" w14:textId="77777777" w:rsidR="00C755A0" w:rsidRPr="00B702C3" w:rsidRDefault="00C755A0" w:rsidP="001A4831">
            <w:pPr>
              <w:pStyle w:val="NoSpacing"/>
              <w:ind w:firstLine="0"/>
              <w:jc w:val="right"/>
              <w:rPr>
                <w:rFonts w:cs="Calibri"/>
                <w:color w:val="000000"/>
              </w:rPr>
            </w:pPr>
            <w:r w:rsidRPr="00724C7D">
              <w:t>-0.142</w:t>
            </w:r>
          </w:p>
        </w:tc>
      </w:tr>
      <w:tr w:rsidR="00C755A0" w:rsidRPr="00B702C3" w14:paraId="30806D78"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6" w:type="pct"/>
            <w:noWrap/>
          </w:tcPr>
          <w:p w14:paraId="7C9A8E52" w14:textId="77777777" w:rsidR="00C755A0" w:rsidRPr="003A1D52" w:rsidRDefault="00C755A0" w:rsidP="001A4831">
            <w:pPr>
              <w:pStyle w:val="NoSpacing"/>
              <w:ind w:firstLine="0"/>
              <w:rPr>
                <w:rFonts w:cs="Calibri"/>
                <w:b/>
                <w:bCs/>
                <w:color w:val="000000"/>
              </w:rPr>
            </w:pPr>
            <w:r w:rsidRPr="003A1D52">
              <w:rPr>
                <w:rFonts w:cs="Calibri"/>
                <w:b/>
                <w:bCs/>
                <w:color w:val="000000"/>
              </w:rPr>
              <w:t>Race/Ethnicity</w:t>
            </w:r>
          </w:p>
        </w:tc>
        <w:tc>
          <w:tcPr>
            <w:tcW w:w="744" w:type="pct"/>
            <w:noWrap/>
          </w:tcPr>
          <w:p w14:paraId="5052D101" w14:textId="77777777" w:rsidR="00C755A0" w:rsidRPr="00724C7D" w:rsidRDefault="00C755A0" w:rsidP="001A4831">
            <w:pPr>
              <w:pStyle w:val="NoSpacing"/>
              <w:ind w:firstLine="0"/>
              <w:jc w:val="right"/>
            </w:pPr>
          </w:p>
        </w:tc>
        <w:tc>
          <w:tcPr>
            <w:tcW w:w="742" w:type="pct"/>
            <w:noWrap/>
          </w:tcPr>
          <w:p w14:paraId="1428FEE3" w14:textId="77777777" w:rsidR="00C755A0" w:rsidRPr="00724C7D" w:rsidRDefault="00C755A0" w:rsidP="001A4831">
            <w:pPr>
              <w:pStyle w:val="NoSpacing"/>
              <w:ind w:firstLine="0"/>
              <w:jc w:val="right"/>
            </w:pPr>
          </w:p>
        </w:tc>
        <w:tc>
          <w:tcPr>
            <w:tcW w:w="834" w:type="pct"/>
            <w:noWrap/>
          </w:tcPr>
          <w:p w14:paraId="03C7170C" w14:textId="77777777" w:rsidR="00C755A0" w:rsidRPr="00724C7D" w:rsidRDefault="00C755A0" w:rsidP="001A4831">
            <w:pPr>
              <w:pStyle w:val="NoSpacing"/>
              <w:ind w:firstLine="0"/>
              <w:jc w:val="right"/>
            </w:pPr>
          </w:p>
        </w:tc>
        <w:tc>
          <w:tcPr>
            <w:tcW w:w="984" w:type="pct"/>
            <w:noWrap/>
          </w:tcPr>
          <w:p w14:paraId="07CBCCE7" w14:textId="77777777" w:rsidR="00C755A0" w:rsidRPr="00724C7D" w:rsidRDefault="00C755A0" w:rsidP="001A4831">
            <w:pPr>
              <w:pStyle w:val="NoSpacing"/>
              <w:ind w:firstLine="0"/>
              <w:jc w:val="right"/>
            </w:pPr>
          </w:p>
        </w:tc>
      </w:tr>
      <w:tr w:rsidR="00C755A0" w:rsidRPr="00B702C3" w14:paraId="0DCD8744" w14:textId="77777777" w:rsidTr="001A4831">
        <w:trPr>
          <w:trHeight w:val="300"/>
        </w:trPr>
        <w:tc>
          <w:tcPr>
            <w:tcW w:w="1696" w:type="pct"/>
            <w:noWrap/>
            <w:hideMark/>
          </w:tcPr>
          <w:p w14:paraId="49F46D3C" w14:textId="77777777" w:rsidR="00C755A0" w:rsidRPr="003A1D52" w:rsidRDefault="00C755A0" w:rsidP="001A4831">
            <w:pPr>
              <w:pStyle w:val="NoSpacing"/>
              <w:ind w:firstLine="0"/>
              <w:jc w:val="right"/>
              <w:rPr>
                <w:rFonts w:cs="Calibri"/>
                <w:i/>
                <w:iCs/>
                <w:color w:val="000000"/>
              </w:rPr>
            </w:pPr>
            <w:r w:rsidRPr="003A1D52">
              <w:rPr>
                <w:rFonts w:cs="Calibri"/>
                <w:i/>
                <w:iCs/>
                <w:color w:val="000000"/>
              </w:rPr>
              <w:t>Non-Hispanic Black</w:t>
            </w:r>
          </w:p>
        </w:tc>
        <w:tc>
          <w:tcPr>
            <w:tcW w:w="744" w:type="pct"/>
            <w:noWrap/>
            <w:hideMark/>
          </w:tcPr>
          <w:p w14:paraId="410F6C11" w14:textId="77777777" w:rsidR="00C755A0" w:rsidRPr="00B702C3" w:rsidRDefault="00C755A0" w:rsidP="001A4831">
            <w:pPr>
              <w:pStyle w:val="NoSpacing"/>
              <w:ind w:firstLine="0"/>
              <w:jc w:val="right"/>
              <w:rPr>
                <w:rFonts w:cs="Calibri"/>
                <w:color w:val="000000"/>
              </w:rPr>
            </w:pPr>
            <w:r w:rsidRPr="00724C7D">
              <w:t>-0.0936</w:t>
            </w:r>
          </w:p>
        </w:tc>
        <w:tc>
          <w:tcPr>
            <w:tcW w:w="742" w:type="pct"/>
            <w:noWrap/>
            <w:hideMark/>
          </w:tcPr>
          <w:p w14:paraId="07B196C8" w14:textId="77777777" w:rsidR="00C755A0" w:rsidRPr="00B702C3" w:rsidRDefault="00C755A0" w:rsidP="001A4831">
            <w:pPr>
              <w:pStyle w:val="NoSpacing"/>
              <w:ind w:firstLine="0"/>
              <w:jc w:val="right"/>
              <w:rPr>
                <w:rFonts w:cs="Calibri"/>
                <w:color w:val="000000"/>
              </w:rPr>
            </w:pPr>
            <w:r w:rsidRPr="00724C7D">
              <w:t>0.7216</w:t>
            </w:r>
          </w:p>
        </w:tc>
        <w:tc>
          <w:tcPr>
            <w:tcW w:w="834" w:type="pct"/>
            <w:noWrap/>
            <w:hideMark/>
          </w:tcPr>
          <w:p w14:paraId="42F21886" w14:textId="77777777" w:rsidR="00C755A0" w:rsidRPr="00B702C3" w:rsidRDefault="00C755A0" w:rsidP="001A4831">
            <w:pPr>
              <w:pStyle w:val="NoSpacing"/>
              <w:ind w:firstLine="0"/>
              <w:jc w:val="right"/>
              <w:rPr>
                <w:rFonts w:cs="Calibri"/>
                <w:color w:val="000000"/>
              </w:rPr>
            </w:pPr>
            <w:r w:rsidRPr="00724C7D">
              <w:t>0.0541</w:t>
            </w:r>
          </w:p>
        </w:tc>
        <w:tc>
          <w:tcPr>
            <w:tcW w:w="984" w:type="pct"/>
            <w:noWrap/>
            <w:hideMark/>
          </w:tcPr>
          <w:p w14:paraId="5CA3AA6A" w14:textId="77777777" w:rsidR="00C755A0" w:rsidRPr="00B702C3" w:rsidRDefault="00C755A0" w:rsidP="001A4831">
            <w:pPr>
              <w:pStyle w:val="NoSpacing"/>
              <w:ind w:firstLine="0"/>
              <w:jc w:val="right"/>
              <w:rPr>
                <w:rFonts w:cs="Calibri"/>
                <w:color w:val="000000"/>
              </w:rPr>
            </w:pPr>
            <w:r w:rsidRPr="00724C7D">
              <w:t>-0.4848</w:t>
            </w:r>
          </w:p>
        </w:tc>
      </w:tr>
      <w:tr w:rsidR="00C755A0" w:rsidRPr="00B702C3" w14:paraId="4274C122"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6" w:type="pct"/>
            <w:noWrap/>
            <w:hideMark/>
          </w:tcPr>
          <w:p w14:paraId="20CAFE9E" w14:textId="77777777" w:rsidR="00C755A0" w:rsidRPr="003A1D52" w:rsidRDefault="00C755A0" w:rsidP="001A4831">
            <w:pPr>
              <w:pStyle w:val="NoSpacing"/>
              <w:ind w:firstLine="0"/>
              <w:jc w:val="right"/>
              <w:rPr>
                <w:rFonts w:cs="Calibri"/>
                <w:i/>
                <w:iCs/>
                <w:color w:val="000000"/>
              </w:rPr>
            </w:pPr>
            <w:r w:rsidRPr="003A1D52">
              <w:rPr>
                <w:rFonts w:cs="Calibri"/>
                <w:i/>
                <w:iCs/>
                <w:color w:val="000000"/>
              </w:rPr>
              <w:t>Hispanic</w:t>
            </w:r>
          </w:p>
        </w:tc>
        <w:tc>
          <w:tcPr>
            <w:tcW w:w="744" w:type="pct"/>
            <w:noWrap/>
            <w:hideMark/>
          </w:tcPr>
          <w:p w14:paraId="2696AEBE" w14:textId="140AFBD2" w:rsidR="00C755A0" w:rsidRPr="00B702C3" w:rsidRDefault="00C755A0" w:rsidP="001A4831">
            <w:pPr>
              <w:pStyle w:val="NoSpacing"/>
              <w:ind w:firstLine="0"/>
              <w:jc w:val="right"/>
              <w:rPr>
                <w:rFonts w:cs="Calibri"/>
                <w:color w:val="000000"/>
              </w:rPr>
            </w:pPr>
            <w:r w:rsidRPr="00724C7D">
              <w:t>-0.072</w:t>
            </w:r>
            <w:r w:rsidR="00FF2326">
              <w:t>0</w:t>
            </w:r>
          </w:p>
        </w:tc>
        <w:tc>
          <w:tcPr>
            <w:tcW w:w="742" w:type="pct"/>
            <w:noWrap/>
            <w:hideMark/>
          </w:tcPr>
          <w:p w14:paraId="7DBA8377" w14:textId="77777777" w:rsidR="00C755A0" w:rsidRPr="00B702C3" w:rsidRDefault="00C755A0" w:rsidP="001A4831">
            <w:pPr>
              <w:pStyle w:val="NoSpacing"/>
              <w:ind w:firstLine="0"/>
              <w:jc w:val="right"/>
              <w:rPr>
                <w:rFonts w:cs="Calibri"/>
                <w:color w:val="000000"/>
              </w:rPr>
            </w:pPr>
            <w:r w:rsidRPr="00724C7D">
              <w:t>0.4777</w:t>
            </w:r>
          </w:p>
        </w:tc>
        <w:tc>
          <w:tcPr>
            <w:tcW w:w="834" w:type="pct"/>
            <w:noWrap/>
            <w:hideMark/>
          </w:tcPr>
          <w:p w14:paraId="77526144" w14:textId="77777777" w:rsidR="00C755A0" w:rsidRPr="00B702C3" w:rsidRDefault="00C755A0" w:rsidP="001A4831">
            <w:pPr>
              <w:pStyle w:val="NoSpacing"/>
              <w:ind w:firstLine="0"/>
              <w:jc w:val="right"/>
              <w:rPr>
                <w:rFonts w:cs="Calibri"/>
                <w:color w:val="000000"/>
              </w:rPr>
            </w:pPr>
            <w:r w:rsidRPr="00724C7D">
              <w:t>0.7962</w:t>
            </w:r>
          </w:p>
        </w:tc>
        <w:tc>
          <w:tcPr>
            <w:tcW w:w="984" w:type="pct"/>
            <w:noWrap/>
            <w:hideMark/>
          </w:tcPr>
          <w:p w14:paraId="2E6A636B" w14:textId="77777777" w:rsidR="00C755A0" w:rsidRPr="00B702C3" w:rsidRDefault="00C755A0" w:rsidP="001A4831">
            <w:pPr>
              <w:pStyle w:val="NoSpacing"/>
              <w:ind w:firstLine="0"/>
              <w:jc w:val="right"/>
              <w:rPr>
                <w:rFonts w:cs="Calibri"/>
                <w:color w:val="000000"/>
              </w:rPr>
            </w:pPr>
            <w:r w:rsidRPr="00724C7D">
              <w:t>-0.1567</w:t>
            </w:r>
          </w:p>
        </w:tc>
      </w:tr>
      <w:tr w:rsidR="00C755A0" w:rsidRPr="00B702C3" w14:paraId="0B17F85C" w14:textId="77777777" w:rsidTr="001A4831">
        <w:trPr>
          <w:trHeight w:val="300"/>
        </w:trPr>
        <w:tc>
          <w:tcPr>
            <w:tcW w:w="1696" w:type="pct"/>
            <w:noWrap/>
            <w:hideMark/>
          </w:tcPr>
          <w:p w14:paraId="14221736" w14:textId="77777777" w:rsidR="00C755A0" w:rsidRPr="003A1D52" w:rsidRDefault="00C755A0" w:rsidP="001A4831">
            <w:pPr>
              <w:pStyle w:val="NoSpacing"/>
              <w:ind w:firstLine="0"/>
              <w:jc w:val="right"/>
              <w:rPr>
                <w:rFonts w:cs="Calibri"/>
                <w:i/>
                <w:iCs/>
                <w:color w:val="000000"/>
              </w:rPr>
            </w:pPr>
            <w:r w:rsidRPr="003A1D52">
              <w:rPr>
                <w:rFonts w:cs="Calibri"/>
                <w:i/>
                <w:iCs/>
                <w:color w:val="000000"/>
              </w:rPr>
              <w:t>Other Race/Ethnicity</w:t>
            </w:r>
          </w:p>
        </w:tc>
        <w:tc>
          <w:tcPr>
            <w:tcW w:w="744" w:type="pct"/>
            <w:noWrap/>
            <w:hideMark/>
          </w:tcPr>
          <w:p w14:paraId="7AE12EA2" w14:textId="77777777" w:rsidR="00C755A0" w:rsidRPr="00B702C3" w:rsidRDefault="00C755A0" w:rsidP="001A4831">
            <w:pPr>
              <w:pStyle w:val="NoSpacing"/>
              <w:ind w:firstLine="0"/>
              <w:jc w:val="right"/>
              <w:rPr>
                <w:rFonts w:cs="Calibri"/>
                <w:color w:val="000000"/>
              </w:rPr>
            </w:pPr>
            <w:r w:rsidRPr="00724C7D">
              <w:t>-0.2167</w:t>
            </w:r>
          </w:p>
        </w:tc>
        <w:tc>
          <w:tcPr>
            <w:tcW w:w="742" w:type="pct"/>
            <w:noWrap/>
            <w:hideMark/>
          </w:tcPr>
          <w:p w14:paraId="2BC6E9A6" w14:textId="77777777" w:rsidR="00C755A0" w:rsidRPr="00B702C3" w:rsidRDefault="00C755A0" w:rsidP="001A4831">
            <w:pPr>
              <w:pStyle w:val="NoSpacing"/>
              <w:ind w:firstLine="0"/>
              <w:jc w:val="right"/>
              <w:rPr>
                <w:rFonts w:cs="Calibri"/>
                <w:color w:val="000000"/>
              </w:rPr>
            </w:pPr>
            <w:r w:rsidRPr="00724C7D">
              <w:t>-1.0992</w:t>
            </w:r>
          </w:p>
        </w:tc>
        <w:tc>
          <w:tcPr>
            <w:tcW w:w="834" w:type="pct"/>
            <w:noWrap/>
            <w:hideMark/>
          </w:tcPr>
          <w:p w14:paraId="08FE5542" w14:textId="77777777" w:rsidR="00C755A0" w:rsidRPr="00B702C3" w:rsidRDefault="00C755A0" w:rsidP="001A4831">
            <w:pPr>
              <w:pStyle w:val="NoSpacing"/>
              <w:ind w:firstLine="0"/>
              <w:jc w:val="right"/>
              <w:rPr>
                <w:rFonts w:cs="Calibri"/>
                <w:color w:val="000000"/>
              </w:rPr>
            </w:pPr>
            <w:r w:rsidRPr="00724C7D">
              <w:t>-0.9402</w:t>
            </w:r>
          </w:p>
        </w:tc>
        <w:tc>
          <w:tcPr>
            <w:tcW w:w="984" w:type="pct"/>
            <w:noWrap/>
            <w:hideMark/>
          </w:tcPr>
          <w:p w14:paraId="20197130" w14:textId="77777777" w:rsidR="00C755A0" w:rsidRPr="00B702C3" w:rsidRDefault="00C755A0" w:rsidP="001A4831">
            <w:pPr>
              <w:pStyle w:val="NoSpacing"/>
              <w:ind w:firstLine="0"/>
              <w:jc w:val="right"/>
              <w:rPr>
                <w:rFonts w:cs="Calibri"/>
                <w:color w:val="000000"/>
              </w:rPr>
            </w:pPr>
            <w:r w:rsidRPr="00724C7D">
              <w:t>0.3859</w:t>
            </w:r>
          </w:p>
        </w:tc>
      </w:tr>
      <w:tr w:rsidR="00C755A0" w:rsidRPr="00B702C3" w14:paraId="35425562"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6" w:type="pct"/>
            <w:noWrap/>
          </w:tcPr>
          <w:p w14:paraId="319FA48F" w14:textId="77777777" w:rsidR="00C755A0" w:rsidRPr="003A1D52" w:rsidRDefault="00C755A0" w:rsidP="001A4831">
            <w:pPr>
              <w:pStyle w:val="NoSpacing"/>
              <w:ind w:firstLine="0"/>
              <w:rPr>
                <w:rFonts w:cs="Calibri"/>
                <w:b/>
                <w:bCs/>
                <w:color w:val="000000"/>
              </w:rPr>
            </w:pPr>
            <w:r w:rsidRPr="003A1D52">
              <w:rPr>
                <w:rFonts w:cs="Calibri"/>
                <w:b/>
                <w:bCs/>
                <w:color w:val="000000"/>
              </w:rPr>
              <w:t>Anatomic Site</w:t>
            </w:r>
          </w:p>
        </w:tc>
        <w:tc>
          <w:tcPr>
            <w:tcW w:w="744" w:type="pct"/>
            <w:noWrap/>
          </w:tcPr>
          <w:p w14:paraId="5478D232" w14:textId="77777777" w:rsidR="00C755A0" w:rsidRPr="00724C7D" w:rsidRDefault="00C755A0" w:rsidP="001A4831">
            <w:pPr>
              <w:pStyle w:val="NoSpacing"/>
              <w:ind w:firstLine="0"/>
              <w:jc w:val="right"/>
            </w:pPr>
          </w:p>
        </w:tc>
        <w:tc>
          <w:tcPr>
            <w:tcW w:w="742" w:type="pct"/>
            <w:noWrap/>
          </w:tcPr>
          <w:p w14:paraId="3A24B69C" w14:textId="77777777" w:rsidR="00C755A0" w:rsidRPr="00724C7D" w:rsidRDefault="00C755A0" w:rsidP="001A4831">
            <w:pPr>
              <w:pStyle w:val="NoSpacing"/>
              <w:ind w:firstLine="0"/>
              <w:jc w:val="right"/>
            </w:pPr>
          </w:p>
        </w:tc>
        <w:tc>
          <w:tcPr>
            <w:tcW w:w="834" w:type="pct"/>
            <w:noWrap/>
          </w:tcPr>
          <w:p w14:paraId="2D7E4E79" w14:textId="77777777" w:rsidR="00C755A0" w:rsidRPr="00724C7D" w:rsidRDefault="00C755A0" w:rsidP="001A4831">
            <w:pPr>
              <w:pStyle w:val="NoSpacing"/>
              <w:ind w:firstLine="0"/>
              <w:jc w:val="right"/>
            </w:pPr>
          </w:p>
        </w:tc>
        <w:tc>
          <w:tcPr>
            <w:tcW w:w="984" w:type="pct"/>
            <w:noWrap/>
          </w:tcPr>
          <w:p w14:paraId="61953C97" w14:textId="77777777" w:rsidR="00C755A0" w:rsidRPr="00724C7D" w:rsidRDefault="00C755A0" w:rsidP="001A4831">
            <w:pPr>
              <w:pStyle w:val="NoSpacing"/>
              <w:ind w:firstLine="0"/>
              <w:jc w:val="right"/>
            </w:pPr>
          </w:p>
        </w:tc>
      </w:tr>
      <w:tr w:rsidR="00C755A0" w:rsidRPr="00B702C3" w14:paraId="0719ADE8" w14:textId="77777777" w:rsidTr="001A4831">
        <w:trPr>
          <w:trHeight w:val="300"/>
        </w:trPr>
        <w:tc>
          <w:tcPr>
            <w:tcW w:w="1696" w:type="pct"/>
            <w:noWrap/>
            <w:hideMark/>
          </w:tcPr>
          <w:p w14:paraId="4CD252FD" w14:textId="7461E4C6" w:rsidR="00C755A0" w:rsidRPr="003A1D52" w:rsidRDefault="00FF2326" w:rsidP="001A4831">
            <w:pPr>
              <w:pStyle w:val="NoSpacing"/>
              <w:ind w:firstLine="0"/>
              <w:jc w:val="right"/>
              <w:rPr>
                <w:rFonts w:cs="Calibri"/>
                <w:i/>
                <w:iCs/>
                <w:color w:val="000000"/>
              </w:rPr>
            </w:pPr>
            <w:r>
              <w:rPr>
                <w:rFonts w:cs="Calibri"/>
                <w:i/>
                <w:iCs/>
                <w:color w:val="000000"/>
              </w:rPr>
              <w:t>Colon</w:t>
            </w:r>
          </w:p>
        </w:tc>
        <w:tc>
          <w:tcPr>
            <w:tcW w:w="744" w:type="pct"/>
            <w:noWrap/>
            <w:hideMark/>
          </w:tcPr>
          <w:p w14:paraId="3BC68B34" w14:textId="77777777" w:rsidR="00C755A0" w:rsidRPr="00B702C3" w:rsidRDefault="00C755A0" w:rsidP="001A4831">
            <w:pPr>
              <w:pStyle w:val="NoSpacing"/>
              <w:ind w:firstLine="0"/>
              <w:jc w:val="right"/>
              <w:rPr>
                <w:rFonts w:cs="Calibri"/>
                <w:color w:val="000000"/>
              </w:rPr>
            </w:pPr>
            <w:r w:rsidRPr="00724C7D">
              <w:t>0.2592</w:t>
            </w:r>
          </w:p>
        </w:tc>
        <w:tc>
          <w:tcPr>
            <w:tcW w:w="742" w:type="pct"/>
            <w:noWrap/>
            <w:hideMark/>
          </w:tcPr>
          <w:p w14:paraId="4AD714D2" w14:textId="77777777" w:rsidR="00C755A0" w:rsidRPr="00B702C3" w:rsidRDefault="00C755A0" w:rsidP="001A4831">
            <w:pPr>
              <w:pStyle w:val="NoSpacing"/>
              <w:ind w:firstLine="0"/>
              <w:jc w:val="right"/>
              <w:rPr>
                <w:rFonts w:cs="Calibri"/>
                <w:color w:val="000000"/>
              </w:rPr>
            </w:pPr>
            <w:r w:rsidRPr="00724C7D">
              <w:t>0.1926</w:t>
            </w:r>
          </w:p>
        </w:tc>
        <w:tc>
          <w:tcPr>
            <w:tcW w:w="834" w:type="pct"/>
            <w:noWrap/>
            <w:hideMark/>
          </w:tcPr>
          <w:p w14:paraId="38468858" w14:textId="77777777" w:rsidR="00C755A0" w:rsidRPr="00B702C3" w:rsidRDefault="00C755A0" w:rsidP="001A4831">
            <w:pPr>
              <w:pStyle w:val="NoSpacing"/>
              <w:ind w:firstLine="0"/>
              <w:jc w:val="right"/>
              <w:rPr>
                <w:rFonts w:cs="Calibri"/>
                <w:color w:val="000000"/>
              </w:rPr>
            </w:pPr>
            <w:r w:rsidRPr="00724C7D">
              <w:t>0.2837</w:t>
            </w:r>
          </w:p>
        </w:tc>
        <w:tc>
          <w:tcPr>
            <w:tcW w:w="984" w:type="pct"/>
            <w:noWrap/>
            <w:hideMark/>
          </w:tcPr>
          <w:p w14:paraId="04E95976" w14:textId="77777777" w:rsidR="00C755A0" w:rsidRPr="00B702C3" w:rsidRDefault="00C755A0" w:rsidP="001A4831">
            <w:pPr>
              <w:pStyle w:val="NoSpacing"/>
              <w:ind w:firstLine="0"/>
              <w:jc w:val="right"/>
              <w:rPr>
                <w:rFonts w:cs="Calibri"/>
                <w:color w:val="000000"/>
              </w:rPr>
            </w:pPr>
            <w:r w:rsidRPr="00724C7D">
              <w:t>0.4026</w:t>
            </w:r>
          </w:p>
        </w:tc>
      </w:tr>
      <w:tr w:rsidR="00C755A0" w:rsidRPr="00B702C3" w14:paraId="121B2C95"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1696" w:type="pct"/>
            <w:noWrap/>
            <w:hideMark/>
          </w:tcPr>
          <w:p w14:paraId="7F314CEF" w14:textId="6A92762A" w:rsidR="00C755A0" w:rsidRPr="003A1D52" w:rsidRDefault="00FF2326" w:rsidP="001A4831">
            <w:pPr>
              <w:pStyle w:val="NoSpacing"/>
              <w:ind w:firstLine="0"/>
              <w:jc w:val="right"/>
              <w:rPr>
                <w:rFonts w:cs="Calibri"/>
                <w:i/>
                <w:iCs/>
                <w:color w:val="000000"/>
              </w:rPr>
            </w:pPr>
            <w:r>
              <w:rPr>
                <w:rFonts w:cs="Calibri"/>
                <w:i/>
                <w:iCs/>
                <w:color w:val="000000"/>
              </w:rPr>
              <w:t>Rectosigmoid junction</w:t>
            </w:r>
          </w:p>
        </w:tc>
        <w:tc>
          <w:tcPr>
            <w:tcW w:w="744" w:type="pct"/>
            <w:noWrap/>
            <w:hideMark/>
          </w:tcPr>
          <w:p w14:paraId="21615ABF" w14:textId="6E8CFBE7" w:rsidR="00C755A0" w:rsidRPr="00B702C3" w:rsidRDefault="00C755A0" w:rsidP="001A4831">
            <w:pPr>
              <w:pStyle w:val="NoSpacing"/>
              <w:ind w:firstLine="0"/>
              <w:jc w:val="right"/>
              <w:rPr>
                <w:rFonts w:cs="Calibri"/>
                <w:color w:val="000000"/>
              </w:rPr>
            </w:pPr>
            <w:r w:rsidRPr="00724C7D">
              <w:t>0.682</w:t>
            </w:r>
            <w:r w:rsidR="00FF2326">
              <w:t>0</w:t>
            </w:r>
          </w:p>
        </w:tc>
        <w:tc>
          <w:tcPr>
            <w:tcW w:w="742" w:type="pct"/>
            <w:noWrap/>
            <w:hideMark/>
          </w:tcPr>
          <w:p w14:paraId="2EE316D9" w14:textId="77777777" w:rsidR="00C755A0" w:rsidRPr="00B702C3" w:rsidRDefault="00C755A0" w:rsidP="001A4831">
            <w:pPr>
              <w:pStyle w:val="NoSpacing"/>
              <w:ind w:firstLine="0"/>
              <w:jc w:val="right"/>
              <w:rPr>
                <w:rFonts w:cs="Calibri"/>
                <w:color w:val="000000"/>
              </w:rPr>
            </w:pPr>
            <w:r w:rsidRPr="00724C7D">
              <w:t>0.4687</w:t>
            </w:r>
          </w:p>
        </w:tc>
        <w:tc>
          <w:tcPr>
            <w:tcW w:w="834" w:type="pct"/>
            <w:noWrap/>
            <w:hideMark/>
          </w:tcPr>
          <w:p w14:paraId="58F044EB" w14:textId="77777777" w:rsidR="00C755A0" w:rsidRPr="00B702C3" w:rsidRDefault="00C755A0" w:rsidP="001A4831">
            <w:pPr>
              <w:pStyle w:val="NoSpacing"/>
              <w:ind w:firstLine="0"/>
              <w:jc w:val="right"/>
              <w:rPr>
                <w:rFonts w:cs="Calibri"/>
                <w:color w:val="000000"/>
              </w:rPr>
            </w:pPr>
            <w:r w:rsidRPr="00724C7D">
              <w:t>0.8060*</w:t>
            </w:r>
          </w:p>
        </w:tc>
        <w:tc>
          <w:tcPr>
            <w:tcW w:w="984" w:type="pct"/>
            <w:noWrap/>
            <w:hideMark/>
          </w:tcPr>
          <w:p w14:paraId="1490CD28" w14:textId="048753FE" w:rsidR="00C755A0" w:rsidRPr="00B702C3" w:rsidRDefault="00C755A0" w:rsidP="001A4831">
            <w:pPr>
              <w:pStyle w:val="NoSpacing"/>
              <w:ind w:firstLine="0"/>
              <w:jc w:val="right"/>
              <w:rPr>
                <w:rFonts w:cs="Calibri"/>
                <w:color w:val="000000"/>
              </w:rPr>
            </w:pPr>
            <w:r w:rsidRPr="00724C7D">
              <w:t>-0.027</w:t>
            </w:r>
            <w:r w:rsidR="00FF2326">
              <w:t>0</w:t>
            </w:r>
          </w:p>
        </w:tc>
      </w:tr>
      <w:tr w:rsidR="00C755A0" w:rsidRPr="00B702C3" w14:paraId="0C299EC3" w14:textId="77777777" w:rsidTr="00F340C5">
        <w:trPr>
          <w:trHeight w:val="300"/>
        </w:trPr>
        <w:tc>
          <w:tcPr>
            <w:tcW w:w="1696" w:type="pct"/>
            <w:noWrap/>
          </w:tcPr>
          <w:p w14:paraId="378A1AAF" w14:textId="77777777" w:rsidR="00C755A0" w:rsidRPr="003A1D52" w:rsidRDefault="00C755A0" w:rsidP="001A4831">
            <w:pPr>
              <w:pStyle w:val="NoSpacing"/>
              <w:ind w:firstLine="0"/>
              <w:rPr>
                <w:rFonts w:cs="Calibri"/>
                <w:b/>
                <w:bCs/>
                <w:color w:val="000000"/>
              </w:rPr>
            </w:pPr>
            <w:r w:rsidRPr="003A1D52">
              <w:rPr>
                <w:rFonts w:cs="Calibri"/>
                <w:b/>
                <w:bCs/>
                <w:color w:val="000000"/>
              </w:rPr>
              <w:t>Year of Diagnosis</w:t>
            </w:r>
          </w:p>
        </w:tc>
        <w:tc>
          <w:tcPr>
            <w:tcW w:w="744" w:type="pct"/>
            <w:noWrap/>
          </w:tcPr>
          <w:p w14:paraId="482E7B26" w14:textId="77777777" w:rsidR="00C755A0" w:rsidRPr="001A627A" w:rsidRDefault="00C755A0" w:rsidP="001A4831">
            <w:pPr>
              <w:pStyle w:val="NoSpacing"/>
              <w:ind w:firstLine="0"/>
              <w:jc w:val="right"/>
            </w:pPr>
            <w:r w:rsidRPr="00724C7D">
              <w:t>-0.1322</w:t>
            </w:r>
          </w:p>
        </w:tc>
        <w:tc>
          <w:tcPr>
            <w:tcW w:w="742" w:type="pct"/>
            <w:noWrap/>
          </w:tcPr>
          <w:p w14:paraId="3A3736E6" w14:textId="77777777" w:rsidR="00C755A0" w:rsidRPr="001A627A" w:rsidRDefault="00C755A0" w:rsidP="001A4831">
            <w:pPr>
              <w:pStyle w:val="NoSpacing"/>
              <w:ind w:firstLine="0"/>
              <w:jc w:val="right"/>
            </w:pPr>
            <w:r w:rsidRPr="00724C7D">
              <w:t>-0.0739</w:t>
            </w:r>
          </w:p>
        </w:tc>
        <w:tc>
          <w:tcPr>
            <w:tcW w:w="834" w:type="pct"/>
            <w:noWrap/>
          </w:tcPr>
          <w:p w14:paraId="7341E414" w14:textId="77777777" w:rsidR="00C755A0" w:rsidRPr="001A627A" w:rsidRDefault="00C755A0" w:rsidP="001A4831">
            <w:pPr>
              <w:pStyle w:val="NoSpacing"/>
              <w:ind w:firstLine="0"/>
              <w:jc w:val="right"/>
            </w:pPr>
            <w:r w:rsidRPr="00724C7D">
              <w:t>-0.1408</w:t>
            </w:r>
          </w:p>
        </w:tc>
        <w:tc>
          <w:tcPr>
            <w:tcW w:w="984" w:type="pct"/>
            <w:noWrap/>
          </w:tcPr>
          <w:p w14:paraId="41D7BAE4" w14:textId="77777777" w:rsidR="00C755A0" w:rsidRPr="001A627A" w:rsidRDefault="00C755A0" w:rsidP="001A4831">
            <w:pPr>
              <w:pStyle w:val="NoSpacing"/>
              <w:ind w:firstLine="0"/>
              <w:jc w:val="right"/>
            </w:pPr>
            <w:r w:rsidRPr="00724C7D">
              <w:t xml:space="preserve"> -0.2155**</w:t>
            </w:r>
          </w:p>
        </w:tc>
      </w:tr>
      <w:tr w:rsidR="00C755A0" w:rsidRPr="00B702C3" w14:paraId="1DE5BFA1" w14:textId="77777777" w:rsidTr="00F340C5">
        <w:trPr>
          <w:cnfStyle w:val="000000100000" w:firstRow="0" w:lastRow="0" w:firstColumn="0" w:lastColumn="0" w:oddVBand="0" w:evenVBand="0" w:oddHBand="1" w:evenHBand="0" w:firstRowFirstColumn="0" w:firstRowLastColumn="0" w:lastRowFirstColumn="0" w:lastRowLastColumn="0"/>
          <w:trHeight w:val="300"/>
        </w:trPr>
        <w:tc>
          <w:tcPr>
            <w:tcW w:w="1696" w:type="pct"/>
            <w:tcBorders>
              <w:bottom w:val="single" w:sz="4" w:space="0" w:color="auto"/>
            </w:tcBorders>
            <w:noWrap/>
            <w:hideMark/>
          </w:tcPr>
          <w:p w14:paraId="33BC61D4" w14:textId="77777777" w:rsidR="00C755A0" w:rsidRPr="003A1D52" w:rsidRDefault="00C755A0" w:rsidP="001A4831">
            <w:pPr>
              <w:pStyle w:val="NoSpacing"/>
              <w:ind w:firstLine="0"/>
              <w:rPr>
                <w:rFonts w:cs="Calibri"/>
                <w:b/>
                <w:bCs/>
                <w:color w:val="000000"/>
              </w:rPr>
            </w:pPr>
            <w:r w:rsidRPr="003A1D52">
              <w:rPr>
                <w:rFonts w:cs="Calibri"/>
                <w:b/>
                <w:bCs/>
                <w:color w:val="000000"/>
              </w:rPr>
              <w:t>CD Score at Diagnosis</w:t>
            </w:r>
          </w:p>
        </w:tc>
        <w:tc>
          <w:tcPr>
            <w:tcW w:w="744" w:type="pct"/>
            <w:tcBorders>
              <w:bottom w:val="single" w:sz="4" w:space="0" w:color="auto"/>
            </w:tcBorders>
            <w:noWrap/>
            <w:hideMark/>
          </w:tcPr>
          <w:p w14:paraId="5D01C453" w14:textId="77777777" w:rsidR="00C755A0" w:rsidRPr="00B702C3" w:rsidRDefault="00C755A0" w:rsidP="001A4831">
            <w:pPr>
              <w:pStyle w:val="NoSpacing"/>
              <w:ind w:firstLine="0"/>
              <w:jc w:val="right"/>
              <w:rPr>
                <w:rFonts w:cs="Calibri"/>
                <w:color w:val="000000"/>
              </w:rPr>
            </w:pPr>
            <w:r w:rsidRPr="00724C7D">
              <w:t>0.0512</w:t>
            </w:r>
          </w:p>
        </w:tc>
        <w:tc>
          <w:tcPr>
            <w:tcW w:w="742" w:type="pct"/>
            <w:tcBorders>
              <w:bottom w:val="single" w:sz="4" w:space="0" w:color="auto"/>
            </w:tcBorders>
            <w:noWrap/>
            <w:hideMark/>
          </w:tcPr>
          <w:p w14:paraId="27D59AD7" w14:textId="77777777" w:rsidR="00C755A0" w:rsidRPr="00B702C3" w:rsidRDefault="00C755A0" w:rsidP="001A4831">
            <w:pPr>
              <w:pStyle w:val="NoSpacing"/>
              <w:ind w:firstLine="0"/>
              <w:jc w:val="right"/>
              <w:rPr>
                <w:rFonts w:cs="Calibri"/>
                <w:color w:val="000000"/>
              </w:rPr>
            </w:pPr>
            <w:r w:rsidRPr="00724C7D">
              <w:t>-0.7435</w:t>
            </w:r>
          </w:p>
        </w:tc>
        <w:tc>
          <w:tcPr>
            <w:tcW w:w="834" w:type="pct"/>
            <w:tcBorders>
              <w:bottom w:val="single" w:sz="4" w:space="0" w:color="auto"/>
            </w:tcBorders>
            <w:noWrap/>
            <w:hideMark/>
          </w:tcPr>
          <w:p w14:paraId="48A1F928" w14:textId="77777777" w:rsidR="00C755A0" w:rsidRPr="00B702C3" w:rsidRDefault="00C755A0" w:rsidP="001A4831">
            <w:pPr>
              <w:pStyle w:val="NoSpacing"/>
              <w:ind w:firstLine="0"/>
              <w:jc w:val="right"/>
              <w:rPr>
                <w:rFonts w:cs="Calibri"/>
                <w:color w:val="000000"/>
              </w:rPr>
            </w:pPr>
            <w:r w:rsidRPr="00724C7D">
              <w:t>-0.1307</w:t>
            </w:r>
          </w:p>
        </w:tc>
        <w:tc>
          <w:tcPr>
            <w:tcW w:w="984" w:type="pct"/>
            <w:tcBorders>
              <w:bottom w:val="single" w:sz="4" w:space="0" w:color="auto"/>
            </w:tcBorders>
            <w:noWrap/>
            <w:hideMark/>
          </w:tcPr>
          <w:p w14:paraId="08E03F36" w14:textId="77777777" w:rsidR="00C755A0" w:rsidRPr="00B702C3" w:rsidRDefault="00C755A0" w:rsidP="001A4831">
            <w:pPr>
              <w:pStyle w:val="NoSpacing"/>
              <w:ind w:firstLine="0"/>
              <w:jc w:val="right"/>
              <w:rPr>
                <w:rFonts w:cs="Calibri"/>
                <w:color w:val="000000"/>
              </w:rPr>
            </w:pPr>
            <w:r w:rsidRPr="00724C7D">
              <w:t>0.4304</w:t>
            </w:r>
          </w:p>
        </w:tc>
      </w:tr>
    </w:tbl>
    <w:p w14:paraId="1274C912" w14:textId="0FCC1B60" w:rsidR="001545CE" w:rsidRDefault="00C755A0" w:rsidP="00C755A0">
      <w:pPr>
        <w:ind w:firstLine="0"/>
      </w:pPr>
      <w:r>
        <w:t>*: p&lt;0.05; **: p&lt;0.01</w:t>
      </w:r>
    </w:p>
    <w:p w14:paraId="39D2952D" w14:textId="0ADB36DB" w:rsidR="00607735" w:rsidRDefault="00607735">
      <w:pPr>
        <w:spacing w:after="160" w:line="259" w:lineRule="auto"/>
        <w:ind w:firstLine="0"/>
      </w:pPr>
      <w:r>
        <w:br w:type="page"/>
      </w:r>
    </w:p>
    <w:p w14:paraId="7B266709" w14:textId="7B8BEA95" w:rsidR="00B27A9C" w:rsidRDefault="009077BF" w:rsidP="00607735">
      <w:pPr>
        <w:ind w:firstLine="0"/>
      </w:pPr>
      <w:r>
        <w:lastRenderedPageBreak/>
        <w:t>survival experience of people with missing stage data was nearly identical to that of people with stage III CRC. Based on these results, cases with missing stage data were included in the survival models. Nineteen cases with stage 0 disease were excluded because there were no CRC deaths observed in this group. Stage at diagnosis was treated as a categorical variable in survival models.</w:t>
      </w:r>
    </w:p>
    <w:p w14:paraId="465FCB0C" w14:textId="4015568E" w:rsidR="00607735" w:rsidRDefault="00607735" w:rsidP="00607735">
      <w:r>
        <w:t>Results of the main survival models are shown in Table XII. As expected, stage and year of diagnosis significantly predicted CRC-specific survival. Once accounting for stage, anatomic site was not associated with CRC-specific survival. There were no meaningful differences in survival by race/ethnicity, sex, or age at diagnosis.</w:t>
      </w:r>
    </w:p>
    <w:p w14:paraId="3B853117" w14:textId="77777777" w:rsidR="000C53F0" w:rsidRDefault="000C53F0" w:rsidP="000C53F0">
      <w:pPr>
        <w:pStyle w:val="NoSpacing"/>
      </w:pPr>
    </w:p>
    <w:p w14:paraId="2226166B" w14:textId="77777777" w:rsidR="000C53F0" w:rsidRDefault="000C53F0" w:rsidP="000C53F0">
      <w:pPr>
        <w:pStyle w:val="NoSpacing"/>
      </w:pPr>
    </w:p>
    <w:p w14:paraId="107AFB4D" w14:textId="77777777" w:rsidR="000C53F0" w:rsidRDefault="000C53F0" w:rsidP="000C53F0">
      <w:pPr>
        <w:pStyle w:val="NoSpacing"/>
      </w:pPr>
    </w:p>
    <w:p w14:paraId="0D344550" w14:textId="77777777" w:rsidR="000C53F0" w:rsidRDefault="000C53F0" w:rsidP="000C53F0">
      <w:pPr>
        <w:pStyle w:val="NoSpacing"/>
      </w:pPr>
    </w:p>
    <w:p w14:paraId="5502E2C5" w14:textId="77777777" w:rsidR="000C53F0" w:rsidRDefault="00B27A9C" w:rsidP="000C53F0">
      <w:pPr>
        <w:pStyle w:val="FigureLegend"/>
        <w:keepNext/>
      </w:pPr>
      <w:r w:rsidRPr="00B27A9C">
        <w:rPr>
          <w:noProof/>
        </w:rPr>
        <w:drawing>
          <wp:inline distT="0" distB="0" distL="0" distR="0" wp14:anchorId="1D530E1C" wp14:editId="7B9BBD15">
            <wp:extent cx="5384800" cy="3805136"/>
            <wp:effectExtent l="0" t="0" r="6350" b="5080"/>
            <wp:docPr id="14" name="Content Placeholder 13">
              <a:extLst xmlns:a="http://schemas.openxmlformats.org/drawingml/2006/main">
                <a:ext uri="{FF2B5EF4-FFF2-40B4-BE49-F238E27FC236}">
                  <a16:creationId xmlns:a16="http://schemas.microsoft.com/office/drawing/2014/main" id="{4686A83F-6623-C033-3C0A-A546F5974903}"/>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4" name="Content Placeholder 13">
                      <a:extLst>
                        <a:ext uri="{FF2B5EF4-FFF2-40B4-BE49-F238E27FC236}">
                          <a16:creationId xmlns:a16="http://schemas.microsoft.com/office/drawing/2014/main" id="{4686A83F-6623-C033-3C0A-A546F5974903}"/>
                        </a:ext>
                      </a:extLst>
                    </pic:cNvPr>
                    <pic:cNvPicPr>
                      <a:picLocks noGrp="1" noChangeAspect="1"/>
                    </pic:cNvPicPr>
                  </pic:nvPicPr>
                  <pic:blipFill rotWithShape="1">
                    <a:blip r:embed="rId29"/>
                    <a:srcRect t="5781"/>
                    <a:stretch/>
                  </pic:blipFill>
                  <pic:spPr bwMode="auto">
                    <a:xfrm>
                      <a:off x="0" y="0"/>
                      <a:ext cx="5384800" cy="3805136"/>
                    </a:xfrm>
                    <a:prstGeom prst="rect">
                      <a:avLst/>
                    </a:prstGeom>
                    <a:ln>
                      <a:noFill/>
                    </a:ln>
                    <a:extLst>
                      <a:ext uri="{53640926-AAD7-44D8-BBD7-CCE9431645EC}">
                        <a14:shadowObscured xmlns:a14="http://schemas.microsoft.com/office/drawing/2010/main"/>
                      </a:ext>
                    </a:extLst>
                  </pic:spPr>
                </pic:pic>
              </a:graphicData>
            </a:graphic>
          </wp:inline>
        </w:drawing>
      </w:r>
    </w:p>
    <w:p w14:paraId="4198CA84" w14:textId="3553F259" w:rsidR="009E577E" w:rsidRDefault="000C53F0" w:rsidP="000C53F0">
      <w:pPr>
        <w:pStyle w:val="FigureLegend"/>
      </w:pPr>
      <w:bookmarkStart w:id="219" w:name="_Toc149576431"/>
      <w:r>
        <w:t xml:space="preserve">Figure </w:t>
      </w:r>
      <w:r w:rsidR="00121836">
        <w:t>6</w:t>
      </w:r>
      <w:r>
        <w:t>. Kaplan-Meier survival estimates stratified by stage at diagnosis among UI Health patients diagnosed with colorectal cancer, 1995-2004</w:t>
      </w:r>
      <w:bookmarkEnd w:id="219"/>
    </w:p>
    <w:p w14:paraId="105F3857" w14:textId="77777777" w:rsidR="000C53F0" w:rsidRDefault="000C53F0" w:rsidP="000C53F0">
      <w:pPr>
        <w:pStyle w:val="NoSpacing"/>
      </w:pPr>
    </w:p>
    <w:p w14:paraId="3DCBB5CD" w14:textId="77777777" w:rsidR="000C53F0" w:rsidRDefault="000C53F0" w:rsidP="000C53F0">
      <w:pPr>
        <w:pStyle w:val="NoSpacing"/>
      </w:pPr>
    </w:p>
    <w:p w14:paraId="6339D79E" w14:textId="77777777" w:rsidR="000C53F0" w:rsidRDefault="000C53F0" w:rsidP="000C53F0">
      <w:pPr>
        <w:pStyle w:val="NoSpacing"/>
      </w:pPr>
    </w:p>
    <w:p w14:paraId="5E12AA89" w14:textId="3BF65063" w:rsidR="00E7422E" w:rsidRDefault="00E7422E" w:rsidP="000C53F0">
      <w:pPr>
        <w:pStyle w:val="TableName"/>
      </w:pPr>
      <w:bookmarkStart w:id="220" w:name="_Toc148375823"/>
      <w:r>
        <w:lastRenderedPageBreak/>
        <w:t>TAble XI. Logistic Regression Models 1-2: Predictors of Advanced Stage at Diagnosis among people diagnosed with colorectal cancer at UI Health, 1995-2004, by choice of concentrated disadvantage score</w:t>
      </w:r>
      <w:bookmarkEnd w:id="220"/>
    </w:p>
    <w:tbl>
      <w:tblPr>
        <w:tblStyle w:val="PlainTable3"/>
        <w:tblW w:w="5000" w:type="pct"/>
        <w:tblLook w:val="0420" w:firstRow="1" w:lastRow="0" w:firstColumn="0" w:lastColumn="0" w:noHBand="0" w:noVBand="1"/>
      </w:tblPr>
      <w:tblGrid>
        <w:gridCol w:w="3806"/>
        <w:gridCol w:w="1091"/>
        <w:gridCol w:w="1623"/>
        <w:gridCol w:w="1217"/>
        <w:gridCol w:w="1623"/>
      </w:tblGrid>
      <w:tr w:rsidR="00E7422E" w:rsidRPr="00793B3D" w14:paraId="6B6F6F61" w14:textId="77777777" w:rsidTr="00485DF2">
        <w:trPr>
          <w:cnfStyle w:val="100000000000" w:firstRow="1" w:lastRow="0" w:firstColumn="0" w:lastColumn="0" w:oddVBand="0" w:evenVBand="0" w:oddHBand="0" w:evenHBand="0" w:firstRowFirstColumn="0" w:firstRowLastColumn="0" w:lastRowFirstColumn="0" w:lastRowLastColumn="0"/>
          <w:trHeight w:val="300"/>
        </w:trPr>
        <w:tc>
          <w:tcPr>
            <w:tcW w:w="2033" w:type="pct"/>
            <w:noWrap/>
            <w:hideMark/>
          </w:tcPr>
          <w:p w14:paraId="76D4AB33" w14:textId="77777777" w:rsidR="00E7422E" w:rsidRPr="00793B3D" w:rsidRDefault="00E7422E" w:rsidP="00485DF2">
            <w:pPr>
              <w:spacing w:line="240" w:lineRule="auto"/>
              <w:ind w:firstLine="0"/>
              <w:rPr>
                <w:rFonts w:eastAsia="Times New Roman" w:cs="Times New Roman"/>
                <w:sz w:val="24"/>
                <w:szCs w:val="24"/>
              </w:rPr>
            </w:pPr>
          </w:p>
        </w:tc>
        <w:tc>
          <w:tcPr>
            <w:tcW w:w="1450" w:type="pct"/>
            <w:gridSpan w:val="2"/>
            <w:noWrap/>
            <w:hideMark/>
          </w:tcPr>
          <w:p w14:paraId="57B8C53A" w14:textId="77777777" w:rsidR="00E7422E" w:rsidRPr="003563C9" w:rsidRDefault="00E7422E" w:rsidP="00485DF2">
            <w:pPr>
              <w:spacing w:line="240" w:lineRule="auto"/>
              <w:ind w:firstLine="0"/>
              <w:jc w:val="center"/>
              <w:rPr>
                <w:rFonts w:eastAsia="Times New Roman" w:cs="Calibri"/>
                <w:caps w:val="0"/>
                <w:color w:val="000000"/>
              </w:rPr>
            </w:pPr>
            <w:r w:rsidRPr="003563C9">
              <w:rPr>
                <w:rFonts w:eastAsia="Times New Roman" w:cs="Calibri"/>
                <w:caps w:val="0"/>
                <w:color w:val="000000"/>
              </w:rPr>
              <w:t>Model 1</w:t>
            </w:r>
          </w:p>
        </w:tc>
        <w:tc>
          <w:tcPr>
            <w:tcW w:w="1517" w:type="pct"/>
            <w:gridSpan w:val="2"/>
            <w:noWrap/>
            <w:hideMark/>
          </w:tcPr>
          <w:p w14:paraId="66732C18" w14:textId="77777777" w:rsidR="00E7422E" w:rsidRPr="003563C9" w:rsidRDefault="00E7422E" w:rsidP="00485DF2">
            <w:pPr>
              <w:spacing w:line="240" w:lineRule="auto"/>
              <w:ind w:firstLine="0"/>
              <w:jc w:val="center"/>
              <w:rPr>
                <w:rFonts w:eastAsia="Times New Roman" w:cs="Calibri"/>
                <w:caps w:val="0"/>
                <w:color w:val="000000"/>
              </w:rPr>
            </w:pPr>
            <w:r w:rsidRPr="003563C9">
              <w:rPr>
                <w:rFonts w:eastAsia="Times New Roman" w:cs="Calibri"/>
                <w:caps w:val="0"/>
                <w:color w:val="000000"/>
              </w:rPr>
              <w:t>Model 2</w:t>
            </w:r>
          </w:p>
        </w:tc>
      </w:tr>
      <w:tr w:rsidR="00E7422E" w:rsidRPr="00793B3D" w14:paraId="685BFD26" w14:textId="77777777" w:rsidTr="00485DF2">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2D10D433" w14:textId="77777777" w:rsidR="00E7422E" w:rsidRPr="00793B3D" w:rsidRDefault="00E7422E" w:rsidP="00485DF2">
            <w:pPr>
              <w:spacing w:line="240" w:lineRule="auto"/>
              <w:ind w:firstLine="0"/>
              <w:jc w:val="right"/>
              <w:rPr>
                <w:rFonts w:eastAsia="Times New Roman" w:cs="Times New Roman"/>
                <w:sz w:val="20"/>
                <w:szCs w:val="20"/>
              </w:rPr>
            </w:pPr>
          </w:p>
        </w:tc>
        <w:tc>
          <w:tcPr>
            <w:tcW w:w="583" w:type="pct"/>
            <w:noWrap/>
            <w:hideMark/>
          </w:tcPr>
          <w:p w14:paraId="79A97B05" w14:textId="460858E0" w:rsidR="00E7422E" w:rsidRPr="00793B3D" w:rsidRDefault="00E7422E" w:rsidP="00485DF2">
            <w:pPr>
              <w:spacing w:line="240" w:lineRule="auto"/>
              <w:ind w:firstLine="0"/>
              <w:jc w:val="right"/>
              <w:rPr>
                <w:rFonts w:eastAsia="Times New Roman" w:cs="Calibri"/>
                <w:b/>
                <w:bCs/>
                <w:i/>
                <w:iCs/>
                <w:color w:val="000000"/>
              </w:rPr>
            </w:pPr>
            <w:r>
              <w:rPr>
                <w:rFonts w:eastAsia="Times New Roman" w:cs="Calibri"/>
                <w:b/>
                <w:bCs/>
                <w:i/>
                <w:iCs/>
                <w:color w:val="000000"/>
              </w:rPr>
              <w:t>OR</w:t>
            </w:r>
          </w:p>
        </w:tc>
        <w:tc>
          <w:tcPr>
            <w:tcW w:w="867" w:type="pct"/>
            <w:noWrap/>
            <w:hideMark/>
          </w:tcPr>
          <w:p w14:paraId="75E16E7E" w14:textId="77777777" w:rsidR="00E7422E" w:rsidRPr="00793B3D" w:rsidRDefault="00E7422E" w:rsidP="00485DF2">
            <w:pPr>
              <w:spacing w:line="240" w:lineRule="auto"/>
              <w:ind w:firstLine="0"/>
              <w:jc w:val="right"/>
              <w:rPr>
                <w:rFonts w:eastAsia="Times New Roman" w:cs="Calibri"/>
                <w:b/>
                <w:bCs/>
                <w:i/>
                <w:iCs/>
                <w:color w:val="000000"/>
              </w:rPr>
            </w:pPr>
            <w:r w:rsidRPr="00793B3D">
              <w:rPr>
                <w:rFonts w:eastAsia="Times New Roman" w:cs="Calibri"/>
                <w:b/>
                <w:bCs/>
                <w:i/>
                <w:iCs/>
                <w:color w:val="000000"/>
              </w:rPr>
              <w:t>95% CI</w:t>
            </w:r>
          </w:p>
        </w:tc>
        <w:tc>
          <w:tcPr>
            <w:tcW w:w="650" w:type="pct"/>
            <w:noWrap/>
            <w:hideMark/>
          </w:tcPr>
          <w:p w14:paraId="6458C564" w14:textId="077CB4BA" w:rsidR="00E7422E" w:rsidRPr="00793B3D" w:rsidRDefault="00E7422E" w:rsidP="00485DF2">
            <w:pPr>
              <w:spacing w:line="240" w:lineRule="auto"/>
              <w:ind w:firstLine="0"/>
              <w:jc w:val="right"/>
              <w:rPr>
                <w:rFonts w:eastAsia="Times New Roman" w:cs="Calibri"/>
                <w:b/>
                <w:bCs/>
                <w:i/>
                <w:iCs/>
                <w:color w:val="000000"/>
              </w:rPr>
            </w:pPr>
            <w:r>
              <w:rPr>
                <w:rFonts w:eastAsia="Times New Roman" w:cs="Calibri"/>
                <w:b/>
                <w:bCs/>
                <w:i/>
                <w:iCs/>
                <w:color w:val="000000"/>
              </w:rPr>
              <w:t>OR</w:t>
            </w:r>
          </w:p>
        </w:tc>
        <w:tc>
          <w:tcPr>
            <w:tcW w:w="867" w:type="pct"/>
            <w:noWrap/>
            <w:hideMark/>
          </w:tcPr>
          <w:p w14:paraId="3C9983A4" w14:textId="77777777" w:rsidR="00E7422E" w:rsidRPr="00793B3D" w:rsidRDefault="00E7422E" w:rsidP="00485DF2">
            <w:pPr>
              <w:spacing w:line="240" w:lineRule="auto"/>
              <w:ind w:firstLine="0"/>
              <w:jc w:val="right"/>
              <w:rPr>
                <w:rFonts w:eastAsia="Times New Roman" w:cs="Calibri"/>
                <w:b/>
                <w:bCs/>
                <w:i/>
                <w:iCs/>
                <w:color w:val="000000"/>
              </w:rPr>
            </w:pPr>
            <w:r w:rsidRPr="00793B3D">
              <w:rPr>
                <w:rFonts w:eastAsia="Times New Roman" w:cs="Calibri"/>
                <w:b/>
                <w:bCs/>
                <w:i/>
                <w:iCs/>
                <w:color w:val="000000"/>
              </w:rPr>
              <w:t>95% CI</w:t>
            </w:r>
          </w:p>
        </w:tc>
      </w:tr>
      <w:tr w:rsidR="00E7422E" w:rsidRPr="00793B3D" w14:paraId="0D2097B7" w14:textId="77777777" w:rsidTr="000C53F0">
        <w:trPr>
          <w:trHeight w:val="300"/>
        </w:trPr>
        <w:tc>
          <w:tcPr>
            <w:tcW w:w="0" w:type="pct"/>
            <w:noWrap/>
            <w:hideMark/>
          </w:tcPr>
          <w:p w14:paraId="2C0B7B17" w14:textId="59F45022" w:rsidR="00E7422E" w:rsidRPr="00793B3D" w:rsidRDefault="00E7422E" w:rsidP="00485DF2">
            <w:pPr>
              <w:spacing w:line="240" w:lineRule="auto"/>
              <w:ind w:firstLine="0"/>
              <w:rPr>
                <w:rFonts w:eastAsia="Times New Roman" w:cs="Calibri"/>
                <w:b/>
                <w:bCs/>
                <w:color w:val="000000"/>
              </w:rPr>
            </w:pPr>
            <w:r w:rsidRPr="00793B3D">
              <w:rPr>
                <w:rFonts w:eastAsia="Times New Roman" w:cs="Calibri"/>
                <w:b/>
                <w:bCs/>
                <w:color w:val="000000"/>
              </w:rPr>
              <w:t xml:space="preserve">Age (per </w:t>
            </w:r>
            <w:r w:rsidR="00F340C5" w:rsidRPr="00793B3D">
              <w:rPr>
                <w:rFonts w:eastAsia="Times New Roman" w:cs="Calibri"/>
                <w:b/>
                <w:bCs/>
                <w:color w:val="000000"/>
              </w:rPr>
              <w:t>10-year</w:t>
            </w:r>
            <w:r w:rsidRPr="00793B3D">
              <w:rPr>
                <w:rFonts w:eastAsia="Times New Roman" w:cs="Calibri"/>
                <w:b/>
                <w:bCs/>
                <w:color w:val="000000"/>
              </w:rPr>
              <w:t xml:space="preserve"> change)</w:t>
            </w:r>
          </w:p>
        </w:tc>
        <w:tc>
          <w:tcPr>
            <w:tcW w:w="0" w:type="pct"/>
            <w:noWrap/>
          </w:tcPr>
          <w:p w14:paraId="4F7DE47E" w14:textId="095B8D47"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0.85</w:t>
            </w:r>
          </w:p>
        </w:tc>
        <w:tc>
          <w:tcPr>
            <w:tcW w:w="0" w:type="pct"/>
            <w:noWrap/>
          </w:tcPr>
          <w:p w14:paraId="2BB38606" w14:textId="70B3798F"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0.67, 1.09</w:t>
            </w:r>
          </w:p>
        </w:tc>
        <w:tc>
          <w:tcPr>
            <w:tcW w:w="0" w:type="pct"/>
            <w:noWrap/>
          </w:tcPr>
          <w:p w14:paraId="21295C43" w14:textId="21CA7FF4"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1.17</w:t>
            </w:r>
          </w:p>
        </w:tc>
        <w:tc>
          <w:tcPr>
            <w:tcW w:w="0" w:type="pct"/>
            <w:noWrap/>
          </w:tcPr>
          <w:p w14:paraId="4AC54623" w14:textId="2B97E187"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0.92, 1.49</w:t>
            </w:r>
          </w:p>
        </w:tc>
      </w:tr>
      <w:tr w:rsidR="00E7422E" w:rsidRPr="00793B3D" w14:paraId="78EFF060"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366909A5" w14:textId="77777777" w:rsidR="00E7422E" w:rsidRPr="00793B3D" w:rsidRDefault="00E7422E" w:rsidP="00485DF2">
            <w:pPr>
              <w:spacing w:line="240" w:lineRule="auto"/>
              <w:ind w:firstLine="0"/>
              <w:rPr>
                <w:rFonts w:eastAsia="Times New Roman" w:cs="Calibri"/>
                <w:b/>
                <w:bCs/>
                <w:color w:val="000000"/>
              </w:rPr>
            </w:pPr>
            <w:r w:rsidRPr="00793B3D">
              <w:rPr>
                <w:rFonts w:eastAsia="Times New Roman" w:cs="Calibri"/>
                <w:b/>
                <w:bCs/>
                <w:color w:val="000000"/>
              </w:rPr>
              <w:t>Sex</w:t>
            </w:r>
          </w:p>
        </w:tc>
        <w:tc>
          <w:tcPr>
            <w:tcW w:w="0" w:type="pct"/>
            <w:noWrap/>
          </w:tcPr>
          <w:p w14:paraId="76A3C153" w14:textId="77777777" w:rsidR="00E7422E" w:rsidRPr="00793B3D" w:rsidRDefault="00E7422E" w:rsidP="00485DF2">
            <w:pPr>
              <w:spacing w:line="240" w:lineRule="auto"/>
              <w:ind w:firstLine="0"/>
              <w:jc w:val="right"/>
              <w:rPr>
                <w:rFonts w:eastAsia="Times New Roman" w:cs="Calibri"/>
                <w:color w:val="000000"/>
              </w:rPr>
            </w:pPr>
          </w:p>
        </w:tc>
        <w:tc>
          <w:tcPr>
            <w:tcW w:w="0" w:type="pct"/>
            <w:noWrap/>
          </w:tcPr>
          <w:p w14:paraId="033C8AD0" w14:textId="77777777" w:rsidR="00E7422E" w:rsidRPr="00793B3D" w:rsidRDefault="00E7422E" w:rsidP="00485DF2">
            <w:pPr>
              <w:spacing w:line="240" w:lineRule="auto"/>
              <w:ind w:firstLine="0"/>
              <w:jc w:val="right"/>
              <w:rPr>
                <w:rFonts w:eastAsia="Times New Roman" w:cs="Times New Roman"/>
                <w:sz w:val="20"/>
                <w:szCs w:val="20"/>
              </w:rPr>
            </w:pPr>
          </w:p>
        </w:tc>
        <w:tc>
          <w:tcPr>
            <w:tcW w:w="0" w:type="pct"/>
            <w:noWrap/>
          </w:tcPr>
          <w:p w14:paraId="44A5F234" w14:textId="77777777" w:rsidR="00E7422E" w:rsidRPr="00793B3D" w:rsidRDefault="00E7422E" w:rsidP="00485DF2">
            <w:pPr>
              <w:spacing w:line="240" w:lineRule="auto"/>
              <w:ind w:firstLine="0"/>
              <w:jc w:val="right"/>
              <w:rPr>
                <w:rFonts w:eastAsia="Times New Roman" w:cs="Times New Roman"/>
                <w:sz w:val="20"/>
                <w:szCs w:val="20"/>
              </w:rPr>
            </w:pPr>
          </w:p>
        </w:tc>
        <w:tc>
          <w:tcPr>
            <w:tcW w:w="0" w:type="pct"/>
            <w:noWrap/>
          </w:tcPr>
          <w:p w14:paraId="2D4987EA" w14:textId="77777777" w:rsidR="00E7422E" w:rsidRPr="00793B3D" w:rsidRDefault="00E7422E" w:rsidP="00485DF2">
            <w:pPr>
              <w:spacing w:line="240" w:lineRule="auto"/>
              <w:ind w:firstLine="0"/>
              <w:jc w:val="right"/>
              <w:rPr>
                <w:rFonts w:eastAsia="Times New Roman" w:cs="Times New Roman"/>
                <w:sz w:val="20"/>
                <w:szCs w:val="20"/>
              </w:rPr>
            </w:pPr>
          </w:p>
        </w:tc>
      </w:tr>
      <w:tr w:rsidR="00E7422E" w:rsidRPr="00793B3D" w14:paraId="067566AF" w14:textId="77777777" w:rsidTr="000C53F0">
        <w:trPr>
          <w:trHeight w:val="300"/>
        </w:trPr>
        <w:tc>
          <w:tcPr>
            <w:tcW w:w="0" w:type="pct"/>
            <w:noWrap/>
            <w:hideMark/>
          </w:tcPr>
          <w:p w14:paraId="27E580F2" w14:textId="77777777" w:rsidR="00E7422E" w:rsidRPr="003563C9" w:rsidRDefault="00E7422E" w:rsidP="00485DF2">
            <w:pPr>
              <w:spacing w:line="240" w:lineRule="auto"/>
              <w:ind w:firstLine="0"/>
              <w:jc w:val="right"/>
              <w:rPr>
                <w:rFonts w:eastAsia="Times New Roman" w:cs="Calibri"/>
                <w:color w:val="000000"/>
              </w:rPr>
            </w:pPr>
            <w:r w:rsidRPr="003563C9">
              <w:rPr>
                <w:rFonts w:eastAsia="Times New Roman" w:cs="Calibri"/>
                <w:color w:val="000000"/>
              </w:rPr>
              <w:t>Female</w:t>
            </w:r>
          </w:p>
        </w:tc>
        <w:tc>
          <w:tcPr>
            <w:tcW w:w="0" w:type="pct"/>
            <w:noWrap/>
          </w:tcPr>
          <w:p w14:paraId="2A909750" w14:textId="1AC9633F"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Ref</w:t>
            </w:r>
          </w:p>
        </w:tc>
        <w:tc>
          <w:tcPr>
            <w:tcW w:w="0" w:type="pct"/>
            <w:noWrap/>
          </w:tcPr>
          <w:p w14:paraId="080991E9" w14:textId="77777777" w:rsidR="00E7422E" w:rsidRPr="00793B3D" w:rsidRDefault="00E7422E" w:rsidP="00485DF2">
            <w:pPr>
              <w:spacing w:line="240" w:lineRule="auto"/>
              <w:ind w:firstLine="0"/>
              <w:jc w:val="right"/>
              <w:rPr>
                <w:rFonts w:eastAsia="Times New Roman" w:cs="Calibri"/>
                <w:color w:val="000000"/>
              </w:rPr>
            </w:pPr>
          </w:p>
        </w:tc>
        <w:tc>
          <w:tcPr>
            <w:tcW w:w="0" w:type="pct"/>
            <w:noWrap/>
          </w:tcPr>
          <w:p w14:paraId="722F53CF" w14:textId="4362D3E7"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Ref</w:t>
            </w:r>
          </w:p>
        </w:tc>
        <w:tc>
          <w:tcPr>
            <w:tcW w:w="0" w:type="pct"/>
            <w:noWrap/>
          </w:tcPr>
          <w:p w14:paraId="1CAF26EF" w14:textId="77777777" w:rsidR="00E7422E" w:rsidRPr="00793B3D" w:rsidRDefault="00E7422E" w:rsidP="00485DF2">
            <w:pPr>
              <w:spacing w:line="240" w:lineRule="auto"/>
              <w:ind w:firstLine="0"/>
              <w:jc w:val="right"/>
              <w:rPr>
                <w:rFonts w:eastAsia="Times New Roman" w:cs="Calibri"/>
                <w:color w:val="000000"/>
              </w:rPr>
            </w:pPr>
          </w:p>
        </w:tc>
      </w:tr>
      <w:tr w:rsidR="00E7422E" w:rsidRPr="00793B3D" w14:paraId="0433CBC8"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60F10277" w14:textId="77777777" w:rsidR="00E7422E" w:rsidRPr="003563C9" w:rsidRDefault="00E7422E" w:rsidP="00485DF2">
            <w:pPr>
              <w:spacing w:line="240" w:lineRule="auto"/>
              <w:ind w:firstLine="0"/>
              <w:jc w:val="right"/>
              <w:rPr>
                <w:rFonts w:eastAsia="Times New Roman" w:cs="Calibri"/>
                <w:color w:val="000000"/>
              </w:rPr>
            </w:pPr>
            <w:r w:rsidRPr="003563C9">
              <w:rPr>
                <w:rFonts w:eastAsia="Times New Roman" w:cs="Calibri"/>
                <w:color w:val="000000"/>
              </w:rPr>
              <w:t>Male</w:t>
            </w:r>
          </w:p>
        </w:tc>
        <w:tc>
          <w:tcPr>
            <w:tcW w:w="0" w:type="pct"/>
            <w:noWrap/>
          </w:tcPr>
          <w:p w14:paraId="18F88698" w14:textId="01DAE753"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0.81</w:t>
            </w:r>
          </w:p>
        </w:tc>
        <w:tc>
          <w:tcPr>
            <w:tcW w:w="0" w:type="pct"/>
            <w:noWrap/>
          </w:tcPr>
          <w:p w14:paraId="11503642" w14:textId="60F74991"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0.52, 1.25</w:t>
            </w:r>
          </w:p>
        </w:tc>
        <w:tc>
          <w:tcPr>
            <w:tcW w:w="0" w:type="pct"/>
            <w:noWrap/>
          </w:tcPr>
          <w:p w14:paraId="4D3E4EED" w14:textId="49719E04"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1.25</w:t>
            </w:r>
          </w:p>
        </w:tc>
        <w:tc>
          <w:tcPr>
            <w:tcW w:w="0" w:type="pct"/>
            <w:noWrap/>
          </w:tcPr>
          <w:p w14:paraId="6A66C8D7" w14:textId="5A118939"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0.81, 1.94</w:t>
            </w:r>
          </w:p>
        </w:tc>
      </w:tr>
      <w:tr w:rsidR="00E7422E" w:rsidRPr="00793B3D" w14:paraId="7BFC5595" w14:textId="77777777" w:rsidTr="000C53F0">
        <w:trPr>
          <w:trHeight w:val="300"/>
        </w:trPr>
        <w:tc>
          <w:tcPr>
            <w:tcW w:w="0" w:type="pct"/>
            <w:noWrap/>
            <w:hideMark/>
          </w:tcPr>
          <w:p w14:paraId="521D6BCE" w14:textId="77777777" w:rsidR="00E7422E" w:rsidRPr="00793B3D" w:rsidRDefault="00E7422E" w:rsidP="00485DF2">
            <w:pPr>
              <w:spacing w:line="240" w:lineRule="auto"/>
              <w:ind w:firstLine="0"/>
              <w:rPr>
                <w:rFonts w:eastAsia="Times New Roman" w:cs="Calibri"/>
                <w:b/>
                <w:bCs/>
                <w:color w:val="000000"/>
              </w:rPr>
            </w:pPr>
            <w:r w:rsidRPr="00793B3D">
              <w:rPr>
                <w:rFonts w:eastAsia="Times New Roman" w:cs="Calibri"/>
                <w:b/>
                <w:bCs/>
                <w:color w:val="000000"/>
              </w:rPr>
              <w:t>Race/Ethnicity</w:t>
            </w:r>
          </w:p>
        </w:tc>
        <w:tc>
          <w:tcPr>
            <w:tcW w:w="0" w:type="pct"/>
            <w:noWrap/>
          </w:tcPr>
          <w:p w14:paraId="4DBDA7DC" w14:textId="77777777" w:rsidR="00E7422E" w:rsidRPr="00793B3D" w:rsidRDefault="00E7422E" w:rsidP="00485DF2">
            <w:pPr>
              <w:spacing w:line="240" w:lineRule="auto"/>
              <w:ind w:firstLine="0"/>
              <w:jc w:val="right"/>
              <w:rPr>
                <w:rFonts w:eastAsia="Times New Roman" w:cs="Calibri"/>
                <w:color w:val="000000"/>
              </w:rPr>
            </w:pPr>
          </w:p>
        </w:tc>
        <w:tc>
          <w:tcPr>
            <w:tcW w:w="0" w:type="pct"/>
            <w:noWrap/>
          </w:tcPr>
          <w:p w14:paraId="7FDD7D95" w14:textId="77777777" w:rsidR="00E7422E" w:rsidRPr="00793B3D" w:rsidRDefault="00E7422E" w:rsidP="00485DF2">
            <w:pPr>
              <w:spacing w:line="240" w:lineRule="auto"/>
              <w:ind w:firstLine="0"/>
              <w:jc w:val="right"/>
              <w:rPr>
                <w:rFonts w:eastAsia="Times New Roman" w:cs="Times New Roman"/>
                <w:sz w:val="20"/>
                <w:szCs w:val="20"/>
              </w:rPr>
            </w:pPr>
          </w:p>
        </w:tc>
        <w:tc>
          <w:tcPr>
            <w:tcW w:w="0" w:type="pct"/>
            <w:noWrap/>
          </w:tcPr>
          <w:p w14:paraId="6F27B516" w14:textId="77777777" w:rsidR="00E7422E" w:rsidRPr="00793B3D" w:rsidRDefault="00E7422E" w:rsidP="00485DF2">
            <w:pPr>
              <w:spacing w:line="240" w:lineRule="auto"/>
              <w:ind w:firstLine="0"/>
              <w:jc w:val="right"/>
              <w:rPr>
                <w:rFonts w:eastAsia="Times New Roman" w:cs="Times New Roman"/>
                <w:sz w:val="20"/>
                <w:szCs w:val="20"/>
              </w:rPr>
            </w:pPr>
          </w:p>
        </w:tc>
        <w:tc>
          <w:tcPr>
            <w:tcW w:w="0" w:type="pct"/>
            <w:noWrap/>
          </w:tcPr>
          <w:p w14:paraId="615B05DA" w14:textId="77777777" w:rsidR="00E7422E" w:rsidRPr="00793B3D" w:rsidRDefault="00E7422E" w:rsidP="00485DF2">
            <w:pPr>
              <w:spacing w:line="240" w:lineRule="auto"/>
              <w:ind w:firstLine="0"/>
              <w:jc w:val="right"/>
              <w:rPr>
                <w:rFonts w:eastAsia="Times New Roman" w:cs="Times New Roman"/>
                <w:sz w:val="20"/>
                <w:szCs w:val="20"/>
              </w:rPr>
            </w:pPr>
          </w:p>
        </w:tc>
      </w:tr>
      <w:tr w:rsidR="00E7422E" w:rsidRPr="00793B3D" w14:paraId="498F3E33"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1A6C29B8" w14:textId="77777777" w:rsidR="00E7422E" w:rsidRPr="003563C9" w:rsidRDefault="00E7422E" w:rsidP="00485DF2">
            <w:pPr>
              <w:spacing w:line="240" w:lineRule="auto"/>
              <w:ind w:firstLine="0"/>
              <w:jc w:val="right"/>
              <w:rPr>
                <w:rFonts w:eastAsia="Times New Roman" w:cs="Calibri"/>
                <w:color w:val="000000"/>
              </w:rPr>
            </w:pPr>
            <w:r w:rsidRPr="003563C9">
              <w:rPr>
                <w:rFonts w:eastAsia="Times New Roman" w:cs="Calibri"/>
                <w:color w:val="000000"/>
              </w:rPr>
              <w:t>Non-Hispanic White</w:t>
            </w:r>
          </w:p>
        </w:tc>
        <w:tc>
          <w:tcPr>
            <w:tcW w:w="0" w:type="pct"/>
            <w:noWrap/>
          </w:tcPr>
          <w:p w14:paraId="42894399" w14:textId="641C32DE"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Ref</w:t>
            </w:r>
          </w:p>
        </w:tc>
        <w:tc>
          <w:tcPr>
            <w:tcW w:w="0" w:type="pct"/>
            <w:noWrap/>
          </w:tcPr>
          <w:p w14:paraId="26F31090" w14:textId="77777777" w:rsidR="00E7422E" w:rsidRPr="00793B3D" w:rsidRDefault="00E7422E" w:rsidP="00485DF2">
            <w:pPr>
              <w:spacing w:line="240" w:lineRule="auto"/>
              <w:ind w:firstLine="0"/>
              <w:jc w:val="right"/>
              <w:rPr>
                <w:rFonts w:eastAsia="Times New Roman" w:cs="Calibri"/>
                <w:color w:val="000000"/>
              </w:rPr>
            </w:pPr>
          </w:p>
        </w:tc>
        <w:tc>
          <w:tcPr>
            <w:tcW w:w="0" w:type="pct"/>
            <w:noWrap/>
          </w:tcPr>
          <w:p w14:paraId="55CF1ED5" w14:textId="28E08D70"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Ref</w:t>
            </w:r>
          </w:p>
        </w:tc>
        <w:tc>
          <w:tcPr>
            <w:tcW w:w="0" w:type="pct"/>
            <w:noWrap/>
          </w:tcPr>
          <w:p w14:paraId="05DEA5E7" w14:textId="77777777" w:rsidR="00E7422E" w:rsidRPr="00793B3D" w:rsidRDefault="00E7422E" w:rsidP="00485DF2">
            <w:pPr>
              <w:spacing w:line="240" w:lineRule="auto"/>
              <w:ind w:firstLine="0"/>
              <w:jc w:val="right"/>
              <w:rPr>
                <w:rFonts w:eastAsia="Times New Roman" w:cs="Calibri"/>
                <w:color w:val="000000"/>
              </w:rPr>
            </w:pPr>
          </w:p>
        </w:tc>
      </w:tr>
      <w:tr w:rsidR="00E7422E" w:rsidRPr="00793B3D" w14:paraId="4EB46B54" w14:textId="77777777" w:rsidTr="000C53F0">
        <w:trPr>
          <w:trHeight w:val="300"/>
        </w:trPr>
        <w:tc>
          <w:tcPr>
            <w:tcW w:w="0" w:type="pct"/>
            <w:noWrap/>
            <w:hideMark/>
          </w:tcPr>
          <w:p w14:paraId="1751F59C" w14:textId="77777777" w:rsidR="00E7422E" w:rsidRPr="003563C9" w:rsidRDefault="00E7422E" w:rsidP="00485DF2">
            <w:pPr>
              <w:spacing w:line="240" w:lineRule="auto"/>
              <w:ind w:firstLine="0"/>
              <w:jc w:val="right"/>
              <w:rPr>
                <w:rFonts w:eastAsia="Times New Roman" w:cs="Calibri"/>
                <w:color w:val="000000"/>
              </w:rPr>
            </w:pPr>
            <w:r w:rsidRPr="003563C9">
              <w:rPr>
                <w:rFonts w:eastAsia="Times New Roman" w:cs="Calibri"/>
                <w:color w:val="000000"/>
              </w:rPr>
              <w:t>Non-Hispanic Black</w:t>
            </w:r>
          </w:p>
        </w:tc>
        <w:tc>
          <w:tcPr>
            <w:tcW w:w="0" w:type="pct"/>
            <w:noWrap/>
          </w:tcPr>
          <w:p w14:paraId="3E48154C" w14:textId="3811857C"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0.87</w:t>
            </w:r>
          </w:p>
        </w:tc>
        <w:tc>
          <w:tcPr>
            <w:tcW w:w="0" w:type="pct"/>
            <w:noWrap/>
          </w:tcPr>
          <w:p w14:paraId="6E65E437" w14:textId="426BEB55"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0.47, 1.63</w:t>
            </w:r>
          </w:p>
        </w:tc>
        <w:tc>
          <w:tcPr>
            <w:tcW w:w="0" w:type="pct"/>
            <w:noWrap/>
          </w:tcPr>
          <w:p w14:paraId="55F1097D" w14:textId="1C77ABC1"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1.14</w:t>
            </w:r>
          </w:p>
        </w:tc>
        <w:tc>
          <w:tcPr>
            <w:tcW w:w="0" w:type="pct"/>
            <w:noWrap/>
          </w:tcPr>
          <w:p w14:paraId="1B05F5D3" w14:textId="4AE57217"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0.62, 2.12</w:t>
            </w:r>
          </w:p>
        </w:tc>
      </w:tr>
      <w:tr w:rsidR="00E7422E" w:rsidRPr="00793B3D" w14:paraId="2653281A"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7A8660E2" w14:textId="77777777" w:rsidR="00E7422E" w:rsidRPr="003563C9" w:rsidRDefault="00E7422E" w:rsidP="00485DF2">
            <w:pPr>
              <w:spacing w:line="240" w:lineRule="auto"/>
              <w:ind w:firstLine="0"/>
              <w:jc w:val="right"/>
              <w:rPr>
                <w:rFonts w:eastAsia="Times New Roman" w:cs="Calibri"/>
                <w:color w:val="000000"/>
              </w:rPr>
            </w:pPr>
            <w:r w:rsidRPr="003563C9">
              <w:rPr>
                <w:rFonts w:eastAsia="Times New Roman" w:cs="Calibri"/>
                <w:color w:val="000000"/>
              </w:rPr>
              <w:t>Hispanic</w:t>
            </w:r>
          </w:p>
        </w:tc>
        <w:tc>
          <w:tcPr>
            <w:tcW w:w="0" w:type="pct"/>
            <w:noWrap/>
          </w:tcPr>
          <w:p w14:paraId="103FC979" w14:textId="7C4B7632"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1.12</w:t>
            </w:r>
          </w:p>
        </w:tc>
        <w:tc>
          <w:tcPr>
            <w:tcW w:w="0" w:type="pct"/>
            <w:noWrap/>
          </w:tcPr>
          <w:p w14:paraId="7A20D4BC" w14:textId="30C19420"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0.54, 2.33</w:t>
            </w:r>
          </w:p>
        </w:tc>
        <w:tc>
          <w:tcPr>
            <w:tcW w:w="0" w:type="pct"/>
            <w:noWrap/>
          </w:tcPr>
          <w:p w14:paraId="588E2FD3" w14:textId="70CFDA25"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0.88</w:t>
            </w:r>
          </w:p>
        </w:tc>
        <w:tc>
          <w:tcPr>
            <w:tcW w:w="0" w:type="pct"/>
            <w:noWrap/>
          </w:tcPr>
          <w:p w14:paraId="61CD917C" w14:textId="13EEB8B4"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0.42, 1.82</w:t>
            </w:r>
          </w:p>
        </w:tc>
      </w:tr>
      <w:tr w:rsidR="00E7422E" w:rsidRPr="00793B3D" w14:paraId="2FBE8A97" w14:textId="77777777" w:rsidTr="000C53F0">
        <w:trPr>
          <w:trHeight w:val="300"/>
        </w:trPr>
        <w:tc>
          <w:tcPr>
            <w:tcW w:w="0" w:type="pct"/>
            <w:noWrap/>
            <w:hideMark/>
          </w:tcPr>
          <w:p w14:paraId="5F36300E" w14:textId="77777777" w:rsidR="00E7422E" w:rsidRPr="003563C9" w:rsidRDefault="00E7422E" w:rsidP="00485DF2">
            <w:pPr>
              <w:spacing w:line="240" w:lineRule="auto"/>
              <w:ind w:firstLine="0"/>
              <w:jc w:val="right"/>
              <w:rPr>
                <w:rFonts w:eastAsia="Times New Roman" w:cs="Calibri"/>
                <w:color w:val="000000"/>
              </w:rPr>
            </w:pPr>
            <w:r w:rsidRPr="003563C9">
              <w:rPr>
                <w:rFonts w:eastAsia="Times New Roman" w:cs="Calibri"/>
                <w:color w:val="000000"/>
              </w:rPr>
              <w:t>Other</w:t>
            </w:r>
          </w:p>
        </w:tc>
        <w:tc>
          <w:tcPr>
            <w:tcW w:w="0" w:type="pct"/>
            <w:noWrap/>
          </w:tcPr>
          <w:p w14:paraId="3CDE7548" w14:textId="0307A1DB"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1.00</w:t>
            </w:r>
          </w:p>
        </w:tc>
        <w:tc>
          <w:tcPr>
            <w:tcW w:w="0" w:type="pct"/>
            <w:noWrap/>
          </w:tcPr>
          <w:p w14:paraId="3D463016" w14:textId="142411DA"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0.35, 2.88</w:t>
            </w:r>
          </w:p>
        </w:tc>
        <w:tc>
          <w:tcPr>
            <w:tcW w:w="0" w:type="pct"/>
            <w:noWrap/>
          </w:tcPr>
          <w:p w14:paraId="48AF892B" w14:textId="4DE6DF0D"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1.00</w:t>
            </w:r>
          </w:p>
        </w:tc>
        <w:tc>
          <w:tcPr>
            <w:tcW w:w="0" w:type="pct"/>
            <w:noWrap/>
          </w:tcPr>
          <w:p w14:paraId="112E13E9" w14:textId="5B54A998" w:rsidR="00E7422E" w:rsidRPr="00793B3D" w:rsidRDefault="008625BF" w:rsidP="00485DF2">
            <w:pPr>
              <w:spacing w:line="240" w:lineRule="auto"/>
              <w:ind w:firstLine="0"/>
              <w:jc w:val="right"/>
              <w:rPr>
                <w:rFonts w:eastAsia="Times New Roman" w:cs="Calibri"/>
                <w:color w:val="000000"/>
              </w:rPr>
            </w:pPr>
            <w:r>
              <w:rPr>
                <w:rFonts w:eastAsia="Times New Roman" w:cs="Calibri"/>
                <w:color w:val="000000"/>
              </w:rPr>
              <w:t>0.35, 2.88</w:t>
            </w:r>
          </w:p>
        </w:tc>
      </w:tr>
      <w:tr w:rsidR="00E7422E" w:rsidRPr="00793B3D" w14:paraId="649DA229"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031F3E04" w14:textId="77777777" w:rsidR="00E7422E" w:rsidRPr="00793B3D" w:rsidRDefault="00E7422E" w:rsidP="00485DF2">
            <w:pPr>
              <w:spacing w:line="240" w:lineRule="auto"/>
              <w:ind w:firstLine="0"/>
              <w:rPr>
                <w:rFonts w:eastAsia="Times New Roman" w:cs="Calibri"/>
                <w:b/>
                <w:bCs/>
                <w:color w:val="000000"/>
              </w:rPr>
            </w:pPr>
            <w:r w:rsidRPr="00793B3D">
              <w:rPr>
                <w:rFonts w:eastAsia="Times New Roman" w:cs="Calibri"/>
                <w:b/>
                <w:bCs/>
                <w:color w:val="000000"/>
              </w:rPr>
              <w:t>Anatomic Site</w:t>
            </w:r>
          </w:p>
        </w:tc>
        <w:tc>
          <w:tcPr>
            <w:tcW w:w="0" w:type="pct"/>
            <w:noWrap/>
          </w:tcPr>
          <w:p w14:paraId="609AC3A4" w14:textId="77777777" w:rsidR="00E7422E" w:rsidRPr="00793B3D" w:rsidRDefault="00E7422E" w:rsidP="00485DF2">
            <w:pPr>
              <w:spacing w:line="240" w:lineRule="auto"/>
              <w:ind w:firstLine="0"/>
              <w:jc w:val="right"/>
              <w:rPr>
                <w:rFonts w:eastAsia="Times New Roman" w:cs="Calibri"/>
                <w:color w:val="000000"/>
              </w:rPr>
            </w:pPr>
          </w:p>
        </w:tc>
        <w:tc>
          <w:tcPr>
            <w:tcW w:w="0" w:type="pct"/>
            <w:noWrap/>
          </w:tcPr>
          <w:p w14:paraId="2C506085" w14:textId="77777777" w:rsidR="00E7422E" w:rsidRPr="00793B3D" w:rsidRDefault="00E7422E" w:rsidP="00485DF2">
            <w:pPr>
              <w:spacing w:line="240" w:lineRule="auto"/>
              <w:ind w:firstLine="0"/>
              <w:jc w:val="right"/>
              <w:rPr>
                <w:rFonts w:eastAsia="Times New Roman" w:cs="Times New Roman"/>
                <w:sz w:val="20"/>
                <w:szCs w:val="20"/>
              </w:rPr>
            </w:pPr>
          </w:p>
        </w:tc>
        <w:tc>
          <w:tcPr>
            <w:tcW w:w="0" w:type="pct"/>
            <w:noWrap/>
          </w:tcPr>
          <w:p w14:paraId="2293950D" w14:textId="77777777" w:rsidR="00E7422E" w:rsidRPr="00793B3D" w:rsidRDefault="00E7422E" w:rsidP="00485DF2">
            <w:pPr>
              <w:spacing w:line="240" w:lineRule="auto"/>
              <w:ind w:firstLine="0"/>
              <w:jc w:val="right"/>
              <w:rPr>
                <w:rFonts w:eastAsia="Times New Roman" w:cs="Times New Roman"/>
                <w:sz w:val="20"/>
                <w:szCs w:val="20"/>
              </w:rPr>
            </w:pPr>
          </w:p>
        </w:tc>
        <w:tc>
          <w:tcPr>
            <w:tcW w:w="0" w:type="pct"/>
            <w:noWrap/>
          </w:tcPr>
          <w:p w14:paraId="12C9D92F" w14:textId="77777777" w:rsidR="00E7422E" w:rsidRPr="00793B3D" w:rsidRDefault="00E7422E" w:rsidP="00485DF2">
            <w:pPr>
              <w:spacing w:line="240" w:lineRule="auto"/>
              <w:ind w:firstLine="0"/>
              <w:jc w:val="right"/>
              <w:rPr>
                <w:rFonts w:eastAsia="Times New Roman" w:cs="Times New Roman"/>
                <w:sz w:val="20"/>
                <w:szCs w:val="20"/>
              </w:rPr>
            </w:pPr>
          </w:p>
        </w:tc>
      </w:tr>
      <w:tr w:rsidR="008625BF" w:rsidRPr="00793B3D" w14:paraId="5FFD9066" w14:textId="77777777" w:rsidTr="00E7422E">
        <w:trPr>
          <w:trHeight w:val="300"/>
        </w:trPr>
        <w:tc>
          <w:tcPr>
            <w:tcW w:w="2033" w:type="pct"/>
            <w:noWrap/>
          </w:tcPr>
          <w:p w14:paraId="34B86C13" w14:textId="7A155648" w:rsidR="008625BF" w:rsidRDefault="008625BF" w:rsidP="008625BF">
            <w:pPr>
              <w:spacing w:line="240" w:lineRule="auto"/>
              <w:ind w:firstLine="0"/>
              <w:jc w:val="right"/>
              <w:rPr>
                <w:rFonts w:eastAsia="Times New Roman" w:cs="Calibri"/>
                <w:color w:val="000000"/>
              </w:rPr>
            </w:pPr>
            <w:r w:rsidRPr="003563C9">
              <w:rPr>
                <w:rFonts w:eastAsia="Times New Roman" w:cs="Calibri"/>
                <w:color w:val="000000"/>
              </w:rPr>
              <w:t>Rectum</w:t>
            </w:r>
          </w:p>
        </w:tc>
        <w:tc>
          <w:tcPr>
            <w:tcW w:w="583" w:type="pct"/>
            <w:noWrap/>
          </w:tcPr>
          <w:p w14:paraId="2216DAF6" w14:textId="1F9C0716" w:rsidR="008625BF" w:rsidRDefault="008625BF" w:rsidP="008625BF">
            <w:pPr>
              <w:spacing w:line="240" w:lineRule="auto"/>
              <w:ind w:firstLine="0"/>
              <w:jc w:val="right"/>
              <w:rPr>
                <w:rFonts w:eastAsia="Times New Roman" w:cs="Calibri"/>
                <w:color w:val="000000"/>
              </w:rPr>
            </w:pPr>
            <w:r>
              <w:rPr>
                <w:rFonts w:eastAsia="Times New Roman" w:cs="Calibri"/>
                <w:color w:val="000000"/>
              </w:rPr>
              <w:t>Ref</w:t>
            </w:r>
          </w:p>
        </w:tc>
        <w:tc>
          <w:tcPr>
            <w:tcW w:w="867" w:type="pct"/>
            <w:noWrap/>
          </w:tcPr>
          <w:p w14:paraId="61DAE2D6" w14:textId="77777777" w:rsidR="008625BF" w:rsidRDefault="008625BF" w:rsidP="008625BF">
            <w:pPr>
              <w:spacing w:line="240" w:lineRule="auto"/>
              <w:ind w:firstLine="0"/>
              <w:jc w:val="right"/>
              <w:rPr>
                <w:rFonts w:eastAsia="Times New Roman" w:cs="Calibri"/>
                <w:color w:val="000000"/>
              </w:rPr>
            </w:pPr>
          </w:p>
        </w:tc>
        <w:tc>
          <w:tcPr>
            <w:tcW w:w="650" w:type="pct"/>
            <w:noWrap/>
          </w:tcPr>
          <w:p w14:paraId="253D12EC" w14:textId="02653BCE"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Ref</w:t>
            </w:r>
          </w:p>
        </w:tc>
        <w:tc>
          <w:tcPr>
            <w:tcW w:w="867" w:type="pct"/>
            <w:noWrap/>
          </w:tcPr>
          <w:p w14:paraId="330B9FC8" w14:textId="77777777" w:rsidR="008625BF" w:rsidRPr="00793B3D" w:rsidRDefault="008625BF" w:rsidP="008625BF">
            <w:pPr>
              <w:spacing w:line="240" w:lineRule="auto"/>
              <w:ind w:firstLine="0"/>
              <w:jc w:val="right"/>
              <w:rPr>
                <w:rFonts w:eastAsia="Times New Roman" w:cs="Calibri"/>
                <w:color w:val="000000"/>
              </w:rPr>
            </w:pPr>
          </w:p>
        </w:tc>
      </w:tr>
      <w:tr w:rsidR="008625BF" w:rsidRPr="00793B3D" w14:paraId="4F9AD76E"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0E62E0AE" w14:textId="147D056F" w:rsidR="008625BF" w:rsidRPr="003563C9" w:rsidRDefault="008625BF" w:rsidP="008625BF">
            <w:pPr>
              <w:spacing w:line="240" w:lineRule="auto"/>
              <w:ind w:firstLine="0"/>
              <w:jc w:val="right"/>
              <w:rPr>
                <w:rFonts w:eastAsia="Times New Roman" w:cs="Calibri"/>
                <w:color w:val="000000"/>
              </w:rPr>
            </w:pPr>
            <w:r>
              <w:rPr>
                <w:rFonts w:eastAsia="Times New Roman" w:cs="Calibri"/>
                <w:color w:val="000000"/>
              </w:rPr>
              <w:t>Rectosigmoid junction</w:t>
            </w:r>
          </w:p>
        </w:tc>
        <w:tc>
          <w:tcPr>
            <w:tcW w:w="0" w:type="pct"/>
            <w:noWrap/>
          </w:tcPr>
          <w:p w14:paraId="02522844" w14:textId="2586E6AB"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0.96</w:t>
            </w:r>
          </w:p>
        </w:tc>
        <w:tc>
          <w:tcPr>
            <w:tcW w:w="0" w:type="pct"/>
            <w:noWrap/>
          </w:tcPr>
          <w:p w14:paraId="24DF5CE5" w14:textId="230FCE88"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0.44, 2.09</w:t>
            </w:r>
          </w:p>
        </w:tc>
        <w:tc>
          <w:tcPr>
            <w:tcW w:w="0" w:type="pct"/>
            <w:noWrap/>
          </w:tcPr>
          <w:p w14:paraId="27FB8CC5" w14:textId="6624FB78"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1.04</w:t>
            </w:r>
          </w:p>
        </w:tc>
        <w:tc>
          <w:tcPr>
            <w:tcW w:w="0" w:type="pct"/>
            <w:noWrap/>
          </w:tcPr>
          <w:p w14:paraId="7854284C" w14:textId="59B7A90D"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0.48, 2.26</w:t>
            </w:r>
          </w:p>
        </w:tc>
      </w:tr>
      <w:tr w:rsidR="008625BF" w:rsidRPr="00793B3D" w14:paraId="47A12392" w14:textId="77777777" w:rsidTr="000C53F0">
        <w:trPr>
          <w:trHeight w:val="300"/>
        </w:trPr>
        <w:tc>
          <w:tcPr>
            <w:tcW w:w="0" w:type="pct"/>
            <w:noWrap/>
            <w:hideMark/>
          </w:tcPr>
          <w:p w14:paraId="02477F7D" w14:textId="30AD2AA0" w:rsidR="008625BF" w:rsidRPr="003563C9" w:rsidRDefault="008625BF" w:rsidP="008625BF">
            <w:pPr>
              <w:spacing w:line="240" w:lineRule="auto"/>
              <w:ind w:firstLine="0"/>
              <w:jc w:val="right"/>
              <w:rPr>
                <w:rFonts w:eastAsia="Times New Roman" w:cs="Calibri"/>
                <w:color w:val="000000"/>
              </w:rPr>
            </w:pPr>
            <w:r>
              <w:rPr>
                <w:rFonts w:eastAsia="Times New Roman" w:cs="Calibri"/>
                <w:color w:val="000000"/>
              </w:rPr>
              <w:t>Colon</w:t>
            </w:r>
          </w:p>
        </w:tc>
        <w:tc>
          <w:tcPr>
            <w:tcW w:w="0" w:type="pct"/>
            <w:noWrap/>
          </w:tcPr>
          <w:p w14:paraId="0BF2A0CD" w14:textId="3AC2774B"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1.43</w:t>
            </w:r>
          </w:p>
        </w:tc>
        <w:tc>
          <w:tcPr>
            <w:tcW w:w="0" w:type="pct"/>
            <w:noWrap/>
          </w:tcPr>
          <w:p w14:paraId="760F8966" w14:textId="4489AB78"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0.83, 2.27</w:t>
            </w:r>
          </w:p>
        </w:tc>
        <w:tc>
          <w:tcPr>
            <w:tcW w:w="0" w:type="pct"/>
            <w:noWrap/>
          </w:tcPr>
          <w:p w14:paraId="4D171657" w14:textId="4DA60CB1"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0.70</w:t>
            </w:r>
          </w:p>
        </w:tc>
        <w:tc>
          <w:tcPr>
            <w:tcW w:w="0" w:type="pct"/>
            <w:noWrap/>
          </w:tcPr>
          <w:p w14:paraId="09C0E1BF" w14:textId="6C7FB935"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0.40, 1.21</w:t>
            </w:r>
          </w:p>
        </w:tc>
      </w:tr>
      <w:tr w:rsidR="008625BF" w:rsidRPr="00793B3D" w14:paraId="432B87F7"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61F2A483" w14:textId="77777777" w:rsidR="008625BF" w:rsidRPr="00793B3D" w:rsidRDefault="008625BF" w:rsidP="008625BF">
            <w:pPr>
              <w:spacing w:line="240" w:lineRule="auto"/>
              <w:ind w:firstLine="0"/>
              <w:rPr>
                <w:rFonts w:eastAsia="Times New Roman" w:cs="Calibri"/>
                <w:b/>
                <w:bCs/>
                <w:color w:val="000000"/>
              </w:rPr>
            </w:pPr>
            <w:r w:rsidRPr="00793B3D">
              <w:rPr>
                <w:rFonts w:eastAsia="Times New Roman" w:cs="Calibri"/>
                <w:b/>
                <w:bCs/>
                <w:color w:val="000000"/>
              </w:rPr>
              <w:t>Year of Diagnosis</w:t>
            </w:r>
          </w:p>
        </w:tc>
        <w:tc>
          <w:tcPr>
            <w:tcW w:w="0" w:type="pct"/>
            <w:noWrap/>
          </w:tcPr>
          <w:p w14:paraId="349E229D" w14:textId="4DAF9D50"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0.91</w:t>
            </w:r>
          </w:p>
        </w:tc>
        <w:tc>
          <w:tcPr>
            <w:tcW w:w="0" w:type="pct"/>
            <w:noWrap/>
          </w:tcPr>
          <w:p w14:paraId="31A29F87" w14:textId="7861F42B"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0.83, 0.99</w:t>
            </w:r>
          </w:p>
        </w:tc>
        <w:tc>
          <w:tcPr>
            <w:tcW w:w="0" w:type="pct"/>
            <w:noWrap/>
          </w:tcPr>
          <w:p w14:paraId="46CEC440" w14:textId="3E4FFE53" w:rsidR="008625BF" w:rsidRPr="00793B3D" w:rsidRDefault="00110782" w:rsidP="008625BF">
            <w:pPr>
              <w:spacing w:line="240" w:lineRule="auto"/>
              <w:ind w:firstLine="0"/>
              <w:jc w:val="right"/>
              <w:rPr>
                <w:rFonts w:eastAsia="Times New Roman" w:cs="Calibri"/>
                <w:color w:val="000000"/>
              </w:rPr>
            </w:pPr>
            <w:r>
              <w:rPr>
                <w:rFonts w:eastAsia="Times New Roman" w:cs="Calibri"/>
                <w:color w:val="000000"/>
              </w:rPr>
              <w:t>1.10</w:t>
            </w:r>
          </w:p>
        </w:tc>
        <w:tc>
          <w:tcPr>
            <w:tcW w:w="0" w:type="pct"/>
            <w:noWrap/>
          </w:tcPr>
          <w:p w14:paraId="054BACA9" w14:textId="203851EA" w:rsidR="008625BF" w:rsidRPr="00793B3D" w:rsidRDefault="00110782" w:rsidP="008625BF">
            <w:pPr>
              <w:spacing w:line="240" w:lineRule="auto"/>
              <w:ind w:firstLine="0"/>
              <w:jc w:val="right"/>
              <w:rPr>
                <w:rFonts w:eastAsia="Times New Roman" w:cs="Calibri"/>
                <w:color w:val="000000"/>
              </w:rPr>
            </w:pPr>
            <w:r>
              <w:rPr>
                <w:rFonts w:eastAsia="Times New Roman" w:cs="Calibri"/>
                <w:color w:val="000000"/>
              </w:rPr>
              <w:t>1.01, 1.20</w:t>
            </w:r>
          </w:p>
        </w:tc>
      </w:tr>
      <w:tr w:rsidR="008625BF" w:rsidRPr="00793B3D" w14:paraId="6A58C49E" w14:textId="77777777" w:rsidTr="00F340C5">
        <w:trPr>
          <w:trHeight w:val="300"/>
        </w:trPr>
        <w:tc>
          <w:tcPr>
            <w:tcW w:w="0" w:type="pct"/>
            <w:noWrap/>
            <w:hideMark/>
          </w:tcPr>
          <w:p w14:paraId="780BEDE3" w14:textId="77777777" w:rsidR="008625BF" w:rsidRPr="00793B3D" w:rsidRDefault="008625BF" w:rsidP="008625BF">
            <w:pPr>
              <w:spacing w:line="240" w:lineRule="auto"/>
              <w:ind w:firstLine="0"/>
              <w:rPr>
                <w:rFonts w:eastAsia="Times New Roman" w:cs="Calibri"/>
                <w:b/>
                <w:bCs/>
                <w:color w:val="000000"/>
              </w:rPr>
            </w:pPr>
            <w:r w:rsidRPr="00793B3D">
              <w:rPr>
                <w:rFonts w:eastAsia="Times New Roman" w:cs="Calibri"/>
                <w:b/>
                <w:bCs/>
                <w:color w:val="000000"/>
              </w:rPr>
              <w:t>CD Score at Diagnosis -10 years</w:t>
            </w:r>
          </w:p>
        </w:tc>
        <w:tc>
          <w:tcPr>
            <w:tcW w:w="0" w:type="pct"/>
            <w:noWrap/>
          </w:tcPr>
          <w:p w14:paraId="7CB21187" w14:textId="0C3B39EC"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1.15</w:t>
            </w:r>
          </w:p>
        </w:tc>
        <w:tc>
          <w:tcPr>
            <w:tcW w:w="0" w:type="pct"/>
            <w:noWrap/>
          </w:tcPr>
          <w:p w14:paraId="56574FD1" w14:textId="2FD52B40" w:rsidR="008625BF" w:rsidRPr="00793B3D" w:rsidRDefault="008625BF" w:rsidP="008625BF">
            <w:pPr>
              <w:spacing w:line="240" w:lineRule="auto"/>
              <w:ind w:firstLine="0"/>
              <w:jc w:val="right"/>
              <w:rPr>
                <w:rFonts w:eastAsia="Times New Roman" w:cs="Calibri"/>
                <w:color w:val="000000"/>
              </w:rPr>
            </w:pPr>
            <w:r>
              <w:rPr>
                <w:rFonts w:eastAsia="Times New Roman" w:cs="Calibri"/>
                <w:color w:val="000000"/>
              </w:rPr>
              <w:t>0.65, 2.03</w:t>
            </w:r>
          </w:p>
        </w:tc>
        <w:tc>
          <w:tcPr>
            <w:tcW w:w="0" w:type="pct"/>
            <w:noWrap/>
          </w:tcPr>
          <w:p w14:paraId="6E9DF4CB" w14:textId="77777777" w:rsidR="008625BF" w:rsidRPr="00793B3D" w:rsidRDefault="008625BF" w:rsidP="008625BF">
            <w:pPr>
              <w:spacing w:line="240" w:lineRule="auto"/>
              <w:ind w:firstLine="0"/>
              <w:jc w:val="right"/>
              <w:rPr>
                <w:rFonts w:eastAsia="Times New Roman" w:cs="Calibri"/>
                <w:color w:val="000000"/>
              </w:rPr>
            </w:pPr>
          </w:p>
        </w:tc>
        <w:tc>
          <w:tcPr>
            <w:tcW w:w="0" w:type="pct"/>
            <w:noWrap/>
          </w:tcPr>
          <w:p w14:paraId="3CC4F0DB" w14:textId="77777777" w:rsidR="008625BF" w:rsidRPr="00793B3D" w:rsidRDefault="008625BF" w:rsidP="008625BF">
            <w:pPr>
              <w:spacing w:line="240" w:lineRule="auto"/>
              <w:ind w:firstLine="0"/>
              <w:jc w:val="right"/>
              <w:rPr>
                <w:rFonts w:eastAsia="Times New Roman" w:cs="Times New Roman"/>
                <w:sz w:val="20"/>
                <w:szCs w:val="20"/>
              </w:rPr>
            </w:pPr>
          </w:p>
        </w:tc>
      </w:tr>
      <w:tr w:rsidR="008625BF" w:rsidRPr="00793B3D" w14:paraId="5C1D2640" w14:textId="77777777" w:rsidTr="00F340C5">
        <w:trPr>
          <w:cnfStyle w:val="000000100000" w:firstRow="0" w:lastRow="0" w:firstColumn="0" w:lastColumn="0" w:oddVBand="0" w:evenVBand="0" w:oddHBand="1" w:evenHBand="0" w:firstRowFirstColumn="0" w:firstRowLastColumn="0" w:lastRowFirstColumn="0" w:lastRowLastColumn="0"/>
          <w:trHeight w:val="89"/>
        </w:trPr>
        <w:tc>
          <w:tcPr>
            <w:tcW w:w="0" w:type="pct"/>
            <w:tcBorders>
              <w:bottom w:val="single" w:sz="4" w:space="0" w:color="auto"/>
            </w:tcBorders>
            <w:noWrap/>
            <w:hideMark/>
          </w:tcPr>
          <w:p w14:paraId="6A7BD10A" w14:textId="77777777" w:rsidR="008625BF" w:rsidRPr="00793B3D" w:rsidRDefault="008625BF" w:rsidP="008625BF">
            <w:pPr>
              <w:spacing w:line="240" w:lineRule="auto"/>
              <w:ind w:firstLine="0"/>
              <w:rPr>
                <w:rFonts w:eastAsia="Times New Roman" w:cs="Calibri"/>
                <w:b/>
                <w:bCs/>
                <w:color w:val="000000"/>
              </w:rPr>
            </w:pPr>
            <w:r w:rsidRPr="00793B3D">
              <w:rPr>
                <w:rFonts w:eastAsia="Times New Roman" w:cs="Calibri"/>
                <w:b/>
                <w:bCs/>
                <w:color w:val="000000"/>
              </w:rPr>
              <w:t>CD Score at Diagnosis</w:t>
            </w:r>
          </w:p>
        </w:tc>
        <w:tc>
          <w:tcPr>
            <w:tcW w:w="0" w:type="pct"/>
            <w:tcBorders>
              <w:bottom w:val="single" w:sz="4" w:space="0" w:color="auto"/>
            </w:tcBorders>
            <w:noWrap/>
          </w:tcPr>
          <w:p w14:paraId="2B0F5F33" w14:textId="77777777" w:rsidR="008625BF" w:rsidRPr="00793B3D" w:rsidRDefault="008625BF" w:rsidP="008625BF">
            <w:pPr>
              <w:spacing w:line="240" w:lineRule="auto"/>
              <w:ind w:firstLine="0"/>
              <w:jc w:val="right"/>
              <w:rPr>
                <w:rFonts w:eastAsia="Times New Roman" w:cs="Calibri"/>
                <w:color w:val="000000"/>
              </w:rPr>
            </w:pPr>
          </w:p>
        </w:tc>
        <w:tc>
          <w:tcPr>
            <w:tcW w:w="0" w:type="pct"/>
            <w:tcBorders>
              <w:bottom w:val="single" w:sz="4" w:space="0" w:color="auto"/>
            </w:tcBorders>
            <w:noWrap/>
          </w:tcPr>
          <w:p w14:paraId="07C3F6F5" w14:textId="77777777" w:rsidR="008625BF" w:rsidRPr="00793B3D" w:rsidRDefault="008625BF" w:rsidP="008625BF">
            <w:pPr>
              <w:spacing w:line="240" w:lineRule="auto"/>
              <w:ind w:firstLine="0"/>
              <w:jc w:val="right"/>
              <w:rPr>
                <w:rFonts w:eastAsia="Times New Roman" w:cs="Times New Roman"/>
                <w:sz w:val="20"/>
                <w:szCs w:val="20"/>
              </w:rPr>
            </w:pPr>
          </w:p>
        </w:tc>
        <w:tc>
          <w:tcPr>
            <w:tcW w:w="0" w:type="pct"/>
            <w:tcBorders>
              <w:bottom w:val="single" w:sz="4" w:space="0" w:color="auto"/>
            </w:tcBorders>
            <w:noWrap/>
          </w:tcPr>
          <w:p w14:paraId="03E5B6CD" w14:textId="0B5178CF" w:rsidR="008625BF" w:rsidRPr="00793B3D" w:rsidRDefault="00110782" w:rsidP="008625BF">
            <w:pPr>
              <w:spacing w:line="240" w:lineRule="auto"/>
              <w:ind w:firstLine="0"/>
              <w:jc w:val="right"/>
              <w:rPr>
                <w:rFonts w:eastAsia="Times New Roman" w:cs="Calibri"/>
                <w:color w:val="000000"/>
              </w:rPr>
            </w:pPr>
            <w:r>
              <w:rPr>
                <w:rFonts w:eastAsia="Times New Roman" w:cs="Calibri"/>
                <w:color w:val="000000"/>
              </w:rPr>
              <w:t>0.87</w:t>
            </w:r>
          </w:p>
        </w:tc>
        <w:tc>
          <w:tcPr>
            <w:tcW w:w="0" w:type="pct"/>
            <w:tcBorders>
              <w:bottom w:val="single" w:sz="4" w:space="0" w:color="auto"/>
            </w:tcBorders>
            <w:noWrap/>
          </w:tcPr>
          <w:p w14:paraId="1EA286E1" w14:textId="17CE4328" w:rsidR="008625BF" w:rsidRPr="00793B3D" w:rsidRDefault="00110782" w:rsidP="008625BF">
            <w:pPr>
              <w:spacing w:line="240" w:lineRule="auto"/>
              <w:ind w:firstLine="0"/>
              <w:jc w:val="right"/>
              <w:rPr>
                <w:rFonts w:eastAsia="Times New Roman" w:cs="Calibri"/>
                <w:color w:val="000000"/>
              </w:rPr>
            </w:pPr>
            <w:r>
              <w:rPr>
                <w:rFonts w:eastAsia="Times New Roman" w:cs="Calibri"/>
                <w:color w:val="000000"/>
              </w:rPr>
              <w:t>0.50, 1.54</w:t>
            </w:r>
          </w:p>
        </w:tc>
      </w:tr>
    </w:tbl>
    <w:p w14:paraId="5163D8FC" w14:textId="77777777" w:rsidR="00607735" w:rsidRDefault="00607735" w:rsidP="00607735">
      <w:pPr>
        <w:pStyle w:val="NoSpacing"/>
      </w:pPr>
    </w:p>
    <w:p w14:paraId="49411F41" w14:textId="77777777" w:rsidR="00607735" w:rsidRDefault="00607735" w:rsidP="00607735">
      <w:pPr>
        <w:pStyle w:val="NoSpacing"/>
      </w:pPr>
    </w:p>
    <w:p w14:paraId="35AC3FA7" w14:textId="77777777" w:rsidR="00607735" w:rsidRDefault="00607735" w:rsidP="00607735">
      <w:pPr>
        <w:pStyle w:val="NoSpacing"/>
      </w:pPr>
    </w:p>
    <w:p w14:paraId="6550B601" w14:textId="77777777" w:rsidR="00607735" w:rsidRDefault="00607735" w:rsidP="00607735">
      <w:pPr>
        <w:pStyle w:val="NoSpacing"/>
      </w:pPr>
    </w:p>
    <w:p w14:paraId="49B2C0C0" w14:textId="77777777" w:rsidR="00607735" w:rsidRDefault="00607735" w:rsidP="00607735">
      <w:pPr>
        <w:pStyle w:val="NoSpacing"/>
      </w:pPr>
    </w:p>
    <w:p w14:paraId="3B50FC2B" w14:textId="0E0E2A01" w:rsidR="003B0604" w:rsidRDefault="00607735" w:rsidP="00607735">
      <w:r w:rsidRPr="00607735">
        <w:t>C</w:t>
      </w:r>
      <w:r w:rsidR="007F1C7D">
        <w:t>oncentrated disadvantage</w:t>
      </w:r>
      <w:r w:rsidRPr="00607735">
        <w:t xml:space="preserve"> score was a significant predictor of survival when measured at either main time point, but the association was somewhat stronger when measured at diagnosis. An increase of 1 in CD score measured at diagnosis 1—about two standard deviations in this sample—was associated with a 1.79 times increased hazard of CRC death (95% CI 1.21, 2.66). The same increase in CD score measured 10 years before diagnosis was associated with a 1.58 time increased hazard of CRC death (95% CI 1.08, 2.32). The trend in association between survival and CD scores measured at different times is shown in Figure 3. The adjusted effect of CD score was the same whether it was measured </w:t>
      </w:r>
      <w:r>
        <w:t>at 5 or 10 years before diagnosis. When measured 15 years before diagnosis, the effect of CD score was weaker and became non-significant. While all CD scores measured 10 or fewer years before diagnosis were associated with CRC survival, no information was added by developing a lagged CD score using commercial residential histories.</w:t>
      </w:r>
      <w:r w:rsidR="003B0604">
        <w:br w:type="page"/>
      </w:r>
    </w:p>
    <w:p w14:paraId="7D35B183" w14:textId="3144DA6B" w:rsidR="00C755A0" w:rsidRDefault="00C755A0" w:rsidP="00C755A0">
      <w:pPr>
        <w:pStyle w:val="TableName"/>
      </w:pPr>
      <w:bookmarkStart w:id="221" w:name="_Toc148375824"/>
      <w:r>
        <w:lastRenderedPageBreak/>
        <w:t xml:space="preserve">Table </w:t>
      </w:r>
      <w:r w:rsidR="00C4758E">
        <w:t>XI</w:t>
      </w:r>
      <w:r w:rsidR="001545CE">
        <w:t>I</w:t>
      </w:r>
      <w:r>
        <w:t>. Survival Models 1-2: Predictors of disease-specific death among people diagnosed with colorectal cancer at UI Health, 1995-2004, by choice of concentrated disadvantage score</w:t>
      </w:r>
      <w:bookmarkEnd w:id="221"/>
    </w:p>
    <w:tbl>
      <w:tblPr>
        <w:tblStyle w:val="PlainTable3"/>
        <w:tblW w:w="5000" w:type="pct"/>
        <w:tblLook w:val="0420" w:firstRow="1" w:lastRow="0" w:firstColumn="0" w:lastColumn="0" w:noHBand="0" w:noVBand="1"/>
      </w:tblPr>
      <w:tblGrid>
        <w:gridCol w:w="3806"/>
        <w:gridCol w:w="1091"/>
        <w:gridCol w:w="1623"/>
        <w:gridCol w:w="1217"/>
        <w:gridCol w:w="1623"/>
      </w:tblGrid>
      <w:tr w:rsidR="00C755A0" w:rsidRPr="00793B3D" w14:paraId="1D1B5746" w14:textId="77777777" w:rsidTr="001A4831">
        <w:trPr>
          <w:cnfStyle w:val="100000000000" w:firstRow="1" w:lastRow="0" w:firstColumn="0" w:lastColumn="0" w:oddVBand="0" w:evenVBand="0" w:oddHBand="0" w:evenHBand="0" w:firstRowFirstColumn="0" w:firstRowLastColumn="0" w:lastRowFirstColumn="0" w:lastRowLastColumn="0"/>
          <w:trHeight w:val="300"/>
        </w:trPr>
        <w:tc>
          <w:tcPr>
            <w:tcW w:w="2033" w:type="pct"/>
            <w:noWrap/>
            <w:hideMark/>
          </w:tcPr>
          <w:p w14:paraId="0FE7F4A4" w14:textId="77777777" w:rsidR="00C755A0" w:rsidRPr="00793B3D" w:rsidRDefault="00C755A0" w:rsidP="001A4831">
            <w:pPr>
              <w:spacing w:line="240" w:lineRule="auto"/>
              <w:ind w:firstLine="0"/>
              <w:rPr>
                <w:rFonts w:eastAsia="Times New Roman" w:cs="Times New Roman"/>
                <w:sz w:val="24"/>
                <w:szCs w:val="24"/>
              </w:rPr>
            </w:pPr>
          </w:p>
        </w:tc>
        <w:tc>
          <w:tcPr>
            <w:tcW w:w="1450" w:type="pct"/>
            <w:gridSpan w:val="2"/>
            <w:noWrap/>
            <w:hideMark/>
          </w:tcPr>
          <w:p w14:paraId="50A0E968" w14:textId="77777777" w:rsidR="00C755A0" w:rsidRPr="003563C9" w:rsidRDefault="00C755A0" w:rsidP="001A4831">
            <w:pPr>
              <w:spacing w:line="240" w:lineRule="auto"/>
              <w:ind w:firstLine="0"/>
              <w:jc w:val="center"/>
              <w:rPr>
                <w:rFonts w:eastAsia="Times New Roman" w:cs="Calibri"/>
                <w:caps w:val="0"/>
                <w:color w:val="000000"/>
              </w:rPr>
            </w:pPr>
            <w:r w:rsidRPr="003563C9">
              <w:rPr>
                <w:rFonts w:eastAsia="Times New Roman" w:cs="Calibri"/>
                <w:caps w:val="0"/>
                <w:color w:val="000000"/>
              </w:rPr>
              <w:t>Model 1</w:t>
            </w:r>
          </w:p>
        </w:tc>
        <w:tc>
          <w:tcPr>
            <w:tcW w:w="1517" w:type="pct"/>
            <w:gridSpan w:val="2"/>
            <w:noWrap/>
            <w:hideMark/>
          </w:tcPr>
          <w:p w14:paraId="48270C9A" w14:textId="77777777" w:rsidR="00C755A0" w:rsidRPr="003563C9" w:rsidRDefault="00C755A0" w:rsidP="001A4831">
            <w:pPr>
              <w:spacing w:line="240" w:lineRule="auto"/>
              <w:ind w:firstLine="0"/>
              <w:jc w:val="center"/>
              <w:rPr>
                <w:rFonts w:eastAsia="Times New Roman" w:cs="Calibri"/>
                <w:caps w:val="0"/>
                <w:color w:val="000000"/>
              </w:rPr>
            </w:pPr>
            <w:r w:rsidRPr="003563C9">
              <w:rPr>
                <w:rFonts w:eastAsia="Times New Roman" w:cs="Calibri"/>
                <w:caps w:val="0"/>
                <w:color w:val="000000"/>
              </w:rPr>
              <w:t>Model 2</w:t>
            </w:r>
          </w:p>
        </w:tc>
      </w:tr>
      <w:tr w:rsidR="00C755A0" w:rsidRPr="00793B3D" w14:paraId="3B74A8D4"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3CEFDE6A" w14:textId="77777777" w:rsidR="00C755A0" w:rsidRPr="00793B3D" w:rsidRDefault="00C755A0" w:rsidP="001A4831">
            <w:pPr>
              <w:spacing w:line="240" w:lineRule="auto"/>
              <w:ind w:firstLine="0"/>
              <w:jc w:val="right"/>
              <w:rPr>
                <w:rFonts w:eastAsia="Times New Roman" w:cs="Times New Roman"/>
                <w:sz w:val="20"/>
                <w:szCs w:val="20"/>
              </w:rPr>
            </w:pPr>
          </w:p>
        </w:tc>
        <w:tc>
          <w:tcPr>
            <w:tcW w:w="583" w:type="pct"/>
            <w:noWrap/>
            <w:hideMark/>
          </w:tcPr>
          <w:p w14:paraId="59345502" w14:textId="6104F662" w:rsidR="00C755A0" w:rsidRPr="00793B3D" w:rsidRDefault="00C755A0" w:rsidP="001A4831">
            <w:pPr>
              <w:spacing w:line="240" w:lineRule="auto"/>
              <w:ind w:firstLine="0"/>
              <w:jc w:val="right"/>
              <w:rPr>
                <w:rFonts w:eastAsia="Times New Roman" w:cs="Calibri"/>
                <w:b/>
                <w:bCs/>
                <w:i/>
                <w:iCs/>
                <w:color w:val="000000"/>
              </w:rPr>
            </w:pPr>
            <w:r w:rsidRPr="00793B3D">
              <w:rPr>
                <w:rFonts w:eastAsia="Times New Roman" w:cs="Calibri"/>
                <w:b/>
                <w:bCs/>
                <w:i/>
                <w:iCs/>
                <w:color w:val="000000"/>
              </w:rPr>
              <w:t>HR</w:t>
            </w:r>
          </w:p>
        </w:tc>
        <w:tc>
          <w:tcPr>
            <w:tcW w:w="867" w:type="pct"/>
            <w:noWrap/>
            <w:hideMark/>
          </w:tcPr>
          <w:p w14:paraId="47AE1906" w14:textId="77777777" w:rsidR="00C755A0" w:rsidRPr="00793B3D" w:rsidRDefault="00C755A0" w:rsidP="001A4831">
            <w:pPr>
              <w:spacing w:line="240" w:lineRule="auto"/>
              <w:ind w:firstLine="0"/>
              <w:jc w:val="right"/>
              <w:rPr>
                <w:rFonts w:eastAsia="Times New Roman" w:cs="Calibri"/>
                <w:b/>
                <w:bCs/>
                <w:i/>
                <w:iCs/>
                <w:color w:val="000000"/>
              </w:rPr>
            </w:pPr>
            <w:r w:rsidRPr="00793B3D">
              <w:rPr>
                <w:rFonts w:eastAsia="Times New Roman" w:cs="Calibri"/>
                <w:b/>
                <w:bCs/>
                <w:i/>
                <w:iCs/>
                <w:color w:val="000000"/>
              </w:rPr>
              <w:t>95% CI</w:t>
            </w:r>
          </w:p>
        </w:tc>
        <w:tc>
          <w:tcPr>
            <w:tcW w:w="650" w:type="pct"/>
            <w:noWrap/>
            <w:hideMark/>
          </w:tcPr>
          <w:p w14:paraId="7D02D936" w14:textId="166D0437" w:rsidR="00C755A0" w:rsidRPr="00793B3D" w:rsidRDefault="00C755A0" w:rsidP="001A4831">
            <w:pPr>
              <w:spacing w:line="240" w:lineRule="auto"/>
              <w:ind w:firstLine="0"/>
              <w:jc w:val="right"/>
              <w:rPr>
                <w:rFonts w:eastAsia="Times New Roman" w:cs="Calibri"/>
                <w:b/>
                <w:bCs/>
                <w:i/>
                <w:iCs/>
                <w:color w:val="000000"/>
              </w:rPr>
            </w:pPr>
            <w:r w:rsidRPr="00793B3D">
              <w:rPr>
                <w:rFonts w:eastAsia="Times New Roman" w:cs="Calibri"/>
                <w:b/>
                <w:bCs/>
                <w:i/>
                <w:iCs/>
                <w:color w:val="000000"/>
              </w:rPr>
              <w:t>HR</w:t>
            </w:r>
          </w:p>
        </w:tc>
        <w:tc>
          <w:tcPr>
            <w:tcW w:w="867" w:type="pct"/>
            <w:noWrap/>
            <w:hideMark/>
          </w:tcPr>
          <w:p w14:paraId="7153EB3E" w14:textId="77777777" w:rsidR="00C755A0" w:rsidRPr="00793B3D" w:rsidRDefault="00C755A0" w:rsidP="001A4831">
            <w:pPr>
              <w:spacing w:line="240" w:lineRule="auto"/>
              <w:ind w:firstLine="0"/>
              <w:jc w:val="right"/>
              <w:rPr>
                <w:rFonts w:eastAsia="Times New Roman" w:cs="Calibri"/>
                <w:b/>
                <w:bCs/>
                <w:i/>
                <w:iCs/>
                <w:color w:val="000000"/>
              </w:rPr>
            </w:pPr>
            <w:r w:rsidRPr="00793B3D">
              <w:rPr>
                <w:rFonts w:eastAsia="Times New Roman" w:cs="Calibri"/>
                <w:b/>
                <w:bCs/>
                <w:i/>
                <w:iCs/>
                <w:color w:val="000000"/>
              </w:rPr>
              <w:t>95% CI</w:t>
            </w:r>
          </w:p>
        </w:tc>
      </w:tr>
      <w:tr w:rsidR="00C755A0" w:rsidRPr="00793B3D" w14:paraId="2D2DFC77" w14:textId="77777777" w:rsidTr="001A4831">
        <w:trPr>
          <w:trHeight w:val="300"/>
        </w:trPr>
        <w:tc>
          <w:tcPr>
            <w:tcW w:w="2033" w:type="pct"/>
            <w:noWrap/>
            <w:hideMark/>
          </w:tcPr>
          <w:p w14:paraId="057D97DF" w14:textId="49960CEA" w:rsidR="00C755A0" w:rsidRPr="00793B3D" w:rsidRDefault="00C755A0" w:rsidP="001A4831">
            <w:pPr>
              <w:spacing w:line="240" w:lineRule="auto"/>
              <w:ind w:firstLine="0"/>
              <w:rPr>
                <w:rFonts w:eastAsia="Times New Roman" w:cs="Calibri"/>
                <w:b/>
                <w:bCs/>
                <w:color w:val="000000"/>
              </w:rPr>
            </w:pPr>
            <w:r w:rsidRPr="00793B3D">
              <w:rPr>
                <w:rFonts w:eastAsia="Times New Roman" w:cs="Calibri"/>
                <w:b/>
                <w:bCs/>
                <w:color w:val="000000"/>
              </w:rPr>
              <w:t xml:space="preserve">Age (per </w:t>
            </w:r>
            <w:r w:rsidR="00F340C5" w:rsidRPr="00793B3D">
              <w:rPr>
                <w:rFonts w:eastAsia="Times New Roman" w:cs="Calibri"/>
                <w:b/>
                <w:bCs/>
                <w:color w:val="000000"/>
              </w:rPr>
              <w:t>10-year</w:t>
            </w:r>
            <w:r w:rsidRPr="00793B3D">
              <w:rPr>
                <w:rFonts w:eastAsia="Times New Roman" w:cs="Calibri"/>
                <w:b/>
                <w:bCs/>
                <w:color w:val="000000"/>
              </w:rPr>
              <w:t xml:space="preserve"> change)</w:t>
            </w:r>
          </w:p>
        </w:tc>
        <w:tc>
          <w:tcPr>
            <w:tcW w:w="583" w:type="pct"/>
            <w:noWrap/>
            <w:hideMark/>
          </w:tcPr>
          <w:p w14:paraId="3E380B19"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0.92</w:t>
            </w:r>
          </w:p>
        </w:tc>
        <w:tc>
          <w:tcPr>
            <w:tcW w:w="867" w:type="pct"/>
            <w:noWrap/>
            <w:hideMark/>
          </w:tcPr>
          <w:p w14:paraId="070E83B2"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0.78, 1.08</w:t>
            </w:r>
          </w:p>
        </w:tc>
        <w:tc>
          <w:tcPr>
            <w:tcW w:w="650" w:type="pct"/>
            <w:noWrap/>
            <w:hideMark/>
          </w:tcPr>
          <w:p w14:paraId="52DEED53"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0.94</w:t>
            </w:r>
          </w:p>
        </w:tc>
        <w:tc>
          <w:tcPr>
            <w:tcW w:w="867" w:type="pct"/>
            <w:noWrap/>
            <w:hideMark/>
          </w:tcPr>
          <w:p w14:paraId="4D4362B1"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0.80, 1.09</w:t>
            </w:r>
          </w:p>
        </w:tc>
      </w:tr>
      <w:tr w:rsidR="00C755A0" w:rsidRPr="00793B3D" w14:paraId="6B0B6470"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583B24BD" w14:textId="77777777" w:rsidR="00C755A0" w:rsidRPr="00793B3D" w:rsidRDefault="00C755A0" w:rsidP="001A4831">
            <w:pPr>
              <w:spacing w:line="240" w:lineRule="auto"/>
              <w:ind w:firstLine="0"/>
              <w:rPr>
                <w:rFonts w:eastAsia="Times New Roman" w:cs="Calibri"/>
                <w:b/>
                <w:bCs/>
                <w:color w:val="000000"/>
              </w:rPr>
            </w:pPr>
            <w:r w:rsidRPr="00793B3D">
              <w:rPr>
                <w:rFonts w:eastAsia="Times New Roman" w:cs="Calibri"/>
                <w:b/>
                <w:bCs/>
                <w:color w:val="000000"/>
              </w:rPr>
              <w:t>Sex</w:t>
            </w:r>
          </w:p>
        </w:tc>
        <w:tc>
          <w:tcPr>
            <w:tcW w:w="583" w:type="pct"/>
            <w:noWrap/>
            <w:hideMark/>
          </w:tcPr>
          <w:p w14:paraId="6FFD59BF" w14:textId="77777777" w:rsidR="00C755A0" w:rsidRPr="00793B3D" w:rsidRDefault="00C755A0" w:rsidP="001A4831">
            <w:pPr>
              <w:spacing w:line="240" w:lineRule="auto"/>
              <w:ind w:firstLine="0"/>
              <w:jc w:val="right"/>
              <w:rPr>
                <w:rFonts w:eastAsia="Times New Roman" w:cs="Calibri"/>
                <w:color w:val="000000"/>
              </w:rPr>
            </w:pPr>
          </w:p>
        </w:tc>
        <w:tc>
          <w:tcPr>
            <w:tcW w:w="867" w:type="pct"/>
            <w:noWrap/>
            <w:hideMark/>
          </w:tcPr>
          <w:p w14:paraId="6568F496" w14:textId="77777777" w:rsidR="00C755A0" w:rsidRPr="00793B3D" w:rsidRDefault="00C755A0" w:rsidP="001A4831">
            <w:pPr>
              <w:spacing w:line="240" w:lineRule="auto"/>
              <w:ind w:firstLine="0"/>
              <w:jc w:val="right"/>
              <w:rPr>
                <w:rFonts w:eastAsia="Times New Roman" w:cs="Times New Roman"/>
                <w:sz w:val="20"/>
                <w:szCs w:val="20"/>
              </w:rPr>
            </w:pPr>
          </w:p>
        </w:tc>
        <w:tc>
          <w:tcPr>
            <w:tcW w:w="650" w:type="pct"/>
            <w:noWrap/>
            <w:hideMark/>
          </w:tcPr>
          <w:p w14:paraId="067C169B" w14:textId="77777777" w:rsidR="00C755A0" w:rsidRPr="00793B3D" w:rsidRDefault="00C755A0" w:rsidP="001A4831">
            <w:pPr>
              <w:spacing w:line="240" w:lineRule="auto"/>
              <w:ind w:firstLine="0"/>
              <w:jc w:val="right"/>
              <w:rPr>
                <w:rFonts w:eastAsia="Times New Roman" w:cs="Times New Roman"/>
                <w:sz w:val="20"/>
                <w:szCs w:val="20"/>
              </w:rPr>
            </w:pPr>
          </w:p>
        </w:tc>
        <w:tc>
          <w:tcPr>
            <w:tcW w:w="867" w:type="pct"/>
            <w:noWrap/>
            <w:hideMark/>
          </w:tcPr>
          <w:p w14:paraId="617BF24D" w14:textId="77777777" w:rsidR="00C755A0" w:rsidRPr="00793B3D" w:rsidRDefault="00C755A0" w:rsidP="001A4831">
            <w:pPr>
              <w:spacing w:line="240" w:lineRule="auto"/>
              <w:ind w:firstLine="0"/>
              <w:jc w:val="right"/>
              <w:rPr>
                <w:rFonts w:eastAsia="Times New Roman" w:cs="Times New Roman"/>
                <w:sz w:val="20"/>
                <w:szCs w:val="20"/>
              </w:rPr>
            </w:pPr>
          </w:p>
        </w:tc>
      </w:tr>
      <w:tr w:rsidR="00C755A0" w:rsidRPr="00793B3D" w14:paraId="0B3E23FD" w14:textId="77777777" w:rsidTr="001A4831">
        <w:trPr>
          <w:trHeight w:val="300"/>
        </w:trPr>
        <w:tc>
          <w:tcPr>
            <w:tcW w:w="2033" w:type="pct"/>
            <w:noWrap/>
            <w:hideMark/>
          </w:tcPr>
          <w:p w14:paraId="2F190F2E"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Female</w:t>
            </w:r>
          </w:p>
        </w:tc>
        <w:tc>
          <w:tcPr>
            <w:tcW w:w="583" w:type="pct"/>
            <w:noWrap/>
            <w:hideMark/>
          </w:tcPr>
          <w:p w14:paraId="6F68202A"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hideMark/>
          </w:tcPr>
          <w:p w14:paraId="08A6DDE7" w14:textId="77777777" w:rsidR="00C755A0" w:rsidRPr="00793B3D" w:rsidRDefault="00C755A0" w:rsidP="001A4831">
            <w:pPr>
              <w:spacing w:line="240" w:lineRule="auto"/>
              <w:ind w:firstLine="0"/>
              <w:jc w:val="right"/>
              <w:rPr>
                <w:rFonts w:eastAsia="Times New Roman" w:cs="Calibri"/>
                <w:color w:val="000000"/>
              </w:rPr>
            </w:pPr>
          </w:p>
        </w:tc>
        <w:tc>
          <w:tcPr>
            <w:tcW w:w="650" w:type="pct"/>
            <w:noWrap/>
            <w:hideMark/>
          </w:tcPr>
          <w:p w14:paraId="049B971A"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hideMark/>
          </w:tcPr>
          <w:p w14:paraId="60006C0D" w14:textId="77777777" w:rsidR="00C755A0" w:rsidRPr="00793B3D" w:rsidRDefault="00C755A0" w:rsidP="001A4831">
            <w:pPr>
              <w:spacing w:line="240" w:lineRule="auto"/>
              <w:ind w:firstLine="0"/>
              <w:jc w:val="right"/>
              <w:rPr>
                <w:rFonts w:eastAsia="Times New Roman" w:cs="Calibri"/>
                <w:color w:val="000000"/>
              </w:rPr>
            </w:pPr>
          </w:p>
        </w:tc>
      </w:tr>
      <w:tr w:rsidR="00C755A0" w:rsidRPr="00793B3D" w14:paraId="565196D7"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69F75EA6"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Male</w:t>
            </w:r>
          </w:p>
        </w:tc>
        <w:tc>
          <w:tcPr>
            <w:tcW w:w="583" w:type="pct"/>
            <w:noWrap/>
            <w:hideMark/>
          </w:tcPr>
          <w:p w14:paraId="51F6F9EB"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1.00</w:t>
            </w:r>
          </w:p>
        </w:tc>
        <w:tc>
          <w:tcPr>
            <w:tcW w:w="867" w:type="pct"/>
            <w:noWrap/>
            <w:hideMark/>
          </w:tcPr>
          <w:p w14:paraId="0ADE90A1"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0,74, 1.35</w:t>
            </w:r>
          </w:p>
        </w:tc>
        <w:tc>
          <w:tcPr>
            <w:tcW w:w="650" w:type="pct"/>
            <w:noWrap/>
            <w:hideMark/>
          </w:tcPr>
          <w:p w14:paraId="175F2551"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0.99</w:t>
            </w:r>
          </w:p>
        </w:tc>
        <w:tc>
          <w:tcPr>
            <w:tcW w:w="867" w:type="pct"/>
            <w:noWrap/>
            <w:hideMark/>
          </w:tcPr>
          <w:p w14:paraId="38274A13"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0.73, 1.33</w:t>
            </w:r>
          </w:p>
        </w:tc>
      </w:tr>
      <w:tr w:rsidR="00C755A0" w:rsidRPr="00793B3D" w14:paraId="079FF347" w14:textId="77777777" w:rsidTr="001A4831">
        <w:trPr>
          <w:trHeight w:val="300"/>
        </w:trPr>
        <w:tc>
          <w:tcPr>
            <w:tcW w:w="2033" w:type="pct"/>
            <w:noWrap/>
            <w:hideMark/>
          </w:tcPr>
          <w:p w14:paraId="13148B14" w14:textId="77777777" w:rsidR="00C755A0" w:rsidRPr="00793B3D" w:rsidRDefault="00C755A0" w:rsidP="001A4831">
            <w:pPr>
              <w:spacing w:line="240" w:lineRule="auto"/>
              <w:ind w:firstLine="0"/>
              <w:rPr>
                <w:rFonts w:eastAsia="Times New Roman" w:cs="Calibri"/>
                <w:b/>
                <w:bCs/>
                <w:color w:val="000000"/>
              </w:rPr>
            </w:pPr>
            <w:r w:rsidRPr="00793B3D">
              <w:rPr>
                <w:rFonts w:eastAsia="Times New Roman" w:cs="Calibri"/>
                <w:b/>
                <w:bCs/>
                <w:color w:val="000000"/>
              </w:rPr>
              <w:t>Race/Ethnicity</w:t>
            </w:r>
          </w:p>
        </w:tc>
        <w:tc>
          <w:tcPr>
            <w:tcW w:w="583" w:type="pct"/>
            <w:noWrap/>
            <w:hideMark/>
          </w:tcPr>
          <w:p w14:paraId="162830FF" w14:textId="77777777" w:rsidR="00C755A0" w:rsidRPr="00793B3D" w:rsidRDefault="00C755A0" w:rsidP="001A4831">
            <w:pPr>
              <w:spacing w:line="240" w:lineRule="auto"/>
              <w:ind w:firstLine="0"/>
              <w:jc w:val="right"/>
              <w:rPr>
                <w:rFonts w:eastAsia="Times New Roman" w:cs="Calibri"/>
                <w:color w:val="000000"/>
              </w:rPr>
            </w:pPr>
          </w:p>
        </w:tc>
        <w:tc>
          <w:tcPr>
            <w:tcW w:w="867" w:type="pct"/>
            <w:noWrap/>
            <w:hideMark/>
          </w:tcPr>
          <w:p w14:paraId="1EEC58FE" w14:textId="77777777" w:rsidR="00C755A0" w:rsidRPr="00793B3D" w:rsidRDefault="00C755A0" w:rsidP="001A4831">
            <w:pPr>
              <w:spacing w:line="240" w:lineRule="auto"/>
              <w:ind w:firstLine="0"/>
              <w:jc w:val="right"/>
              <w:rPr>
                <w:rFonts w:eastAsia="Times New Roman" w:cs="Times New Roman"/>
                <w:sz w:val="20"/>
                <w:szCs w:val="20"/>
              </w:rPr>
            </w:pPr>
          </w:p>
        </w:tc>
        <w:tc>
          <w:tcPr>
            <w:tcW w:w="650" w:type="pct"/>
            <w:noWrap/>
            <w:hideMark/>
          </w:tcPr>
          <w:p w14:paraId="6C1EBE25" w14:textId="77777777" w:rsidR="00C755A0" w:rsidRPr="00793B3D" w:rsidRDefault="00C755A0" w:rsidP="001A4831">
            <w:pPr>
              <w:spacing w:line="240" w:lineRule="auto"/>
              <w:ind w:firstLine="0"/>
              <w:jc w:val="right"/>
              <w:rPr>
                <w:rFonts w:eastAsia="Times New Roman" w:cs="Times New Roman"/>
                <w:sz w:val="20"/>
                <w:szCs w:val="20"/>
              </w:rPr>
            </w:pPr>
          </w:p>
        </w:tc>
        <w:tc>
          <w:tcPr>
            <w:tcW w:w="867" w:type="pct"/>
            <w:noWrap/>
            <w:hideMark/>
          </w:tcPr>
          <w:p w14:paraId="72718248" w14:textId="77777777" w:rsidR="00C755A0" w:rsidRPr="00793B3D" w:rsidRDefault="00C755A0" w:rsidP="001A4831">
            <w:pPr>
              <w:spacing w:line="240" w:lineRule="auto"/>
              <w:ind w:firstLine="0"/>
              <w:jc w:val="right"/>
              <w:rPr>
                <w:rFonts w:eastAsia="Times New Roman" w:cs="Times New Roman"/>
                <w:sz w:val="20"/>
                <w:szCs w:val="20"/>
              </w:rPr>
            </w:pPr>
          </w:p>
        </w:tc>
      </w:tr>
      <w:tr w:rsidR="00C755A0" w:rsidRPr="00793B3D" w14:paraId="2BB554EC"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1E44ACA8"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Non-Hispanic White</w:t>
            </w:r>
          </w:p>
        </w:tc>
        <w:tc>
          <w:tcPr>
            <w:tcW w:w="583" w:type="pct"/>
            <w:noWrap/>
            <w:hideMark/>
          </w:tcPr>
          <w:p w14:paraId="4BA075E8"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hideMark/>
          </w:tcPr>
          <w:p w14:paraId="65D82D0E" w14:textId="77777777" w:rsidR="00C755A0" w:rsidRPr="00793B3D" w:rsidRDefault="00C755A0" w:rsidP="001A4831">
            <w:pPr>
              <w:spacing w:line="240" w:lineRule="auto"/>
              <w:ind w:firstLine="0"/>
              <w:jc w:val="right"/>
              <w:rPr>
                <w:rFonts w:eastAsia="Times New Roman" w:cs="Calibri"/>
                <w:color w:val="000000"/>
              </w:rPr>
            </w:pPr>
          </w:p>
        </w:tc>
        <w:tc>
          <w:tcPr>
            <w:tcW w:w="650" w:type="pct"/>
            <w:noWrap/>
            <w:hideMark/>
          </w:tcPr>
          <w:p w14:paraId="314561E1"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hideMark/>
          </w:tcPr>
          <w:p w14:paraId="4DC8CEE0" w14:textId="77777777" w:rsidR="00C755A0" w:rsidRPr="00793B3D" w:rsidRDefault="00C755A0" w:rsidP="001A4831">
            <w:pPr>
              <w:spacing w:line="240" w:lineRule="auto"/>
              <w:ind w:firstLine="0"/>
              <w:jc w:val="right"/>
              <w:rPr>
                <w:rFonts w:eastAsia="Times New Roman" w:cs="Calibri"/>
                <w:color w:val="000000"/>
              </w:rPr>
            </w:pPr>
          </w:p>
        </w:tc>
      </w:tr>
      <w:tr w:rsidR="00C755A0" w:rsidRPr="00793B3D" w14:paraId="4BADE947" w14:textId="77777777" w:rsidTr="001A4831">
        <w:trPr>
          <w:trHeight w:val="300"/>
        </w:trPr>
        <w:tc>
          <w:tcPr>
            <w:tcW w:w="2033" w:type="pct"/>
            <w:noWrap/>
            <w:hideMark/>
          </w:tcPr>
          <w:p w14:paraId="6687AAA3"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Non-Hispanic Black</w:t>
            </w:r>
          </w:p>
        </w:tc>
        <w:tc>
          <w:tcPr>
            <w:tcW w:w="583" w:type="pct"/>
            <w:noWrap/>
            <w:hideMark/>
          </w:tcPr>
          <w:p w14:paraId="7DAA254C"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0.93</w:t>
            </w:r>
          </w:p>
        </w:tc>
        <w:tc>
          <w:tcPr>
            <w:tcW w:w="867" w:type="pct"/>
            <w:noWrap/>
            <w:hideMark/>
          </w:tcPr>
          <w:p w14:paraId="0365DF02"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0.60, 1.45</w:t>
            </w:r>
          </w:p>
        </w:tc>
        <w:tc>
          <w:tcPr>
            <w:tcW w:w="650" w:type="pct"/>
            <w:noWrap/>
            <w:hideMark/>
          </w:tcPr>
          <w:p w14:paraId="7628EFB8"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0.84</w:t>
            </w:r>
          </w:p>
        </w:tc>
        <w:tc>
          <w:tcPr>
            <w:tcW w:w="867" w:type="pct"/>
            <w:noWrap/>
            <w:hideMark/>
          </w:tcPr>
          <w:p w14:paraId="1B815531"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0.54, 1.33</w:t>
            </w:r>
          </w:p>
        </w:tc>
      </w:tr>
      <w:tr w:rsidR="00C755A0" w:rsidRPr="00793B3D" w14:paraId="796DC4FF"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69DB36A3"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Hispanic</w:t>
            </w:r>
          </w:p>
        </w:tc>
        <w:tc>
          <w:tcPr>
            <w:tcW w:w="583" w:type="pct"/>
            <w:noWrap/>
            <w:hideMark/>
          </w:tcPr>
          <w:p w14:paraId="19CBEFFF"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0.77</w:t>
            </w:r>
          </w:p>
        </w:tc>
        <w:tc>
          <w:tcPr>
            <w:tcW w:w="867" w:type="pct"/>
            <w:noWrap/>
            <w:hideMark/>
          </w:tcPr>
          <w:p w14:paraId="3FC2C8E0"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0.47, 1.27</w:t>
            </w:r>
          </w:p>
        </w:tc>
        <w:tc>
          <w:tcPr>
            <w:tcW w:w="650" w:type="pct"/>
            <w:noWrap/>
            <w:hideMark/>
          </w:tcPr>
          <w:p w14:paraId="2EA11EE7"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0.77</w:t>
            </w:r>
          </w:p>
        </w:tc>
        <w:tc>
          <w:tcPr>
            <w:tcW w:w="867" w:type="pct"/>
            <w:noWrap/>
            <w:hideMark/>
          </w:tcPr>
          <w:p w14:paraId="762B6279"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0.47, 1.26</w:t>
            </w:r>
          </w:p>
        </w:tc>
      </w:tr>
      <w:tr w:rsidR="00C755A0" w:rsidRPr="00793B3D" w14:paraId="66C1612F" w14:textId="77777777" w:rsidTr="001A4831">
        <w:trPr>
          <w:trHeight w:val="300"/>
        </w:trPr>
        <w:tc>
          <w:tcPr>
            <w:tcW w:w="2033" w:type="pct"/>
            <w:noWrap/>
            <w:hideMark/>
          </w:tcPr>
          <w:p w14:paraId="032B7363"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Other</w:t>
            </w:r>
          </w:p>
        </w:tc>
        <w:tc>
          <w:tcPr>
            <w:tcW w:w="583" w:type="pct"/>
            <w:noWrap/>
            <w:hideMark/>
          </w:tcPr>
          <w:p w14:paraId="34F63D1C"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0.92</w:t>
            </w:r>
          </w:p>
        </w:tc>
        <w:tc>
          <w:tcPr>
            <w:tcW w:w="867" w:type="pct"/>
            <w:noWrap/>
            <w:hideMark/>
          </w:tcPr>
          <w:p w14:paraId="65933217"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0.41, 2.05</w:t>
            </w:r>
          </w:p>
        </w:tc>
        <w:tc>
          <w:tcPr>
            <w:tcW w:w="650" w:type="pct"/>
            <w:noWrap/>
            <w:hideMark/>
          </w:tcPr>
          <w:p w14:paraId="5AF581CF"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0.95</w:t>
            </w:r>
          </w:p>
        </w:tc>
        <w:tc>
          <w:tcPr>
            <w:tcW w:w="867" w:type="pct"/>
            <w:noWrap/>
            <w:hideMark/>
          </w:tcPr>
          <w:p w14:paraId="1781B9CB"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0.42, 2.11</w:t>
            </w:r>
          </w:p>
        </w:tc>
      </w:tr>
      <w:tr w:rsidR="00C755A0" w:rsidRPr="00793B3D" w14:paraId="23C56C89"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23BA2A02" w14:textId="77777777" w:rsidR="00C755A0" w:rsidRPr="00793B3D" w:rsidRDefault="00C755A0" w:rsidP="001A4831">
            <w:pPr>
              <w:spacing w:line="240" w:lineRule="auto"/>
              <w:ind w:firstLine="0"/>
              <w:rPr>
                <w:rFonts w:eastAsia="Times New Roman" w:cs="Calibri"/>
                <w:b/>
                <w:bCs/>
                <w:color w:val="000000"/>
              </w:rPr>
            </w:pPr>
            <w:r w:rsidRPr="00793B3D">
              <w:rPr>
                <w:rFonts w:eastAsia="Times New Roman" w:cs="Calibri"/>
                <w:b/>
                <w:bCs/>
                <w:color w:val="000000"/>
              </w:rPr>
              <w:t>Stage at Diagnosis</w:t>
            </w:r>
          </w:p>
        </w:tc>
        <w:tc>
          <w:tcPr>
            <w:tcW w:w="583" w:type="pct"/>
            <w:noWrap/>
            <w:hideMark/>
          </w:tcPr>
          <w:p w14:paraId="37EA51B7" w14:textId="77777777" w:rsidR="00C755A0" w:rsidRPr="00793B3D" w:rsidRDefault="00C755A0" w:rsidP="001A4831">
            <w:pPr>
              <w:spacing w:line="240" w:lineRule="auto"/>
              <w:ind w:firstLine="0"/>
              <w:jc w:val="right"/>
              <w:rPr>
                <w:rFonts w:eastAsia="Times New Roman" w:cs="Calibri"/>
                <w:color w:val="000000"/>
              </w:rPr>
            </w:pPr>
          </w:p>
        </w:tc>
        <w:tc>
          <w:tcPr>
            <w:tcW w:w="867" w:type="pct"/>
            <w:noWrap/>
            <w:hideMark/>
          </w:tcPr>
          <w:p w14:paraId="334D9BCB" w14:textId="77777777" w:rsidR="00C755A0" w:rsidRPr="00793B3D" w:rsidRDefault="00C755A0" w:rsidP="001A4831">
            <w:pPr>
              <w:spacing w:line="240" w:lineRule="auto"/>
              <w:ind w:firstLine="0"/>
              <w:jc w:val="right"/>
              <w:rPr>
                <w:rFonts w:eastAsia="Times New Roman" w:cs="Times New Roman"/>
                <w:sz w:val="20"/>
                <w:szCs w:val="20"/>
              </w:rPr>
            </w:pPr>
          </w:p>
        </w:tc>
        <w:tc>
          <w:tcPr>
            <w:tcW w:w="650" w:type="pct"/>
            <w:noWrap/>
            <w:hideMark/>
          </w:tcPr>
          <w:p w14:paraId="435E8B12" w14:textId="77777777" w:rsidR="00C755A0" w:rsidRPr="00793B3D" w:rsidRDefault="00C755A0" w:rsidP="001A4831">
            <w:pPr>
              <w:spacing w:line="240" w:lineRule="auto"/>
              <w:ind w:firstLine="0"/>
              <w:jc w:val="right"/>
              <w:rPr>
                <w:rFonts w:eastAsia="Times New Roman" w:cs="Times New Roman"/>
                <w:sz w:val="20"/>
                <w:szCs w:val="20"/>
              </w:rPr>
            </w:pPr>
          </w:p>
        </w:tc>
        <w:tc>
          <w:tcPr>
            <w:tcW w:w="867" w:type="pct"/>
            <w:noWrap/>
            <w:hideMark/>
          </w:tcPr>
          <w:p w14:paraId="1D0A0097" w14:textId="77777777" w:rsidR="00C755A0" w:rsidRPr="00793B3D" w:rsidRDefault="00C755A0" w:rsidP="001A4831">
            <w:pPr>
              <w:spacing w:line="240" w:lineRule="auto"/>
              <w:ind w:firstLine="0"/>
              <w:jc w:val="right"/>
              <w:rPr>
                <w:rFonts w:eastAsia="Times New Roman" w:cs="Times New Roman"/>
                <w:sz w:val="20"/>
                <w:szCs w:val="20"/>
              </w:rPr>
            </w:pPr>
          </w:p>
        </w:tc>
      </w:tr>
      <w:tr w:rsidR="00C755A0" w:rsidRPr="00793B3D" w14:paraId="55F4C66F" w14:textId="77777777" w:rsidTr="001A4831">
        <w:trPr>
          <w:trHeight w:val="300"/>
        </w:trPr>
        <w:tc>
          <w:tcPr>
            <w:tcW w:w="2033" w:type="pct"/>
            <w:noWrap/>
            <w:hideMark/>
          </w:tcPr>
          <w:p w14:paraId="67E188C7"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Stage I</w:t>
            </w:r>
          </w:p>
        </w:tc>
        <w:tc>
          <w:tcPr>
            <w:tcW w:w="583" w:type="pct"/>
            <w:noWrap/>
            <w:hideMark/>
          </w:tcPr>
          <w:p w14:paraId="52491F4C"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hideMark/>
          </w:tcPr>
          <w:p w14:paraId="5A427AC1" w14:textId="77777777" w:rsidR="00C755A0" w:rsidRPr="00793B3D" w:rsidRDefault="00C755A0" w:rsidP="001A4831">
            <w:pPr>
              <w:spacing w:line="240" w:lineRule="auto"/>
              <w:ind w:firstLine="0"/>
              <w:jc w:val="right"/>
              <w:rPr>
                <w:rFonts w:eastAsia="Times New Roman" w:cs="Calibri"/>
                <w:color w:val="000000"/>
              </w:rPr>
            </w:pPr>
          </w:p>
        </w:tc>
        <w:tc>
          <w:tcPr>
            <w:tcW w:w="650" w:type="pct"/>
            <w:noWrap/>
            <w:hideMark/>
          </w:tcPr>
          <w:p w14:paraId="436C1747"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hideMark/>
          </w:tcPr>
          <w:p w14:paraId="24C5DE7A" w14:textId="77777777" w:rsidR="00C755A0" w:rsidRPr="00793B3D" w:rsidRDefault="00C755A0" w:rsidP="001A4831">
            <w:pPr>
              <w:spacing w:line="240" w:lineRule="auto"/>
              <w:ind w:firstLine="0"/>
              <w:jc w:val="right"/>
              <w:rPr>
                <w:rFonts w:eastAsia="Times New Roman" w:cs="Calibri"/>
                <w:color w:val="000000"/>
              </w:rPr>
            </w:pPr>
          </w:p>
        </w:tc>
      </w:tr>
      <w:tr w:rsidR="00C755A0" w:rsidRPr="00793B3D" w14:paraId="0DCBA0B3"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2A6D818B"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Stage II</w:t>
            </w:r>
          </w:p>
        </w:tc>
        <w:tc>
          <w:tcPr>
            <w:tcW w:w="583" w:type="pct"/>
            <w:noWrap/>
            <w:hideMark/>
          </w:tcPr>
          <w:p w14:paraId="460F7694"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6.90</w:t>
            </w:r>
          </w:p>
        </w:tc>
        <w:tc>
          <w:tcPr>
            <w:tcW w:w="867" w:type="pct"/>
            <w:noWrap/>
            <w:hideMark/>
          </w:tcPr>
          <w:p w14:paraId="5A44F7BC"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2.56, 18.59</w:t>
            </w:r>
          </w:p>
        </w:tc>
        <w:tc>
          <w:tcPr>
            <w:tcW w:w="650" w:type="pct"/>
            <w:noWrap/>
            <w:hideMark/>
          </w:tcPr>
          <w:p w14:paraId="22E0DDB0"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6.98</w:t>
            </w:r>
          </w:p>
        </w:tc>
        <w:tc>
          <w:tcPr>
            <w:tcW w:w="867" w:type="pct"/>
            <w:noWrap/>
            <w:hideMark/>
          </w:tcPr>
          <w:p w14:paraId="27A55C1E"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2.59, 18.80</w:t>
            </w:r>
          </w:p>
        </w:tc>
      </w:tr>
      <w:tr w:rsidR="00C755A0" w:rsidRPr="00793B3D" w14:paraId="24C6C469" w14:textId="77777777" w:rsidTr="001A4831">
        <w:trPr>
          <w:trHeight w:val="300"/>
        </w:trPr>
        <w:tc>
          <w:tcPr>
            <w:tcW w:w="2033" w:type="pct"/>
            <w:noWrap/>
            <w:hideMark/>
          </w:tcPr>
          <w:p w14:paraId="57E0B689"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Stage III</w:t>
            </w:r>
          </w:p>
        </w:tc>
        <w:tc>
          <w:tcPr>
            <w:tcW w:w="583" w:type="pct"/>
            <w:noWrap/>
            <w:hideMark/>
          </w:tcPr>
          <w:p w14:paraId="62C798DC"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10.41</w:t>
            </w:r>
          </w:p>
        </w:tc>
        <w:tc>
          <w:tcPr>
            <w:tcW w:w="867" w:type="pct"/>
            <w:noWrap/>
            <w:hideMark/>
          </w:tcPr>
          <w:p w14:paraId="1E4009C3"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3.99, 27.16</w:t>
            </w:r>
          </w:p>
        </w:tc>
        <w:tc>
          <w:tcPr>
            <w:tcW w:w="650" w:type="pct"/>
            <w:noWrap/>
            <w:hideMark/>
          </w:tcPr>
          <w:p w14:paraId="19C34F84"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11.29</w:t>
            </w:r>
          </w:p>
        </w:tc>
        <w:tc>
          <w:tcPr>
            <w:tcW w:w="867" w:type="pct"/>
            <w:noWrap/>
            <w:hideMark/>
          </w:tcPr>
          <w:p w14:paraId="74CE2DFA"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4.32, 29.53</w:t>
            </w:r>
          </w:p>
        </w:tc>
      </w:tr>
      <w:tr w:rsidR="00C755A0" w:rsidRPr="00793B3D" w14:paraId="2868814C"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7869BBE5"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Stage IV</w:t>
            </w:r>
          </w:p>
        </w:tc>
        <w:tc>
          <w:tcPr>
            <w:tcW w:w="583" w:type="pct"/>
            <w:noWrap/>
            <w:hideMark/>
          </w:tcPr>
          <w:p w14:paraId="0B5A3289"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77.74</w:t>
            </w:r>
          </w:p>
        </w:tc>
        <w:tc>
          <w:tcPr>
            <w:tcW w:w="867" w:type="pct"/>
            <w:noWrap/>
            <w:hideMark/>
          </w:tcPr>
          <w:p w14:paraId="1E516C71"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30.14, 200.54</w:t>
            </w:r>
          </w:p>
        </w:tc>
        <w:tc>
          <w:tcPr>
            <w:tcW w:w="650" w:type="pct"/>
            <w:noWrap/>
            <w:hideMark/>
          </w:tcPr>
          <w:p w14:paraId="34B9E725"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80.79</w:t>
            </w:r>
          </w:p>
        </w:tc>
        <w:tc>
          <w:tcPr>
            <w:tcW w:w="867" w:type="pct"/>
            <w:noWrap/>
            <w:hideMark/>
          </w:tcPr>
          <w:p w14:paraId="5AE543D7"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31.33, 208.34</w:t>
            </w:r>
          </w:p>
        </w:tc>
      </w:tr>
      <w:tr w:rsidR="00C755A0" w:rsidRPr="00793B3D" w14:paraId="125BDA14" w14:textId="77777777" w:rsidTr="001A4831">
        <w:trPr>
          <w:trHeight w:val="300"/>
        </w:trPr>
        <w:tc>
          <w:tcPr>
            <w:tcW w:w="2033" w:type="pct"/>
            <w:noWrap/>
            <w:hideMark/>
          </w:tcPr>
          <w:p w14:paraId="4C35138E" w14:textId="77777777" w:rsidR="00C755A0" w:rsidRPr="003563C9" w:rsidRDefault="00C755A0" w:rsidP="001A4831">
            <w:pPr>
              <w:spacing w:line="240" w:lineRule="auto"/>
              <w:ind w:firstLine="0"/>
              <w:jc w:val="right"/>
              <w:rPr>
                <w:rFonts w:eastAsia="Times New Roman" w:cs="Calibri"/>
                <w:color w:val="000000"/>
              </w:rPr>
            </w:pPr>
            <w:r w:rsidRPr="003563C9">
              <w:rPr>
                <w:rFonts w:eastAsia="Times New Roman" w:cs="Calibri"/>
                <w:color w:val="000000"/>
              </w:rPr>
              <w:t>Unstaged</w:t>
            </w:r>
          </w:p>
        </w:tc>
        <w:tc>
          <w:tcPr>
            <w:tcW w:w="583" w:type="pct"/>
            <w:noWrap/>
            <w:hideMark/>
          </w:tcPr>
          <w:p w14:paraId="2B3C0B59"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11.85</w:t>
            </w:r>
          </w:p>
        </w:tc>
        <w:tc>
          <w:tcPr>
            <w:tcW w:w="867" w:type="pct"/>
            <w:noWrap/>
            <w:hideMark/>
          </w:tcPr>
          <w:p w14:paraId="398C2A3A"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4.78, 29.36</w:t>
            </w:r>
          </w:p>
        </w:tc>
        <w:tc>
          <w:tcPr>
            <w:tcW w:w="650" w:type="pct"/>
            <w:noWrap/>
            <w:hideMark/>
          </w:tcPr>
          <w:p w14:paraId="513CC531"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11.62</w:t>
            </w:r>
          </w:p>
        </w:tc>
        <w:tc>
          <w:tcPr>
            <w:tcW w:w="867" w:type="pct"/>
            <w:noWrap/>
            <w:hideMark/>
          </w:tcPr>
          <w:p w14:paraId="2365C5A4" w14:textId="77777777" w:rsidR="00C755A0" w:rsidRPr="00793B3D" w:rsidRDefault="00C755A0" w:rsidP="001A4831">
            <w:pPr>
              <w:spacing w:line="240" w:lineRule="auto"/>
              <w:ind w:firstLine="0"/>
              <w:jc w:val="right"/>
              <w:rPr>
                <w:rFonts w:eastAsia="Times New Roman" w:cs="Calibri"/>
                <w:color w:val="000000"/>
              </w:rPr>
            </w:pPr>
            <w:r w:rsidRPr="00793B3D">
              <w:rPr>
                <w:rFonts w:eastAsia="Times New Roman" w:cs="Calibri"/>
                <w:color w:val="000000"/>
              </w:rPr>
              <w:t>4.69, 28.79</w:t>
            </w:r>
          </w:p>
        </w:tc>
      </w:tr>
      <w:tr w:rsidR="00C755A0" w:rsidRPr="00793B3D" w14:paraId="78CCC5C8"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68C9FF44" w14:textId="77777777" w:rsidR="00C755A0" w:rsidRPr="00793B3D" w:rsidRDefault="00C755A0" w:rsidP="001A4831">
            <w:pPr>
              <w:spacing w:line="240" w:lineRule="auto"/>
              <w:ind w:firstLine="0"/>
              <w:rPr>
                <w:rFonts w:eastAsia="Times New Roman" w:cs="Calibri"/>
                <w:b/>
                <w:bCs/>
                <w:color w:val="000000"/>
              </w:rPr>
            </w:pPr>
            <w:r w:rsidRPr="00793B3D">
              <w:rPr>
                <w:rFonts w:eastAsia="Times New Roman" w:cs="Calibri"/>
                <w:b/>
                <w:bCs/>
                <w:color w:val="000000"/>
              </w:rPr>
              <w:t>Anatomic Site</w:t>
            </w:r>
          </w:p>
        </w:tc>
        <w:tc>
          <w:tcPr>
            <w:tcW w:w="583" w:type="pct"/>
            <w:noWrap/>
            <w:hideMark/>
          </w:tcPr>
          <w:p w14:paraId="2852B0EA" w14:textId="77777777" w:rsidR="00C755A0" w:rsidRPr="00793B3D" w:rsidRDefault="00C755A0" w:rsidP="001A4831">
            <w:pPr>
              <w:spacing w:line="240" w:lineRule="auto"/>
              <w:ind w:firstLine="0"/>
              <w:jc w:val="right"/>
              <w:rPr>
                <w:rFonts w:eastAsia="Times New Roman" w:cs="Calibri"/>
                <w:color w:val="000000"/>
              </w:rPr>
            </w:pPr>
          </w:p>
        </w:tc>
        <w:tc>
          <w:tcPr>
            <w:tcW w:w="867" w:type="pct"/>
            <w:noWrap/>
            <w:hideMark/>
          </w:tcPr>
          <w:p w14:paraId="0759D95A" w14:textId="77777777" w:rsidR="00C755A0" w:rsidRPr="00793B3D" w:rsidRDefault="00C755A0" w:rsidP="001A4831">
            <w:pPr>
              <w:spacing w:line="240" w:lineRule="auto"/>
              <w:ind w:firstLine="0"/>
              <w:jc w:val="right"/>
              <w:rPr>
                <w:rFonts w:eastAsia="Times New Roman" w:cs="Times New Roman"/>
                <w:sz w:val="20"/>
                <w:szCs w:val="20"/>
              </w:rPr>
            </w:pPr>
          </w:p>
        </w:tc>
        <w:tc>
          <w:tcPr>
            <w:tcW w:w="650" w:type="pct"/>
            <w:noWrap/>
            <w:hideMark/>
          </w:tcPr>
          <w:p w14:paraId="1CF40B18" w14:textId="77777777" w:rsidR="00C755A0" w:rsidRPr="00793B3D" w:rsidRDefault="00C755A0" w:rsidP="001A4831">
            <w:pPr>
              <w:spacing w:line="240" w:lineRule="auto"/>
              <w:ind w:firstLine="0"/>
              <w:jc w:val="right"/>
              <w:rPr>
                <w:rFonts w:eastAsia="Times New Roman" w:cs="Times New Roman"/>
                <w:sz w:val="20"/>
                <w:szCs w:val="20"/>
              </w:rPr>
            </w:pPr>
          </w:p>
        </w:tc>
        <w:tc>
          <w:tcPr>
            <w:tcW w:w="867" w:type="pct"/>
            <w:noWrap/>
            <w:hideMark/>
          </w:tcPr>
          <w:p w14:paraId="595A5070" w14:textId="77777777" w:rsidR="00C755A0" w:rsidRPr="00793B3D" w:rsidRDefault="00C755A0" w:rsidP="001A4831">
            <w:pPr>
              <w:spacing w:line="240" w:lineRule="auto"/>
              <w:ind w:firstLine="0"/>
              <w:jc w:val="right"/>
              <w:rPr>
                <w:rFonts w:eastAsia="Times New Roman" w:cs="Times New Roman"/>
                <w:sz w:val="20"/>
                <w:szCs w:val="20"/>
              </w:rPr>
            </w:pPr>
          </w:p>
        </w:tc>
      </w:tr>
      <w:tr w:rsidR="008625BF" w:rsidRPr="00793B3D" w14:paraId="4B4D7EDB" w14:textId="77777777" w:rsidTr="001A4831">
        <w:trPr>
          <w:trHeight w:val="300"/>
        </w:trPr>
        <w:tc>
          <w:tcPr>
            <w:tcW w:w="2033" w:type="pct"/>
            <w:noWrap/>
          </w:tcPr>
          <w:p w14:paraId="26A6B055" w14:textId="2BAC1232" w:rsidR="008625BF" w:rsidRPr="003563C9" w:rsidDel="008625BF" w:rsidRDefault="008625BF" w:rsidP="008625BF">
            <w:pPr>
              <w:spacing w:line="240" w:lineRule="auto"/>
              <w:ind w:firstLine="0"/>
              <w:jc w:val="right"/>
              <w:rPr>
                <w:rFonts w:eastAsia="Times New Roman" w:cs="Calibri"/>
                <w:color w:val="000000"/>
              </w:rPr>
            </w:pPr>
            <w:r w:rsidRPr="003563C9">
              <w:rPr>
                <w:rFonts w:eastAsia="Times New Roman" w:cs="Calibri"/>
                <w:color w:val="000000"/>
              </w:rPr>
              <w:t>Rectum</w:t>
            </w:r>
          </w:p>
        </w:tc>
        <w:tc>
          <w:tcPr>
            <w:tcW w:w="583" w:type="pct"/>
            <w:noWrap/>
          </w:tcPr>
          <w:p w14:paraId="63C769B8" w14:textId="0342E049"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tcPr>
          <w:p w14:paraId="742FA490" w14:textId="77777777" w:rsidR="008625BF" w:rsidRPr="00793B3D" w:rsidRDefault="008625BF" w:rsidP="008625BF">
            <w:pPr>
              <w:spacing w:line="240" w:lineRule="auto"/>
              <w:ind w:firstLine="0"/>
              <w:jc w:val="right"/>
              <w:rPr>
                <w:rFonts w:eastAsia="Times New Roman" w:cs="Calibri"/>
                <w:color w:val="000000"/>
              </w:rPr>
            </w:pPr>
          </w:p>
        </w:tc>
        <w:tc>
          <w:tcPr>
            <w:tcW w:w="650" w:type="pct"/>
            <w:noWrap/>
          </w:tcPr>
          <w:p w14:paraId="62C917A7" w14:textId="37A2F503"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Ref</w:t>
            </w:r>
          </w:p>
        </w:tc>
        <w:tc>
          <w:tcPr>
            <w:tcW w:w="867" w:type="pct"/>
            <w:noWrap/>
          </w:tcPr>
          <w:p w14:paraId="579D5EDF" w14:textId="77777777" w:rsidR="008625BF" w:rsidRPr="00793B3D" w:rsidRDefault="008625BF" w:rsidP="008625BF">
            <w:pPr>
              <w:spacing w:line="240" w:lineRule="auto"/>
              <w:ind w:firstLine="0"/>
              <w:jc w:val="right"/>
              <w:rPr>
                <w:rFonts w:eastAsia="Times New Roman" w:cs="Calibri"/>
                <w:color w:val="000000"/>
              </w:rPr>
            </w:pPr>
          </w:p>
        </w:tc>
      </w:tr>
      <w:tr w:rsidR="008625BF" w:rsidRPr="00793B3D" w14:paraId="3376E67F" w14:textId="77777777" w:rsidTr="000C53F0">
        <w:trPr>
          <w:cnfStyle w:val="000000100000" w:firstRow="0" w:lastRow="0" w:firstColumn="0" w:lastColumn="0" w:oddVBand="0" w:evenVBand="0" w:oddHBand="1" w:evenHBand="0" w:firstRowFirstColumn="0" w:firstRowLastColumn="0" w:lastRowFirstColumn="0" w:lastRowLastColumn="0"/>
          <w:trHeight w:val="300"/>
        </w:trPr>
        <w:tc>
          <w:tcPr>
            <w:tcW w:w="0" w:type="pct"/>
            <w:noWrap/>
            <w:hideMark/>
          </w:tcPr>
          <w:p w14:paraId="62CC757A" w14:textId="6DC554C8" w:rsidR="008625BF" w:rsidRPr="003563C9" w:rsidRDefault="008625BF" w:rsidP="008625BF">
            <w:pPr>
              <w:spacing w:line="240" w:lineRule="auto"/>
              <w:ind w:firstLine="0"/>
              <w:jc w:val="right"/>
              <w:rPr>
                <w:rFonts w:eastAsia="Times New Roman" w:cs="Calibri"/>
                <w:color w:val="000000"/>
              </w:rPr>
            </w:pPr>
            <w:r>
              <w:rPr>
                <w:rFonts w:eastAsia="Times New Roman" w:cs="Calibri"/>
                <w:color w:val="000000"/>
              </w:rPr>
              <w:t>Rectosigmoid Junction</w:t>
            </w:r>
          </w:p>
        </w:tc>
        <w:tc>
          <w:tcPr>
            <w:tcW w:w="0" w:type="pct"/>
            <w:noWrap/>
          </w:tcPr>
          <w:p w14:paraId="58C3B1D8" w14:textId="465278AA"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1.12</w:t>
            </w:r>
          </w:p>
        </w:tc>
        <w:tc>
          <w:tcPr>
            <w:tcW w:w="0" w:type="pct"/>
            <w:noWrap/>
          </w:tcPr>
          <w:p w14:paraId="668A9437" w14:textId="64EBDCE9"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0.64, 1.96</w:t>
            </w:r>
          </w:p>
        </w:tc>
        <w:tc>
          <w:tcPr>
            <w:tcW w:w="0" w:type="pct"/>
            <w:noWrap/>
          </w:tcPr>
          <w:p w14:paraId="6D64FFA2" w14:textId="4786B79A"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1.12</w:t>
            </w:r>
          </w:p>
        </w:tc>
        <w:tc>
          <w:tcPr>
            <w:tcW w:w="0" w:type="pct"/>
            <w:noWrap/>
          </w:tcPr>
          <w:p w14:paraId="56AFDB24" w14:textId="163E6A70"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0.64, 1.96</w:t>
            </w:r>
          </w:p>
        </w:tc>
      </w:tr>
      <w:tr w:rsidR="00FF2326" w:rsidRPr="00793B3D" w14:paraId="1CFC00F4" w14:textId="77777777" w:rsidTr="00FF2326">
        <w:trPr>
          <w:trHeight w:val="300"/>
        </w:trPr>
        <w:tc>
          <w:tcPr>
            <w:tcW w:w="2033" w:type="pct"/>
            <w:noWrap/>
            <w:hideMark/>
          </w:tcPr>
          <w:p w14:paraId="7375579F" w14:textId="7385F5D8" w:rsidR="008625BF" w:rsidRPr="003563C9" w:rsidRDefault="008625BF" w:rsidP="008625BF">
            <w:pPr>
              <w:spacing w:line="240" w:lineRule="auto"/>
              <w:ind w:firstLine="0"/>
              <w:jc w:val="right"/>
              <w:rPr>
                <w:rFonts w:eastAsia="Times New Roman" w:cs="Calibri"/>
                <w:color w:val="000000"/>
              </w:rPr>
            </w:pPr>
            <w:r>
              <w:rPr>
                <w:rFonts w:eastAsia="Times New Roman" w:cs="Calibri"/>
                <w:color w:val="000000"/>
              </w:rPr>
              <w:t>Colon</w:t>
            </w:r>
          </w:p>
        </w:tc>
        <w:tc>
          <w:tcPr>
            <w:tcW w:w="583" w:type="pct"/>
            <w:noWrap/>
          </w:tcPr>
          <w:p w14:paraId="77AF6585" w14:textId="75355148"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0.88</w:t>
            </w:r>
          </w:p>
        </w:tc>
        <w:tc>
          <w:tcPr>
            <w:tcW w:w="867" w:type="pct"/>
            <w:noWrap/>
          </w:tcPr>
          <w:p w14:paraId="1ED69BC6" w14:textId="197C3410"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0.59, 1.30</w:t>
            </w:r>
          </w:p>
        </w:tc>
        <w:tc>
          <w:tcPr>
            <w:tcW w:w="650" w:type="pct"/>
            <w:noWrap/>
          </w:tcPr>
          <w:p w14:paraId="2A22C988" w14:textId="4CE61BDC"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0.89</w:t>
            </w:r>
          </w:p>
        </w:tc>
        <w:tc>
          <w:tcPr>
            <w:tcW w:w="867" w:type="pct"/>
            <w:noWrap/>
          </w:tcPr>
          <w:p w14:paraId="139A2EA4" w14:textId="32C79CCA" w:rsidR="008625BF" w:rsidRPr="00793B3D" w:rsidRDefault="00FF2326" w:rsidP="008625BF">
            <w:pPr>
              <w:spacing w:line="240" w:lineRule="auto"/>
              <w:ind w:firstLine="0"/>
              <w:jc w:val="right"/>
              <w:rPr>
                <w:rFonts w:eastAsia="Times New Roman" w:cs="Calibri"/>
                <w:color w:val="000000"/>
              </w:rPr>
            </w:pPr>
            <w:r>
              <w:rPr>
                <w:rFonts w:eastAsia="Times New Roman" w:cs="Calibri"/>
                <w:color w:val="000000"/>
              </w:rPr>
              <w:t>0.60, 1.32</w:t>
            </w:r>
          </w:p>
        </w:tc>
      </w:tr>
      <w:tr w:rsidR="00FF2326" w:rsidRPr="00793B3D" w14:paraId="67F95577" w14:textId="77777777" w:rsidTr="001A4831">
        <w:trPr>
          <w:cnfStyle w:val="000000100000" w:firstRow="0" w:lastRow="0" w:firstColumn="0" w:lastColumn="0" w:oddVBand="0" w:evenVBand="0" w:oddHBand="1" w:evenHBand="0" w:firstRowFirstColumn="0" w:firstRowLastColumn="0" w:lastRowFirstColumn="0" w:lastRowLastColumn="0"/>
          <w:trHeight w:val="300"/>
        </w:trPr>
        <w:tc>
          <w:tcPr>
            <w:tcW w:w="2033" w:type="pct"/>
            <w:noWrap/>
            <w:hideMark/>
          </w:tcPr>
          <w:p w14:paraId="01E8214E" w14:textId="77777777" w:rsidR="008625BF" w:rsidRPr="00793B3D" w:rsidRDefault="008625BF" w:rsidP="008625BF">
            <w:pPr>
              <w:spacing w:line="240" w:lineRule="auto"/>
              <w:ind w:firstLine="0"/>
              <w:rPr>
                <w:rFonts w:eastAsia="Times New Roman" w:cs="Calibri"/>
                <w:b/>
                <w:bCs/>
                <w:color w:val="000000"/>
              </w:rPr>
            </w:pPr>
            <w:r w:rsidRPr="00793B3D">
              <w:rPr>
                <w:rFonts w:eastAsia="Times New Roman" w:cs="Calibri"/>
                <w:b/>
                <w:bCs/>
                <w:color w:val="000000"/>
              </w:rPr>
              <w:t>Year of Diagnosis</w:t>
            </w:r>
          </w:p>
        </w:tc>
        <w:tc>
          <w:tcPr>
            <w:tcW w:w="583" w:type="pct"/>
            <w:noWrap/>
            <w:hideMark/>
          </w:tcPr>
          <w:p w14:paraId="41525280"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1.09</w:t>
            </w:r>
          </w:p>
        </w:tc>
        <w:tc>
          <w:tcPr>
            <w:tcW w:w="867" w:type="pct"/>
            <w:noWrap/>
            <w:hideMark/>
          </w:tcPr>
          <w:p w14:paraId="0E33D5F1"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1.03, 1.16</w:t>
            </w:r>
          </w:p>
        </w:tc>
        <w:tc>
          <w:tcPr>
            <w:tcW w:w="650" w:type="pct"/>
            <w:noWrap/>
            <w:hideMark/>
          </w:tcPr>
          <w:p w14:paraId="75A33612"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1.10</w:t>
            </w:r>
          </w:p>
        </w:tc>
        <w:tc>
          <w:tcPr>
            <w:tcW w:w="867" w:type="pct"/>
            <w:noWrap/>
            <w:hideMark/>
          </w:tcPr>
          <w:p w14:paraId="115E413C"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1.03, 1.16</w:t>
            </w:r>
          </w:p>
        </w:tc>
      </w:tr>
      <w:tr w:rsidR="008625BF" w:rsidRPr="00793B3D" w14:paraId="7CEA9BE8" w14:textId="77777777" w:rsidTr="00F340C5">
        <w:trPr>
          <w:trHeight w:val="300"/>
        </w:trPr>
        <w:tc>
          <w:tcPr>
            <w:tcW w:w="2033" w:type="pct"/>
            <w:noWrap/>
            <w:hideMark/>
          </w:tcPr>
          <w:p w14:paraId="635098AF" w14:textId="77777777" w:rsidR="008625BF" w:rsidRPr="00793B3D" w:rsidRDefault="008625BF" w:rsidP="008625BF">
            <w:pPr>
              <w:spacing w:line="240" w:lineRule="auto"/>
              <w:ind w:firstLine="0"/>
              <w:rPr>
                <w:rFonts w:eastAsia="Times New Roman" w:cs="Calibri"/>
                <w:b/>
                <w:bCs/>
                <w:color w:val="000000"/>
              </w:rPr>
            </w:pPr>
            <w:r w:rsidRPr="00793B3D">
              <w:rPr>
                <w:rFonts w:eastAsia="Times New Roman" w:cs="Calibri"/>
                <w:b/>
                <w:bCs/>
                <w:color w:val="000000"/>
              </w:rPr>
              <w:t>CD Score at Diagnosis -10 years</w:t>
            </w:r>
          </w:p>
        </w:tc>
        <w:tc>
          <w:tcPr>
            <w:tcW w:w="583" w:type="pct"/>
            <w:noWrap/>
            <w:hideMark/>
          </w:tcPr>
          <w:p w14:paraId="25FE6557"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1.58</w:t>
            </w:r>
          </w:p>
        </w:tc>
        <w:tc>
          <w:tcPr>
            <w:tcW w:w="867" w:type="pct"/>
            <w:noWrap/>
            <w:hideMark/>
          </w:tcPr>
          <w:p w14:paraId="2B82866F"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1.08, 2.32</w:t>
            </w:r>
          </w:p>
        </w:tc>
        <w:tc>
          <w:tcPr>
            <w:tcW w:w="650" w:type="pct"/>
            <w:noWrap/>
            <w:hideMark/>
          </w:tcPr>
          <w:p w14:paraId="496C2345" w14:textId="77777777" w:rsidR="008625BF" w:rsidRPr="00793B3D" w:rsidRDefault="008625BF" w:rsidP="008625BF">
            <w:pPr>
              <w:spacing w:line="240" w:lineRule="auto"/>
              <w:ind w:firstLine="0"/>
              <w:jc w:val="right"/>
              <w:rPr>
                <w:rFonts w:eastAsia="Times New Roman" w:cs="Calibri"/>
                <w:color w:val="000000"/>
              </w:rPr>
            </w:pPr>
          </w:p>
        </w:tc>
        <w:tc>
          <w:tcPr>
            <w:tcW w:w="867" w:type="pct"/>
            <w:noWrap/>
            <w:hideMark/>
          </w:tcPr>
          <w:p w14:paraId="5491EAD4" w14:textId="77777777" w:rsidR="008625BF" w:rsidRPr="00793B3D" w:rsidRDefault="008625BF" w:rsidP="008625BF">
            <w:pPr>
              <w:spacing w:line="240" w:lineRule="auto"/>
              <w:ind w:firstLine="0"/>
              <w:jc w:val="right"/>
              <w:rPr>
                <w:rFonts w:eastAsia="Times New Roman" w:cs="Times New Roman"/>
                <w:sz w:val="20"/>
                <w:szCs w:val="20"/>
              </w:rPr>
            </w:pPr>
          </w:p>
        </w:tc>
      </w:tr>
      <w:tr w:rsidR="00FF2326" w:rsidRPr="00793B3D" w14:paraId="3868F738" w14:textId="77777777" w:rsidTr="00F340C5">
        <w:trPr>
          <w:cnfStyle w:val="000000100000" w:firstRow="0" w:lastRow="0" w:firstColumn="0" w:lastColumn="0" w:oddVBand="0" w:evenVBand="0" w:oddHBand="1" w:evenHBand="0" w:firstRowFirstColumn="0" w:firstRowLastColumn="0" w:lastRowFirstColumn="0" w:lastRowLastColumn="0"/>
          <w:trHeight w:val="300"/>
        </w:trPr>
        <w:tc>
          <w:tcPr>
            <w:tcW w:w="2033" w:type="pct"/>
            <w:tcBorders>
              <w:bottom w:val="single" w:sz="4" w:space="0" w:color="auto"/>
            </w:tcBorders>
            <w:noWrap/>
            <w:hideMark/>
          </w:tcPr>
          <w:p w14:paraId="4F6C0BC4" w14:textId="77777777" w:rsidR="008625BF" w:rsidRPr="00793B3D" w:rsidRDefault="008625BF" w:rsidP="008625BF">
            <w:pPr>
              <w:spacing w:line="240" w:lineRule="auto"/>
              <w:ind w:firstLine="0"/>
              <w:rPr>
                <w:rFonts w:eastAsia="Times New Roman" w:cs="Calibri"/>
                <w:b/>
                <w:bCs/>
                <w:color w:val="000000"/>
              </w:rPr>
            </w:pPr>
            <w:r w:rsidRPr="00793B3D">
              <w:rPr>
                <w:rFonts w:eastAsia="Times New Roman" w:cs="Calibri"/>
                <w:b/>
                <w:bCs/>
                <w:color w:val="000000"/>
              </w:rPr>
              <w:t>CD Score at Diagnosis</w:t>
            </w:r>
          </w:p>
        </w:tc>
        <w:tc>
          <w:tcPr>
            <w:tcW w:w="583" w:type="pct"/>
            <w:tcBorders>
              <w:bottom w:val="single" w:sz="4" w:space="0" w:color="auto"/>
            </w:tcBorders>
            <w:noWrap/>
            <w:hideMark/>
          </w:tcPr>
          <w:p w14:paraId="7F0C3B09" w14:textId="77777777" w:rsidR="008625BF" w:rsidRPr="00793B3D" w:rsidRDefault="008625BF" w:rsidP="008625BF">
            <w:pPr>
              <w:spacing w:line="240" w:lineRule="auto"/>
              <w:ind w:firstLine="0"/>
              <w:jc w:val="right"/>
              <w:rPr>
                <w:rFonts w:eastAsia="Times New Roman" w:cs="Calibri"/>
                <w:color w:val="000000"/>
              </w:rPr>
            </w:pPr>
          </w:p>
        </w:tc>
        <w:tc>
          <w:tcPr>
            <w:tcW w:w="867" w:type="pct"/>
            <w:tcBorders>
              <w:bottom w:val="single" w:sz="4" w:space="0" w:color="auto"/>
            </w:tcBorders>
            <w:noWrap/>
            <w:hideMark/>
          </w:tcPr>
          <w:p w14:paraId="1341CA7F" w14:textId="77777777" w:rsidR="008625BF" w:rsidRPr="00793B3D" w:rsidRDefault="008625BF" w:rsidP="008625BF">
            <w:pPr>
              <w:spacing w:line="240" w:lineRule="auto"/>
              <w:ind w:firstLine="0"/>
              <w:jc w:val="right"/>
              <w:rPr>
                <w:rFonts w:eastAsia="Times New Roman" w:cs="Times New Roman"/>
                <w:sz w:val="20"/>
                <w:szCs w:val="20"/>
              </w:rPr>
            </w:pPr>
          </w:p>
        </w:tc>
        <w:tc>
          <w:tcPr>
            <w:tcW w:w="650" w:type="pct"/>
            <w:tcBorders>
              <w:bottom w:val="single" w:sz="4" w:space="0" w:color="auto"/>
            </w:tcBorders>
            <w:noWrap/>
            <w:hideMark/>
          </w:tcPr>
          <w:p w14:paraId="5E023849"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1.79</w:t>
            </w:r>
          </w:p>
        </w:tc>
        <w:tc>
          <w:tcPr>
            <w:tcW w:w="867" w:type="pct"/>
            <w:tcBorders>
              <w:bottom w:val="single" w:sz="4" w:space="0" w:color="auto"/>
            </w:tcBorders>
            <w:noWrap/>
            <w:hideMark/>
          </w:tcPr>
          <w:p w14:paraId="163633AB" w14:textId="77777777" w:rsidR="008625BF" w:rsidRPr="00793B3D" w:rsidRDefault="008625BF" w:rsidP="008625BF">
            <w:pPr>
              <w:spacing w:line="240" w:lineRule="auto"/>
              <w:ind w:firstLine="0"/>
              <w:jc w:val="right"/>
              <w:rPr>
                <w:rFonts w:eastAsia="Times New Roman" w:cs="Calibri"/>
                <w:color w:val="000000"/>
              </w:rPr>
            </w:pPr>
            <w:r w:rsidRPr="00793B3D">
              <w:rPr>
                <w:rFonts w:eastAsia="Times New Roman" w:cs="Calibri"/>
                <w:color w:val="000000"/>
              </w:rPr>
              <w:t>1.21, 2.66</w:t>
            </w:r>
          </w:p>
        </w:tc>
      </w:tr>
    </w:tbl>
    <w:p w14:paraId="5EA4E840" w14:textId="77777777" w:rsidR="00607735" w:rsidRDefault="00607735">
      <w:pPr>
        <w:spacing w:after="160" w:line="259" w:lineRule="auto"/>
        <w:ind w:firstLine="0"/>
      </w:pPr>
      <w:r>
        <w:br w:type="page"/>
      </w:r>
    </w:p>
    <w:p w14:paraId="4F946F49" w14:textId="77777777" w:rsidR="003B0604" w:rsidRDefault="006B21F1" w:rsidP="003B0604">
      <w:pPr>
        <w:keepNext/>
        <w:spacing w:after="160" w:line="259" w:lineRule="auto"/>
        <w:ind w:firstLine="0"/>
      </w:pPr>
      <w:r w:rsidRPr="00F419F6">
        <w:rPr>
          <w:noProof/>
        </w:rPr>
        <w:lastRenderedPageBreak/>
        <w:drawing>
          <wp:inline distT="0" distB="0" distL="0" distR="0" wp14:anchorId="5BD3F4C0" wp14:editId="6D615365">
            <wp:extent cx="4754563" cy="4022725"/>
            <wp:effectExtent l="0" t="0" r="8255" b="15875"/>
            <wp:docPr id="1995326151" name="Chart 1">
              <a:extLst xmlns:a="http://schemas.openxmlformats.org/drawingml/2006/main">
                <a:ext uri="{FF2B5EF4-FFF2-40B4-BE49-F238E27FC236}">
                  <a16:creationId xmlns:a16="http://schemas.microsoft.com/office/drawing/2014/main" id="{2A1FDF61-3A40-B273-D380-D746614BFB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6A8295D" w14:textId="7A20DDFF" w:rsidR="009E577E" w:rsidRDefault="003B0604" w:rsidP="003B0604">
      <w:pPr>
        <w:pStyle w:val="FigureLegend"/>
      </w:pPr>
      <w:bookmarkStart w:id="222" w:name="_Toc149576432"/>
      <w:r>
        <w:t xml:space="preserve">Figure </w:t>
      </w:r>
      <w:r w:rsidR="000D2B62">
        <w:t>7</w:t>
      </w:r>
      <w:r>
        <w:t>. Trend in association between CD scores at different lag times and hazard of CRC-specific death in UI Health patients diagnosed with colorectal cancer, 1995-2004</w:t>
      </w:r>
      <w:bookmarkEnd w:id="222"/>
    </w:p>
    <w:p w14:paraId="2565F4DD" w14:textId="77777777" w:rsidR="003B0604" w:rsidRDefault="003B0604">
      <w:pPr>
        <w:spacing w:after="160" w:line="259" w:lineRule="auto"/>
        <w:ind w:firstLine="0"/>
      </w:pPr>
      <w:bookmarkStart w:id="223" w:name="_Toc145757074"/>
      <w:bookmarkStart w:id="224" w:name="_Toc145757311"/>
      <w:bookmarkStart w:id="225" w:name="_Toc145757518"/>
      <w:r>
        <w:rPr>
          <w:b/>
        </w:rPr>
        <w:br w:type="page"/>
      </w:r>
    </w:p>
    <w:p w14:paraId="2BC4263D" w14:textId="77C6EC58" w:rsidR="00C755A0" w:rsidRDefault="00C755A0" w:rsidP="00C755A0">
      <w:pPr>
        <w:pStyle w:val="Heading2"/>
        <w:ind w:left="0" w:firstLine="720"/>
      </w:pPr>
      <w:bookmarkStart w:id="226" w:name="_Toc148375793"/>
      <w:r>
        <w:lastRenderedPageBreak/>
        <w:t>Discussion</w:t>
      </w:r>
      <w:bookmarkEnd w:id="223"/>
      <w:bookmarkEnd w:id="224"/>
      <w:bookmarkEnd w:id="225"/>
      <w:bookmarkEnd w:id="226"/>
    </w:p>
    <w:p w14:paraId="1EFBB60C" w14:textId="77777777" w:rsidR="00C755A0" w:rsidRDefault="00C755A0" w:rsidP="00C755A0">
      <w:r>
        <w:t>In this cohort of adults diagnosed with CRC between 1995 and 2004, CD score predicted disease-specific survival and the effect was stronger when CD was measured at diagnosis. No measure of CD score was associated with disease stage. No additional information was added to either analysis by considering CD exposure at 10 years before diagnosis.</w:t>
      </w:r>
    </w:p>
    <w:p w14:paraId="3983B391" w14:textId="77777777" w:rsidR="00C755A0" w:rsidRDefault="00C755A0" w:rsidP="00C755A0">
      <w:r>
        <w:t>Since lagged CD score did not predict disease stage, its association with survival is most likely due to its strong correlation with CD score at diagnosis, rather than because it represents a meaningful measure of historical exposure. In post hoc analysis, the correlation between contemporary and 10-year lagged CD score was 0.91 (p &lt;0.001).</w:t>
      </w:r>
    </w:p>
    <w:p w14:paraId="0C8C86EA" w14:textId="246DE1D4" w:rsidR="00C755A0" w:rsidRDefault="00C755A0" w:rsidP="00C755A0">
      <w:r>
        <w:t xml:space="preserve">Because neither historical nor contemporary CD was associated with stage at diagnosis, stage likely does not mediate the relationship between neighborhood CD—measured at any time—and survival outcomes. </w:t>
      </w:r>
      <w:r w:rsidR="009077BF">
        <w:t xml:space="preserve">This finding was not sensitive to the inclusion or exclusion of cases with missing stage data. </w:t>
      </w:r>
      <w:r>
        <w:t xml:space="preserve">These results suggest that neighborhood conditions influence survival probability through a mechanism independent of anatomic spread, and that this effect occurs primarily around or after the time of diagnosis. The most obvious mechanism by which neighborhood conditions could influence survival but not stage at diagnosis is through the timely and consistent receipt of appropriate cancer-directed treatment. There is an extensive literature documenting that Black and white people with cancer experience similar survival outcomes when they are provided equivalent cancer-directed treatment </w:t>
      </w:r>
      <w:r>
        <w:fldChar w:fldCharType="begin"/>
      </w:r>
      <w:r w:rsidR="00770B11">
        <w:instrText xml:space="preserve"> ADDIN ZOTERO_ITEM CSL_CITATION {"citationID":"TR3F80m6","properties":{"formattedCitation":"(85,99)","plainCitation":"(85,99)","noteIndex":0},"citationItems":[{"id":3199,"uris":["http://zotero.org/users/1353333/items/C5SR7BDF"],"itemData":{"id":3199,"type":"article-journal","abstract":"BACKGROUND: Previous studies have demonstrated that African-Americans with colon cancer have worse overall and stage-specific survival rates than Caucasians. Such differences could reflect variation in access to health care, in tumor biology, or in treatment efficacy. Little is known about potential differences in chemotherapy-related toxicities between African-Americans and Caucasians. In this study, we examined survival and toxic effects among African-American and Caucasian patients enrolled in a large, randomized phase III trial of adjuvant chemotherapy for resected colon cancer.\nMETHODS: We analyzed data on 3380 patients (344 African-Americans and 3036 Caucasians) enrolled in a randomized trial of adjuvant 5-fluorouracil-based chemotherapy in patients with stage II (high risk) and stage III colon cancer to evaluate differences in outcomes and toxicity. We compared disease-free survival (DFS) and overall survival (OS) between African-Americans and Caucasians by the Kaplan-Meier method, computed Cox proportional hazards by multivariable analysis, and compared treatment-related toxicity rates by Fisher's exact test. All statistical tests were two-sided.\nRESULTS: We found no differences in DFS or OS between African-American and Caucasian patients. Five-year DFS was 57% (95% confidence interval [CI] = 52% to 62%) for African-Americans and 58% (95% CI = 56% to 60%) for Caucasians (P =.15), and 5-year OS was 65% (95% CI = 60% to 70%) for African-Americans and 66% (95% CI = 64% to 68%) for Caucasians (P =.38). On multivariable analysis, no statistically significant difference in disease recurrence or death was detected between the racial/ethnic groups (hazard ratios for African-Americans versus Caucasians: disease recurrence = 1.1, 95% CI = 0.9 to 1.3; death = 1.1, 95% CI = 0.9 to 1.3). Treatment-related toxicity differed between the African-American and Caucasian patients, with African-Americans experiencing statistically significantly lower rates of diarrhea (P&lt;.001), nausea (P&lt;.001), vomiting (P =.01), stomatitis (P&lt;.001), and overall toxicity (P =.005).\nCONCLUSIONS: In this study of patients with similar access to health care resources and treatment with adjuvant chemotherapy, we found similar 5-year DFS and OS in African-Americans and Caucasians with stage II and III colon cancer. The two groups derived similar benefits from adjuvant chemotherapy. Moreover, African-Americans appeared to experience less treatment-related toxicity.","container-title":"Journal of the National Cancer Institute","DOI":"10.1093/jnci/94.15.1160","ISSN":"0027-8874","issue":"15","journalAbbreviation":"J Natl Cancer Inst","language":"eng","note":"PMID: 12165641","page":"1160-1167","source":"PubMed","title":"Outcomes and toxicity in african-american and caucasian patients in a randomized adjuvant chemotherapy trial for colon cancer","volume":"94","author":[{"family":"McCollum","given":"A. David"},{"family":"Catalano","given":"Paul J."},{"family":"Haller","given":"Daniel G."},{"family":"Mayer","given":"Robert J."},{"family":"Macdonald","given":"John S."},{"family":"Benson","given":"Al B."},{"family":"Fuchs","given":"Charles S."}],"issued":{"date-parts":[["2002",8,7]]}},"label":"page"},{"id":3174,"uris":["http://zotero.org/users/1353333/items/S8YT7I82"],"itemData":{"id":3174,"type":"article-journal","abstract":"PURPOSE: In 1990, fluorouracil (FU) plus levamisole for 1 year became standard adjuvant treatment for patients with high-risk stages II and III colon cancer. Intergroup (INT) 0089 assessed the relative contributions of leucovorin and levamisole in such patients.\nPATIENTS AND METHODS: From 1988 to 1992, 3,794 patients were randomly assigned. Experimental treatment consisted of one of three chemotherapy regimens: the low-dose leucovorin plus FU (Mayo Clinic; LDLV) regimen, the high-dose leucovorin plus FU (Roswell Park; HDLV) regimen, and the low-dose leucovorin plus levamisole plus FU (LDLV plus LEV) regimen, each administered for 30 to 32 weeks. The control arm was levamisole plus FU (LEV) for 1 year.\nRESULTS: After a median follow-up of 10 years, of 3,561 eligible patients, 1,691 (47%) have died and 1,330 (37%) have experienced disease recurrence; 137 (10%) of those experiencing recurrence are still alive. A total of 481 patients (13%) died without evidence of recurrence, and 1,723 (48%) are alive and disease free. Although there were toxicity differences among the four arms, none was statistically superior in disease-free or overall survival.\nCONCLUSION: The 6- to 8-month regimens of LDLV and HDLV without levamisole used in this trial, rather than the previous standard regimen of 12 months of LEV, have become widely used. INT-0089 has long-term follow-up of the largest clinical trial of patients with high-risk colon cancer, documenting not only the durability of the treatment effects, but also the natural history of patients with high-risk colon cancer, and analyses of treatment based on age, race, and comorbid conditions such as obesity, diabetes, and second primary cancers.","container-title":"Journal of Clinical Oncology: Official Journal of the American Society of Clinical Oncology","DOI":"10.1200/JCO.2004.00.5686","ISSN":"0732-183X","issue":"34","journalAbbreviation":"J Clin Oncol","language":"eng","note":"PMID: 16314627","page":"8671-8678","source":"PubMed","title":"Phase III study of fluorouracil, leucovorin, and levamisole in high-risk stage II and III colon cancer: final report of Intergroup 0089","title-short":"Phase III study of fluorouracil, leucovorin, and levamisole in high-risk stage II and III colon cancer","volume":"23","author":[{"family":"Haller","given":"Daniel G."},{"family":"Catalano","given":"Paul J."},{"family":"Macdonald","given":"John S."},{"family":"O'Rourke","given":"Mark A."},{"family":"Frontiera","given":"Michael S."},{"family":"Jackson","given":"Don V."},{"family":"Mayer","given":"Robert J."}],"issued":{"date-parts":[["2005",12,1]]}},"label":"page"}],"schema":"https://github.com/citation-style-language/schema/raw/master/csl-citation.json"} </w:instrText>
      </w:r>
      <w:r>
        <w:fldChar w:fldCharType="separate"/>
      </w:r>
      <w:r w:rsidR="00770B11" w:rsidRPr="00770B11">
        <w:t>(85,99)</w:t>
      </w:r>
      <w:r>
        <w:fldChar w:fldCharType="end"/>
      </w:r>
      <w:r>
        <w:t xml:space="preserve">. They also experience the same or similar outcomes when their treatment is provided in equal-access health systems, not only in CRC but in other cancer sites as well </w:t>
      </w:r>
      <w:r>
        <w:fldChar w:fldCharType="begin"/>
      </w:r>
      <w:r w:rsidR="00770B11">
        <w:instrText xml:space="preserve"> ADDIN ZOTERO_ITEM CSL_CITATION {"citationID":"lYxTn4FO","properties":{"formattedCitation":"(27\\uc0\\u8211{}32,86)","plainCitation":"(27–32,86)","noteIndex":0},"citationItems":[{"id":502,"uris":["http://zotero.org/users/1353333/items/DPFBD7SN"],"itemData":{"id":502,"type":"article-journal","abstract":"Background\nPopulation-based studies from Medicare and privately insured individuals have consistently identified lower rates of colorectal cancer-screening tests among African-American versus white individuals. The purpose of this study was to evaluate whether, at a Veterans Affairs (VA) medical center, similar racial/ethnic differences in colorectal cancer screening could be identified.\nMethods\nStudy participants were male veterans, aged ≥50, attending a general medicine clinic in a VA hospital, who had not had either a fecal occult blood test (FOBT) within the past year or a flexible sigmoidoscopy/colonoscopy within the past 5 years. Based on review of electronic medical records, rates of physician recommendation for FOBT, flexible sigmoidoscopy, or colonoscopy, and patient completion of these tests were obtained and compared by race/ethnicity.\nResults\nSixty percent of 1599 veterans had not undergone recent colorectal cancer screening. Physicians recommended colorectal screening tests equally among African-American and white patients (71.0% vs 68.2%, p=0.44). African-American patients were 1.3 times more likely than white patients to receive colorectal screening procedures (36.3% vs 28.9%, p=0.03).\nConclusions\nIn contrast to other settings, in a general medicine clinic at a VA hospital, rates of colorectal cancer-screening tests were not lower for African-American patients compared to white patients.","container-title":"American Journal of Preventive Medicine","DOI":"10.1016/j.amepre.2005.02.002","ISSN":"0749-3797","issue":"5","journalAbbreviation":"American Journal of Preventive Medicine","page":"479-482","source":"ScienceDirect","title":"Colorectal Cancer Screening Among African-American and White Male Veterans","volume":"28","author":[{"family":"Dolan","given":"Nancy C."},{"family":"Ferreira","given":"M. Rosario"},{"family":"Fitzgibbon","given":"Marian L."},{"family":"Davis","given":"Terry C."},{"family":"Rademaker","given":"Alfred W."},{"family":"Liu","given":"Dachao"},{"family":"Lee","given":"June"},{"family":"Wolf","given":"Michael"},{"family":"Schmitt","given":"Brian P."},{"family":"Bennett","given":"Charles L."}],"issued":{"date-parts":[["2005",6]]}},"label":"page"},{"id":505,"uris":["http://zotero.org/users/1353333/items/9ZXBM6UQ"],"itemData":{"id":505,"type":"article-journal","abstract":"BACKGROUND\nThe aim of this study was to assess the influence of race on the treatment and survival of patients with colorectal carcinoma.\nMETHODS\nThis retrospective cohort study included all white or black male veterans given a new diagnosis of colorectal carcinoma in 1989 at Veterans Affairs Medical Centers nationwide. After adjusting for patient demographics, comorbidity, distant metastases, and tumor location, the authors determined the likelihood of surgical resection, chemotherapy, radiation therapy, and death in each case.\nRESULTS\nOf the 3176 veterans identified, 569 (17.9%) were black. Bivariate analyses and logistic regression revealed no significant differences in the proportions of patients undergoing surgical resection (70% vs. 73%, odds ratio 0.92, 95% confidence interval 0.74-1.15), chemotherapy (23% vs. 23%, odds ratio 0.99, 95% confidence interval 0.78-1.24), or radiation therapy (17% vs. 16%, odds ratio 1.10, 95% confidence interval 0.85-1.43) for black versus white patients. Five-year relative survival rates were similar for black and white patients (42% vs. 39%, respectively; P = 0.16), though the adjusted mortality risk ratio was modestly increased (risk ratio 1.13, 95% confidence interval 1.01-1.28).\nCONCLUSIONS\nOverall, race was not associated with the use of surgery, chemotherapy, or radiation therapy in the treatment of colorectal carcinoma among veterans seeking health care at Veterans Affairs Medical Centers. Although mortality from all causes was higher among black veterans with colorectal carcinoma, this finding may be attributed to underlying racial differences associated with survival. This study suggests that when there is equal access to care, there are no differences with regard to race.  Cancer 1998;82:2312-2320. © 1998 American Cancer Society.","container-title":"Cancer","DOI":"10.1002/(SICI)1097-0142(19980615)82:12&lt;2312::AID-CNCR3&gt;3.0.CO;2-U","ISSN":"1097-0142","issue":"12","journalAbbreviation":"Cancer","language":"en","license":"Copyright © 1998 American Cancer Society","page":"2312-2320","source":"Wiley Online Library","title":"Race, treatment, and survival among colorectal carcinoma patients in an equal-access medical system","volume":"82","author":[{"family":"Dominitz","given":"Jason A."},{"family":"Samsa","given":"Gregory P."},{"family":"Landsman","given":"Pamela"},{"family":"Provenzale","given":"Dawn"}],"issued":{"date-parts":[["1998",6,15]]}},"label":"page"},{"id":574,"uris":["http://zotero.org/users/1353333/items/GE6PQG5U"],"itemData":{"id":574,"type":"article-journal","abstract":"Background\nEthnicity is implicated as a factor for disparate outcomes in colorectal cancer. We sought to evaluate this relationship at a military medical center organized to deliver equitable health care.\nMethods\nRetrospective analysis of colorectal cancer patients comparing demographics, grade, American Joint Committee on Cancer (AJCC) stage, and adjuvant therapy.\nResults\nFrom January 1994 to January 2004, 398 patients were treated with colorectal cancer (74 [19%] nonwhites). Comparatively, nonwhites were younger and had fewer stage II tumors with a increased proportion of stage III tumors (P &amp;lt; .01). With a median follow-up period of 52 (0–151) months, there were no disparities in surgical resection, adjuvant therapy, or disease recurrence. Kaplan-Meier analysis revealed no disparity in disease-free and cancer-specific survival (P = .585 and P = .132); Cox regression revealed increased age and AJCC stage III as the only independent predictors of lower survival (P &amp;lt; .05).\nConclusions\nEthnicity was associated with differences in age and AJCC stage at presentation. In an equitable health care system, these differences did not impact patients' treatment or survival.","container-title":"The American Journal of Surgery","DOI":"10.1016/j.amjsurg.2008.01.017","ISSN":"0002-9610","issue":"4","journalAbbreviation":"The American Journal of Surgery","page":"485-490","source":"ScienceDirect","title":"Race does not impact colorectal cancer treatment or outcomes with equal access","volume":"197","author":[{"family":"Hassan","given":"Monique O."},{"family":"Arthurs","given":"Zachary"},{"family":"Sohn","given":"Vance Y."},{"family":"Steele","given":"Scott R."}],"issued":{"date-parts":[["2009",4]]}},"label":"page"},{"id":744,"uris":["http://zotero.org/users/1353333/items/N8XH3KEU"],"itemData":{"id":744,"type":"article-journal","abstract":"Background\nIn the general US population, blacks and whites have been shown to undergo colon cancer treatment at disproportionate rates. Accessibility to medical care may be the most important factor influencing differences in colon cancer treatment among whites and blacks.\n\nObjective\nThis study assessed whether racial disparities in colon cancer surgery and chemotherapy existed in an equal-access healthcare system. Additionally, we sought to examine whether racial differences varied by demographic and tumor characteristics.\n\nDesign and Setting\nDatabase research using the United States Department of Defense’s (DoD) Military Health System.\n\nPatients\nPatients included 2,560 Non-Hispanic Whites (NHW) and Non-Hispanic Blacks (NHB) with colon cancer diagnosed from 1998 to 2007.\n\nMain Outcome Measures\nLogistic regression was used to assess the associations between race and the receipt of colon cancer surgery or chemotherapy, while controlling for available potential confounders, both overall and stratified by age at diagnosis, sex, and tumor stage.\n\nResults\nAfter multivariate adjustment, the odds of receiving colon cancer surgery or chemotherapy NHBs versus NHWs were similar (OR: 0.75, 95% CI: 0.37–1.53; OR: 0.79, 95% CI: 0.59–1.04; respectively). Additionally, no effect modification by age at diagnosis, sex, and tumor stage were observed.\n\nLimitations\nTreatment data might not be complete for beneficiaries who also had non-DoD health insurance.\n\nConclusions\nWhen access to medical care is equal, racial disparities in the provision of colon cancer surgery and chemotherapy were not apparent. Thus, it is possible that the inequalities in access to care play a major role in the racial disparities seen in colon cancer treatment in the general population.","container-title":"Diseases of the colon and rectum","DOI":"10.1097/DCR.0000000000000177","ISSN":"0012-3706","issue":"9","journalAbbreviation":"Dis Colon Rectum","note":"PMID: 25101601\nPMCID: PMC4126203","page":"1059-1065","source":"PubMed Central","title":"Colon cancer treatment: Are there racial disparities in an equal-access healthcare system?","title-short":"Colon cancer treatment","volume":"57","author":[{"family":"Gill","given":"Abegail A."},{"family":"Enewold","given":"Lindsey"},{"family":"Zahm","given":"Shelia H."},{"family":"Shriver","given":"Craig D."},{"family":"Stojadinovic","given":"Alexander"},{"family":"McGlynn","given":"Katherine A."},{"family":"Zhu","given":"Kangmin"}],"issued":{"date-parts":[["2014",9]]}},"label":"page"},{"id":501,"uris":["http://zotero.org/users/1353333/items/TCAFIPVQ"],"itemData":{"id":501,"type":"article-journal","abstract":"OBJECTIVES: A recent analysis based on data from the Surveillance, Epidemiology, and End Results (SEER) Program of the National Cancer Institute indicates that no survival benefit occurred, for white or for black individuals, in colorectal cancer diagnosed during 1986-1997, and that blacks fared worse than whites. The objective of this research was to evaluate recent temporal trends in the survival of patients with colorectal cancer admitted to hospitals in the Veterans Affairs (VA) system, which offers equal access to care and facilitates systemwide implementation of prevention and treatment services.\nMETHODS: This research was a cohort study of patients admitted to all VA hospitals with a new diagnosis of colorectal cancer between October, 1987, and September, 1998, and followed through September, 2001. Temporal changes in observed 5-yr survival were evaluated for the periods 1987-1989, 1990-1992, 1993-1995, and 1996-1998. Cumulative survival was obtained from Kaplan-Meier estimates, whereas adjusted risk of death was calculated using a Cox proportional hazards model. Adjustment was made for differences in patient characteristics, including comorbidity.\nRESULTS: We identified 46,044 individuals with colorectal cancer in VA hospitals during 1987-1998, 98.5% of whom were men. The mean age was 67.7 yr, and the two largest racial/ethnic groups were whites (76.5%) and blacks (17.1%). Significant differences in survival were seen over time (p &lt; 0.001, log rank test) with longer survival in patients diagnosed in the more recent time periods. In the multivariable Cox model, survival showed an 18% increase over time (1987-1998) after adjusting for differences in age, race, comorbidity, cancer site, and extent of disease. There was a small but statistically significant decrease in chance of survival in blacks compared with whites (adjusted relative survival 0.96, 95% CI = 0.92-0.99).\nCONCLUSIONS: Recent non-VA studies have shown stable survival for colorectal cancer patients over time, coupled with significantly decreased survival for blacks compared with whites. In contrast, in the VA system, survival has improved for both white and black patients; in addition, the racial discrepancy in survival is markedly attenuated. These results suggest that the benefits of prevention and treatment advances may be more readily achieved in the VA's equal access, integrated health care system.","container-title":"The American Journal of Gastroenterology","DOI":"10.1111/j.1572-0241.2003.07448.x","ISSN":"0002-9270","issue":"5","journalAbbreviation":"Am. J. Gastroenterol.","language":"eng","note":"PMID: 12809847","page":"1186-1192","source":"PubMed","title":"Survival of colorectal cancer patients hospitalized in the Veterans Affairs Health Care System","volume":"98","author":[{"family":"Rabeneck","given":"Linda"},{"family":"Souchek","given":"Julianne"},{"family":"El-Serag","given":"Hashem B."}],"issued":{"date-parts":[["2003",5]]}},"label":"page"},{"id":259,"uris":["http://zotero.org/users/1353333/items/QGEV6PCU"],"itemData":{"id":259,"type":"article-journal","container-title":"Annals of Surgical Oncology","DOI":"10.1245/s10434-013-3130-3","ISSN":"1068-9265, 1534-4681","issue":"13","language":"en","page":"4073-4079","source":"CrossRef","title":"Race Does Not Impact Pancreatic Cancer Treatment and Survival in an Equal Access Federal Health Care System","volume":"20","author":[{"family":"Lee","given":"Sukhyung"},{"family":"Reha","given":"Jeffrey L."},{"family":"Tzeng","given":"Ching-Wei D."},{"family":"Massarweh","given":"Nader N."},{"family":"Chang","given":"George J."},{"family":"Hetz","given":"Stephen P."},{"family":"Fleming","given":"Jason B."},{"family":"Lee","given":"Jeffrey E."},{"family":"Katz","given":"Matthew H."}],"issued":{"date-parts":[["2013",12]]}},"label":"page"},{"id":3168,"uris":["http://zotero.org/users/1353333/items/JQA5BNUD"],"itemData":{"id":3168,"type":"article-journal","abstract":"Non-Hispanic black (NHB) adults with cancer may have longer time-to-treatment than non-Hispanic whites (NHW) in the United States. Unequal access to medical care may partially account for this racial disparity. This study aimed to investigate whether there were racial differences in time-to-treatment and in treatment delays for patients diagnosed with colon cancer in the equal-access Military Health System (MHS).Patients age 18–79 years diagnosed with colon adenocarcinoma between January 1, 1998, and December 31, 2014, were identified in the Department of Defense Central Cancer Registry and the MHS Data Repository–linked databases. Median time-to-treatment (surgery and chemotherapy) and 95% confidence intervals were compared between NHBs and NHWs in multivariable quantile regression models. Odds ratios and 95% confidence intervals of receiving delayed treatment defined by guidelines for NHBs relative to NHWs were estimated using multivariable logistic regression.Patients (n = 3067) had a mean age at diagnosis of 58.4 (12.2) years and the racial distribution was 76.7% NHW and 23.3% NHB. Median adjusted time-to-treatment was similar for NHB compared to NHW patients. The likelihood of receiving delayed treatment was similar between NHB and NHW patients.In the MHS, there was no evidence of treatment delays for NHBs compared to NHWs, suggesting the role of equal access to medical care and insurance coverage in reducing racial disparities in colon cancer treatment.","container-title":"JNCI: Journal of the National Cancer Institute","DOI":"10.1093/jnci/djz135","ISSN":"0027-8874","issue":"4","journalAbbreviation":"JNCI: Journal of the National Cancer Institute","page":"410-417","source":"Silverchair","title":"Racial Comparisons in Timeliness of Colon Cancer Treatment in an Equal-Access Health System","volume":"112","author":[{"family":"Eaglehouse","given":"Yvonne L"},{"family":"Georg","given":"Matthew W"},{"family":"Shriver","given":"Craig D"},{"family":"Zhu","given":"Kangmin"}],"issued":{"date-parts":[["2020",4,1]]}},"label":"page"}],"schema":"https://github.com/citation-style-language/schema/raw/master/csl-citation.json"} </w:instrText>
      </w:r>
      <w:r>
        <w:fldChar w:fldCharType="separate"/>
      </w:r>
      <w:r w:rsidR="00770B11" w:rsidRPr="00770B11">
        <w:rPr>
          <w:rFonts w:cs="Times New Roman"/>
          <w:szCs w:val="24"/>
        </w:rPr>
        <w:t>(27–32,86)</w:t>
      </w:r>
      <w:r>
        <w:fldChar w:fldCharType="end"/>
      </w:r>
      <w:r>
        <w:t>.</w:t>
      </w:r>
    </w:p>
    <w:p w14:paraId="3332268A" w14:textId="6F9A8796" w:rsidR="004B3933" w:rsidRDefault="00C755A0" w:rsidP="00C755A0">
      <w:r>
        <w:t xml:space="preserve">These results are consistent with prior work demonstrating that commercial residential history data, while “reasonably accurate and complete” </w:t>
      </w:r>
      <w:r>
        <w:fldChar w:fldCharType="begin"/>
      </w:r>
      <w:r w:rsidR="006502FC">
        <w:instrText xml:space="preserve"> ADDIN ZOTERO_ITEM CSL_CITATION {"citationID":"ExPpynOH","properties":{"formattedCitation":"(51)","plainCitation":"(51)","noteIndex":0},"citationItems":[{"id":1213,"uris":["http://zotero.org/users/1353333/items/BMKQHEF8"],"itemData":{"id":1213,"type":"report","event-place":"Rockville, MD","language":"en","publisher":"Westat, Inc.","publisher-place":"Rockville, MD","source":"Zotero","title":"NCI/SEER Residential History Project Technical Report","URL":"https://www.westat.com/tools-for-using-commercial-sources-of-residential-histories-for-cancer-research/","author":[{"family":"Stinchcomb","given":"Dave G."},{"family":"Roeser","given":"Allison"}],"issued":{"date-parts":[["2016"]]}}}],"schema":"https://github.com/citation-style-language/schema/raw/master/csl-citation.json"} </w:instrText>
      </w:r>
      <w:r>
        <w:fldChar w:fldCharType="separate"/>
      </w:r>
      <w:r w:rsidR="00321573" w:rsidRPr="00321573">
        <w:t>(51)</w:t>
      </w:r>
      <w:r>
        <w:fldChar w:fldCharType="end"/>
      </w:r>
      <w:r>
        <w:t xml:space="preserve"> compared to self-reports, has the potential to introduce selection and information bias into epidemiologic studies </w:t>
      </w:r>
      <w:r>
        <w:fldChar w:fldCharType="begin"/>
      </w:r>
      <w:r w:rsidR="00A9340A">
        <w:instrText xml:space="preserve"> ADDIN ZOTERO_ITEM CSL_CITATION {"citationID":"OgtQLMVe","properties":{"formattedCitation":"(68)","plainCitation":"(68)","noteIndex":0},"citationItems":[{"id":1162,"uris":["http://zotero.org/users/1353333/items/N8VTLK6H"],"itemData":{"id":1162,"type":"article-journal","abstract":"Purpose\nThis study examined potential sources of selection and information biases when using residence history information from a commercial database to construct residential histories for cancer research.\nMethods\nWe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mortality.\nResults\nRacial/ethnic minorities were less likely to match to vendor residence data compared with non-Hispanic whites (odd ratios [95% confidence intervals (CIs)] for non-Hispanic blacks, Hispanics, and Asian/Pacific Islander were 1.66 [1.30, 2.12], 2.92 [2.18, 3.90], and 4.53 [2.72, 7.55], respectively). Being non-Hispanic black was negatively associated with years of residential history (vs. non-Hispanic whites, β coefficient [95% CI] = −2.57 [−3.40, −1.73]). Not matching to residence data was associated with an increased 5-year odds of death from any cause (vs. matched subjects, odd ratios [95% CI] = 5.92 [4.29, 8.50]).\nConclusions\nDifferential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Epidemiology","language":"en","page":"35-40.e1","source":"ScienceDirect","title":"Sources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Y."},{"family":"Basu","given":"Sanjib"},{"family":"Kwan","given":"Mei-Po"}],"issued":{"date-parts":[["2020",11,1]]}}}],"schema":"https://github.com/citation-style-language/schema/raw/master/csl-citation.json"} </w:instrText>
      </w:r>
      <w:r>
        <w:fldChar w:fldCharType="separate"/>
      </w:r>
      <w:r w:rsidR="00A9340A" w:rsidRPr="00A9340A">
        <w:t>(68)</w:t>
      </w:r>
      <w:r>
        <w:fldChar w:fldCharType="end"/>
      </w:r>
      <w:r>
        <w:t xml:space="preserve">. Commercial residential histories are assembled through public records including large federal databases, state </w:t>
      </w:r>
      <w:r>
        <w:lastRenderedPageBreak/>
        <w:t xml:space="preserve">and local records, and credit reporting data </w:t>
      </w:r>
      <w:r>
        <w:fldChar w:fldCharType="begin"/>
      </w:r>
      <w:r w:rsidR="00A9340A">
        <w:instrText xml:space="preserve"> ADDIN ZOTERO_ITEM CSL_CITATION {"citationID":"7bhG1ko3","properties":{"formattedCitation":"(56)","plainCitation":"(56)","noteIndex":0},"citationItems":[{"id":3634,"uris":["http://zotero.org/users/1353333/items/2C2LPKHK"],"itemData":{"id":3634,"type":"webpage","abstract":"Government fraud solution, Accurint for Government, is an investigative solution that helps locate people, detect fraud, uncover assets &amp; verify identity.","container-title":"LexisNexis Risk Solutions","language":"en-US","title":"Accurint® for Government","URL":"https://risk.lexisnexis.com/products/accurint-for-government","accessed":{"date-parts":[["2023",9,2]]}}}],"schema":"https://github.com/citation-style-language/schema/raw/master/csl-citation.json"} </w:instrText>
      </w:r>
      <w:r>
        <w:fldChar w:fldCharType="separate"/>
      </w:r>
      <w:r w:rsidR="00A9340A" w:rsidRPr="00A9340A">
        <w:t>(56)</w:t>
      </w:r>
      <w:r>
        <w:fldChar w:fldCharType="end"/>
      </w:r>
      <w:r>
        <w:t xml:space="preserve">. As a result, their completeness and accuracy may be affected by whether subjects have access to credit, own a home, whether they are registered to vote, or other characteristics that are known to vary by race, age, and sex. Credit histories, which rely on related data sources, are known to be less complete and accurate in Black and Hispanic people and in people who have low incomes or live in neighborhoods with lower average incomes </w:t>
      </w:r>
      <w:r>
        <w:fldChar w:fldCharType="begin"/>
      </w:r>
      <w:r w:rsidR="00F85975">
        <w:instrText xml:space="preserve"> ADDIN ZOTERO_ITEM CSL_CITATION {"citationID":"QvfriCiF","properties":{"formattedCitation":"(52)","plainCitation":"(52)","noteIndex":0},"citationItems":[{"id":100,"uris":["http://zotero.org/users/1353333/items/6SSMKWR3"],"itemData":{"id":100,"type":"report","publisher":"Racial Justice &amp; Equal Economic Opportunity Project, National Consumer Law Center","title":"Past Imperfect: How Credit Scores and Other Analytics “Bake In” and Perpetuate Past Discrimination","URL":"https://www.nclc.org/images/pdf/credit_discrimination/Past_Imperfect050616.pdf","accessed":{"date-parts":[["2020",1,24]]},"issued":{"date-parts":[["2016",5]]}}}],"schema":"https://github.com/citation-style-language/schema/raw/master/csl-citation.json"} </w:instrText>
      </w:r>
      <w:r>
        <w:fldChar w:fldCharType="separate"/>
      </w:r>
      <w:r w:rsidR="00321573" w:rsidRPr="00321573">
        <w:t>(52)</w:t>
      </w:r>
      <w:r>
        <w:fldChar w:fldCharType="end"/>
      </w:r>
      <w:r>
        <w:t xml:space="preserve">. When we evaluated the completeness and accuracy of residential histories among people diagnosed with several cancers at UI Health between 2005 and 2016, we found that failure to match in the LexisNexis database was more common for people of any race or ethnicity other than non-Hispanic white, as well as for people who had died </w:t>
      </w:r>
      <w:r>
        <w:fldChar w:fldCharType="begin"/>
      </w:r>
      <w:r w:rsidR="00A9340A">
        <w:instrText xml:space="preserve"> ADDIN ZOTERO_ITEM CSL_CITATION {"citationID":"ZuONFcxv","properties":{"formattedCitation":"(68)","plainCitation":"(68)","noteIndex":0},"citationItems":[{"id":1162,"uris":["http://zotero.org/users/1353333/items/N8VTLK6H"],"itemData":{"id":1162,"type":"article-journal","abstract":"Purpose\nThis study examined potential sources of selection and information biases when using residence history information from a commercial database to construct residential histories for cancer research.\nMethods\nWe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mortality.\nResults\nRacial/ethnic minorities were less likely to match to vendor residence data compared with non-Hispanic whites (odd ratios [95% confidence intervals (CIs)] for non-Hispanic blacks, Hispanics, and Asian/Pacific Islander were 1.66 [1.30, 2.12], 2.92 [2.18, 3.90], and 4.53 [2.72, 7.55], respectively). Being non-Hispanic black was negatively associated with years of residential history (vs. non-Hispanic whites, β coefficient [95% CI] = −2.57 [−3.40, −1.73]). Not matching to residence data was associated with an increased 5-year odds of death from any cause (vs. matched subjects, odd ratios [95% CI] = 5.92 [4.29, 8.50]).\nConclusions\nDifferential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Epidemiology","language":"en","page":"35-40.e1","source":"ScienceDirect","title":"Sources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Y."},{"family":"Basu","given":"Sanjib"},{"family":"Kwan","given":"Mei-Po"}],"issued":{"date-parts":[["2020",11,1]]}}}],"schema":"https://github.com/citation-style-language/schema/raw/master/csl-citation.json"} </w:instrText>
      </w:r>
      <w:r>
        <w:fldChar w:fldCharType="separate"/>
      </w:r>
      <w:r w:rsidR="00A9340A" w:rsidRPr="00A9340A">
        <w:t>(68)</w:t>
      </w:r>
      <w:r>
        <w:fldChar w:fldCharType="end"/>
      </w:r>
      <w:r>
        <w:t>. Data loss related to this bias is cumulative and difficult to fully assess</w:t>
      </w:r>
      <w:r w:rsidR="00CE0C16">
        <w:t>.</w:t>
      </w:r>
      <w:r>
        <w:t xml:space="preserve"> </w:t>
      </w:r>
      <w:r w:rsidR="00CE0C16">
        <w:t>S</w:t>
      </w:r>
      <w:r>
        <w:t xml:space="preserve">ubjects may have some missing or unmatched addresses, resulting in study inclusion with less complete and accurate residential history data, or may have no matched addresses, potentially resulting in complete exclusion. When the study design requires data on historical exposures, as this one did, use of commercial address data may result in systematic exclusion of non-white, deceased, or lower-income subjects. This may explain why there was no difference in risk of death by race observed in this sample, an unexpected finding given the context. Available surveillance data show that CRC mortality was significantly higher in Black people as compared to whites since at least 2000 in Chicago, and since at least 1979 in Illinois </w:t>
      </w:r>
      <w:r>
        <w:fldChar w:fldCharType="begin"/>
      </w:r>
      <w:r w:rsidR="00770B11">
        <w:instrText xml:space="preserve"> ADDIN ZOTERO_ITEM CSL_CITATION {"citationID":"Nz1GZdPH","properties":{"formattedCitation":"(100\\uc0\\u8211{}102)","plainCitation":"(100–102)","noteIndex":0},"citationItems":[{"id":3632,"uris":["http://zotero.org/users/1353333/items/F8IZWRBV"],"itemData":{"id":3632,"type":"webpage","title":"Colorectal cancer mortality rate - Chicago Health Atlas","URL":"https://chicagohealthatlas.org/indicators/VRCRR?topic=colorectal-cancer-mortality-rate","accessed":{"date-parts":[["2023",9,2]]}},"label":"page"},{"id":3637,"uris":["http://zotero.org/users/1353333/items/GGLLIMKV"],"itemData":{"id":3637,"type":"report","collection-title":"Epidemiologic Report Series","event-place":"Springfield, IL","number":"11:04","publisher":"Illinois Department of Public Health","publisher-place":"Springfield, IL","title":"Colorectal Cancer in Illinois: An Overview of Key Statistics","author":[{"family":"Garner","given":"Kyle"}],"issued":{"date-parts":[["2011",6]]}},"label":"page"},{"id":3639,"uris":["http://zotero.org/users/1353333/items/ZML9QN8M"],"itemData":{"id":3639,"type":"report","collection-title":"Epidemiologic Report Series","event-place":"Springfield, IL","number":"00:8","publisher":"Illinois Department of Public Health","publisher-place":"Springfield, IL","title":"Cancers of the Colon and Rectum: Evidence of Disparities between Blacks and Whites in Illinois","author":[{"family":"Dolececk","given":"Therese A."},{"family":"Shen","given":"Tiefu"}],"issued":{"date-parts":[["2000",12]]}},"label":"page"}],"schema":"https://github.com/citation-style-language/schema/raw/master/csl-citation.json"} </w:instrText>
      </w:r>
      <w:r>
        <w:fldChar w:fldCharType="separate"/>
      </w:r>
      <w:r w:rsidR="00770B11" w:rsidRPr="00770B11">
        <w:rPr>
          <w:rFonts w:cs="Times New Roman"/>
          <w:szCs w:val="24"/>
        </w:rPr>
        <w:t>(100–102)</w:t>
      </w:r>
      <w:r>
        <w:fldChar w:fldCharType="end"/>
      </w:r>
      <w:r>
        <w:t>.</w:t>
      </w:r>
    </w:p>
    <w:p w14:paraId="06206C32" w14:textId="1902AFC2" w:rsidR="00C755A0" w:rsidRDefault="009077BF" w:rsidP="00C755A0">
      <w:r>
        <w:t xml:space="preserve">An additional pitfall of this approach involved the use of historical disease data. The high percentage of cases with missing stage data, and the association between missing stage and year of diagnosis, strongly indicated </w:t>
      </w:r>
      <w:r w:rsidR="00D15B91">
        <w:t xml:space="preserve">a systemic problem with abstraction of disease data during the study period. Researchers interested in using residential histories should be aware that historical sources of case and exposure data may not meet currently accepted </w:t>
      </w:r>
      <w:r w:rsidR="00F340C5">
        <w:t>standards and</w:t>
      </w:r>
      <w:r w:rsidR="00D15B91">
        <w:t xml:space="preserve"> anticipate that the underlying information may be difficult to recover.</w:t>
      </w:r>
    </w:p>
    <w:p w14:paraId="24E35B96" w14:textId="66D45965" w:rsidR="00C755A0" w:rsidRDefault="00C755A0" w:rsidP="00C755A0">
      <w:r>
        <w:t xml:space="preserve">These results have important implications for cancer disparities research in light of this limitation. The hypothesis that past neighborhood conditions contribute to cancer inequities has </w:t>
      </w:r>
      <w:r>
        <w:lastRenderedPageBreak/>
        <w:t>strong theoretical support, in addition to the long latency periods associated with cancer and the evidence that present-day neighborhood conditions are associated with health outcomes. However, commercial public records databases may not be a viable source of information about these conditions. This study adds evidence that the dangers of selection and information bias associated with commercial residential histories are not only theoretical: studies that restrict their samples based on the availability of commercial data may reach misleading conclusions about the existence  of serious racial health inequities. In this exploratory study, nearly as many cases were excluded based on lack of commercial public records as were excluded based on age at diagnosis. At the relevant stage of selection, the exclusion of 158 non-matched cases represented 25.9% of the sample (see Figure 1). Among analyzable cases, past neighborhood CD was not related to cancer prognosis and was a weaker predictor of survival than contemporary neighborhood CD.</w:t>
      </w:r>
      <w:r w:rsidR="006B21F1">
        <w:t xml:space="preserve"> The association also weakened and became non-significant when CD score was measured more than 10 years before diagnosis, the typical latency period for CRC.</w:t>
      </w:r>
      <w:r>
        <w:t xml:space="preserve"> The strong correlation between neighborhood CD at diagnosis and at a 10-year lag supports the interpretation that, at least among people able to </w:t>
      </w:r>
      <w:r w:rsidR="00CE0C16">
        <w:t>be matched</w:t>
      </w:r>
      <w:r>
        <w:t xml:space="preserve"> in the LexisNexis database, no information was added by using residential histories to measure neighborhood socioeconomic conditions in the past.</w:t>
      </w:r>
    </w:p>
    <w:p w14:paraId="413D3D6B" w14:textId="77777777" w:rsidR="00C755A0" w:rsidRDefault="00C755A0" w:rsidP="00C755A0">
      <w:pPr>
        <w:pStyle w:val="Heading2"/>
        <w:ind w:left="0" w:firstLine="720"/>
      </w:pPr>
      <w:bookmarkStart w:id="227" w:name="_Toc145757075"/>
      <w:bookmarkStart w:id="228" w:name="_Toc145757312"/>
      <w:bookmarkStart w:id="229" w:name="_Toc145757519"/>
      <w:bookmarkStart w:id="230" w:name="_Toc148375794"/>
      <w:r>
        <w:t>Conclusion</w:t>
      </w:r>
      <w:bookmarkEnd w:id="227"/>
      <w:bookmarkEnd w:id="228"/>
      <w:bookmarkEnd w:id="229"/>
      <w:bookmarkEnd w:id="230"/>
    </w:p>
    <w:p w14:paraId="50D39F1D" w14:textId="656A06FD" w:rsidR="00F6420E" w:rsidRPr="00F6420E" w:rsidRDefault="00C755A0" w:rsidP="00C755A0">
      <w:r>
        <w:t>In this sample of Cook County, IL residents diagnosed with CRC between 1995 and 2004, neighborhood CD was associated with disease-specific survival but not with stage at diagnosis. Results are consistent with prior research demonstrating that neighborhood conditions at the time of cancer diagnosis predict disease-specific survival. However, no information was added by considering CD exposure in the past. Restricting study samples based on the availability of commercial residential history data may introduce selection bias into epidemiologic studies, distorting conclusions related to racial and socioeconomic inequities.</w:t>
      </w:r>
      <w:r w:rsidR="00DB5540">
        <w:t xml:space="preserve"> </w:t>
      </w:r>
    </w:p>
    <w:bookmarkEnd w:id="180"/>
    <w:p w14:paraId="3BE66F9B" w14:textId="1405BBC9" w:rsidR="00774924" w:rsidRDefault="00774924">
      <w:r>
        <w:br w:type="page"/>
      </w:r>
    </w:p>
    <w:p w14:paraId="72D59ACA" w14:textId="3FD07A09" w:rsidR="00F6420E" w:rsidRDefault="00F6420E">
      <w:pPr>
        <w:sectPr w:rsidR="00F6420E" w:rsidSect="00C270FD">
          <w:pgSz w:w="12240" w:h="15840"/>
          <w:pgMar w:top="1440" w:right="1440" w:bottom="1440" w:left="1440" w:header="720" w:footer="720" w:gutter="0"/>
          <w:cols w:space="720"/>
          <w:docGrid w:linePitch="360"/>
        </w:sectPr>
      </w:pPr>
    </w:p>
    <w:p w14:paraId="57AC2116" w14:textId="320C41DA" w:rsidR="00126349" w:rsidRDefault="00774924" w:rsidP="00774924">
      <w:pPr>
        <w:pStyle w:val="Heading1"/>
      </w:pPr>
      <w:bookmarkStart w:id="231" w:name="_Toc145757076"/>
      <w:bookmarkStart w:id="232" w:name="_Toc145757313"/>
      <w:bookmarkStart w:id="233" w:name="_Toc145757520"/>
      <w:bookmarkStart w:id="234" w:name="_Toc145771909"/>
      <w:bookmarkStart w:id="235" w:name="_Toc148375795"/>
      <w:r>
        <w:lastRenderedPageBreak/>
        <w:t>Conclusion</w:t>
      </w:r>
      <w:bookmarkEnd w:id="231"/>
      <w:bookmarkEnd w:id="232"/>
      <w:bookmarkEnd w:id="233"/>
      <w:bookmarkEnd w:id="234"/>
      <w:bookmarkEnd w:id="235"/>
    </w:p>
    <w:p w14:paraId="1B470B55" w14:textId="1406E33B" w:rsidR="00774924" w:rsidRDefault="00896B01" w:rsidP="00896B01">
      <w:pPr>
        <w:pStyle w:val="Heading2"/>
        <w:numPr>
          <w:ilvl w:val="0"/>
          <w:numId w:val="15"/>
        </w:numPr>
      </w:pPr>
      <w:bookmarkStart w:id="236" w:name="_Toc145757077"/>
      <w:bookmarkStart w:id="237" w:name="_Toc145757314"/>
      <w:bookmarkStart w:id="238" w:name="_Toc145757521"/>
      <w:bookmarkStart w:id="239" w:name="_Toc148375796"/>
      <w:r>
        <w:t>Summary of Findings</w:t>
      </w:r>
      <w:bookmarkEnd w:id="236"/>
      <w:bookmarkEnd w:id="237"/>
      <w:bookmarkEnd w:id="238"/>
      <w:bookmarkEnd w:id="239"/>
    </w:p>
    <w:p w14:paraId="7A4F5A3E" w14:textId="77777777" w:rsidR="000512BE" w:rsidRDefault="000512BE" w:rsidP="000512BE">
      <w:r>
        <w:t>The objective of this exploratory study was to evaluate the relationship between neighborhood disadvantage, experienced across the life course, and cancer outcomes. This study aimed to incorporate alternatives to commercial data into cancer disparities research using residential histories (Aim 1); explore the relationship between past and contemporary neighborhood environments in influencing cancer outcomes (Aim 2); and evaluate the association between past neighborhood conditions and cancer prognosis (Aim 3). The source of case and residential history data—the PSID for Aims 1-2 and a hospital tumor registry augmented by commercial public records data for Aim 3—were selected to balance one another’s strengths and weaknesses, potentially allowing a more holistic picture of neighborhood conditions and cancer inequities to emerge. In planning this study, we selected or created uniform sources of exposure and outcome data to be used for each aim: a tract-level CD score measure using harmonized Census estimates from the LTDB, and cancer-specific mortality from NDI. The condition of interest for Aim 3 was restricted to CRC. In the PSID sample used for Aims 1-2, additional cancer sites (prostate, breast, and lung) were studied.</w:t>
      </w:r>
    </w:p>
    <w:p w14:paraId="5013BE1A" w14:textId="5145F6F5" w:rsidR="00896B01" w:rsidRDefault="000512BE" w:rsidP="000512BE">
      <w:r>
        <w:t xml:space="preserve">Neighborhood CD score measured in the past did not provide meaningful information about survival after a cancer diagnosis in either sample. In the PSID sample, there was no association between CD score and all-cause survival, and this was true regardless of the time at which CD score was measured. In the tumor registry sample, in line with prior research, CD score did predict CRC-specific survival. However, the association was strongest when CD score was measured around the time of diagnosis. Because past and contemporary CD scores were strongly correlated, and because past CD score did not predict stage at diagnosis, this analysis provided no evidence that past exposure to neighborhood disadvantage exerts an independent effect on cancer outcomes. Results </w:t>
      </w:r>
      <w:r>
        <w:lastRenderedPageBreak/>
        <w:t>and lessons learned from the research process are relevant to social epidemiologists with an interest in residential histories or in using social surveys to investigate causes of health inequities.</w:t>
      </w:r>
    </w:p>
    <w:p w14:paraId="7D2339D6" w14:textId="7C525AE9" w:rsidR="0097227E" w:rsidRDefault="0097227E" w:rsidP="0097227E">
      <w:pPr>
        <w:pStyle w:val="Heading2"/>
      </w:pPr>
      <w:bookmarkStart w:id="240" w:name="_Toc145757078"/>
      <w:bookmarkStart w:id="241" w:name="_Toc145757315"/>
      <w:bookmarkStart w:id="242" w:name="_Toc145757522"/>
      <w:bookmarkStart w:id="243" w:name="_Toc148375797"/>
      <w:r>
        <w:t>Comparison of Data and Results</w:t>
      </w:r>
      <w:bookmarkEnd w:id="240"/>
      <w:bookmarkEnd w:id="241"/>
      <w:bookmarkEnd w:id="242"/>
      <w:bookmarkEnd w:id="243"/>
    </w:p>
    <w:p w14:paraId="43AFDE70" w14:textId="23DEE427" w:rsidR="00BB7208" w:rsidRDefault="00B75174" w:rsidP="00B75174">
      <w:pPr>
        <w:pStyle w:val="Heading3"/>
        <w:numPr>
          <w:ilvl w:val="0"/>
          <w:numId w:val="16"/>
        </w:numPr>
      </w:pPr>
      <w:bookmarkStart w:id="244" w:name="_Toc145757079"/>
      <w:bookmarkStart w:id="245" w:name="_Toc145757316"/>
      <w:bookmarkStart w:id="246" w:name="_Toc145757523"/>
      <w:bookmarkStart w:id="247" w:name="_Toc148375798"/>
      <w:r>
        <w:t xml:space="preserve">Lack </w:t>
      </w:r>
      <w:r w:rsidR="00B31DBF">
        <w:t>of Observed Racial Disparities in Either Data Set</w:t>
      </w:r>
      <w:bookmarkEnd w:id="244"/>
      <w:bookmarkEnd w:id="245"/>
      <w:bookmarkEnd w:id="246"/>
      <w:bookmarkEnd w:id="247"/>
    </w:p>
    <w:p w14:paraId="5FCD85F3" w14:textId="0AE86D99" w:rsidR="008749FD" w:rsidRDefault="008749FD" w:rsidP="008749FD">
      <w:r>
        <w:t>In both study settings, there was no observed racial disparity in crude odds of death, raising the possibility of bias due to selection or attrition. Among PSID participants who reported a history of cancer between 2005 and 2019, white sample persons were non-significantly overrepresented among sample persons known to have died (p = 0.09). Among cases from the University of Illinois Hospital tumor registry with available residential history data, there were no meaningful or statistically significant differences in the racial distribution of deaths or censoring (p = 0.9).</w:t>
      </w:r>
    </w:p>
    <w:p w14:paraId="6A98B0C3" w14:textId="493CDCB6" w:rsidR="008749FD" w:rsidRDefault="008749FD" w:rsidP="008749FD">
      <w:r>
        <w:t xml:space="preserve">These descriptive findings are not consistent with relevant national or local trends. Nationally, Black people are burdened by excessive incidence and mortality in CRC and prostate cancer in both sexes </w:t>
      </w:r>
      <w:r>
        <w:fldChar w:fldCharType="begin"/>
      </w:r>
      <w:r w:rsidR="006502FC">
        <w:instrText xml:space="preserve"> ADDIN ZOTERO_ITEM CSL_CITATION {"citationID":"311txkVU","properties":{"formattedCitation":"(103,104)","plainCitation":"(103,104)","noteIndex":0},"citationItems":[{"id":3239,"uris":["http://zotero.org/users/1353333/items/8BVNDJV4"],"itemData":{"id":3239,"type":"report","event-place":"Atlanta, GA","language":"en","page":"48","publisher":"American Cancer Society","publisher-place":"Atlanta, GA","source":"Zotero","title":"Colorectal Cancer Facts &amp; Figures 2020-2022","URL":"https://www.cancer.org/research/cancer-facts-statistics.html","author":[{"literal":"American Cancer Society"}],"issued":{"date-parts":[["2020"]]}},"label":"page"},{"id":3370,"uris":["http://zotero.org/users/1353333/items/PWZ26VVX"],"itemData":{"id":3370,"type":"report","event-place":"Atlanta, GA","language":"en","publisher":"American Cancer Society","publisher-place":"Atlanta, GA","source":"Zotero","title":"Cancer Facts &amp; Figures 2023","URL":"https://www.cancer.org/content/dam/cancer-org/research/cancer-facts-and-statistics/annual-cancer-facts-and-figures/2023/2023-cancer-facts-and-figures.pdf","author":[{"literal":"American Cancer Society"}],"issued":{"date-parts":[["2023"]]}},"label":"page"}],"schema":"https://github.com/citation-style-language/schema/raw/master/csl-citation.json"} </w:instrText>
      </w:r>
      <w:r>
        <w:fldChar w:fldCharType="separate"/>
      </w:r>
      <w:r w:rsidR="00770B11" w:rsidRPr="00770B11">
        <w:t>(103,104)</w:t>
      </w:r>
      <w:r>
        <w:fldChar w:fldCharType="end"/>
      </w:r>
      <w:r>
        <w:t xml:space="preserve">; excessive mortality in breast cancer among women </w:t>
      </w:r>
      <w:r>
        <w:fldChar w:fldCharType="begin"/>
      </w:r>
      <w:r w:rsidR="006502FC">
        <w:instrText xml:space="preserve"> ADDIN ZOTERO_ITEM CSL_CITATION {"citationID":"CYSMRvOj","properties":{"formattedCitation":"(45)","plainCitation":"(45)","noteIndex":0},"citationItems":[{"id":71,"uris":["http://zotero.org/users/1353333/items/CEZE6UMY"],"itemData":{"id":71,"type":"report","event-place":"Atlanta, GA","language":"en","publisher":"American Cancer Society","publisher-place":"Atlanta, GA","source":"Zotero","title":"Breast Cancer Facts &amp; Figures 2019-2020","URL":"https://www.cancer.org/research/cancer-facts-statistics.html","author":[{"literal":"American Cancer Society"}],"issued":{"date-parts":[["2019"]]}}}],"schema":"https://github.com/citation-style-language/schema/raw/master/csl-citation.json"} </w:instrText>
      </w:r>
      <w:r>
        <w:fldChar w:fldCharType="separate"/>
      </w:r>
      <w:r w:rsidR="009A5CF8" w:rsidRPr="009A5CF8">
        <w:t>(45)</w:t>
      </w:r>
      <w:r>
        <w:fldChar w:fldCharType="end"/>
      </w:r>
      <w:r>
        <w:t xml:space="preserve">; and excessive incidence and mortality from lung and bronchus cancer in men </w:t>
      </w:r>
      <w:r>
        <w:fldChar w:fldCharType="begin"/>
      </w:r>
      <w:r w:rsidR="006502FC">
        <w:instrText xml:space="preserve"> ADDIN ZOTERO_ITEM CSL_CITATION {"citationID":"BUmGXcAu","properties":{"formattedCitation":"(104)","plainCitation":"(104)","noteIndex":0},"citationItems":[{"id":3370,"uris":["http://zotero.org/users/1353333/items/PWZ26VVX"],"itemData":{"id":3370,"type":"report","event-place":"Atlanta, GA","language":"en","publisher":"American Cancer Society","publisher-place":"Atlanta, GA","source":"Zotero","title":"Cancer Facts &amp; Figures 2023","URL":"https://www.cancer.org/content/dam/cancer-org/research/cancer-facts-and-statistics/annual-cancer-facts-and-figures/2023/2023-cancer-facts-and-figures.pdf","author":[{"literal":"American Cancer Society"}],"issued":{"date-parts":[["2023"]]}}}],"schema":"https://github.com/citation-style-language/schema/raw/master/csl-citation.json"} </w:instrText>
      </w:r>
      <w:r>
        <w:fldChar w:fldCharType="separate"/>
      </w:r>
      <w:r w:rsidR="00770B11" w:rsidRPr="00770B11">
        <w:t>(104)</w:t>
      </w:r>
      <w:r>
        <w:fldChar w:fldCharType="end"/>
      </w:r>
      <w:r>
        <w:t xml:space="preserve">. Data from the Illinois State Cancer Registry show that CRC mortality was significantly higher in Black people as compared to whites since at least 2000 in Chicago, and since at least 1979 in Illinois </w:t>
      </w:r>
      <w:r>
        <w:fldChar w:fldCharType="begin"/>
      </w:r>
      <w:r w:rsidR="00770B11">
        <w:instrText xml:space="preserve"> ADDIN ZOTERO_ITEM CSL_CITATION {"citationID":"WCrYDwss","properties":{"formattedCitation":"(100\\uc0\\u8211{}102)","plainCitation":"(100–102)","noteIndex":0},"citationItems":[{"id":3632,"uris":["http://zotero.org/users/1353333/items/F8IZWRBV"],"itemData":{"id":3632,"type":"webpage","title":"Colorectal cancer mortality rate - Chicago Health Atlas","URL":"https://chicagohealthatlas.org/indicators/VRCRR?topic=colorectal-cancer-mortality-rate","accessed":{"date-parts":[["2023",9,2]]}},"label":"page"},{"id":3637,"uris":["http://zotero.org/users/1353333/items/GGLLIMKV"],"itemData":{"id":3637,"type":"report","collection-title":"Epidemiologic Report Series","event-place":"Springfield, IL","number":"11:04","publisher":"Illinois Department of Public Health","publisher-place":"Springfield, IL","title":"Colorectal Cancer in Illinois: An Overview of Key Statistics","author":[{"family":"Garner","given":"Kyle"}],"issued":{"date-parts":[["2011",6]]}},"label":"page"},{"id":3639,"uris":["http://zotero.org/users/1353333/items/ZML9QN8M"],"itemData":{"id":3639,"type":"report","collection-title":"Epidemiologic Report Series","event-place":"Springfield, IL","number":"00:8","publisher":"Illinois Department of Public Health","publisher-place":"Springfield, IL","title":"Cancers of the Colon and Rectum: Evidence of Disparities between Blacks and Whites in Illinois","author":[{"family":"Dolececk","given":"Therese A."},{"family":"Shen","given":"Tiefu"}],"issued":{"date-parts":[["2000",12]]}},"label":"page"}],"schema":"https://github.com/citation-style-language/schema/raw/master/csl-citation.json"} </w:instrText>
      </w:r>
      <w:r>
        <w:fldChar w:fldCharType="separate"/>
      </w:r>
      <w:r w:rsidR="00770B11" w:rsidRPr="00770B11">
        <w:rPr>
          <w:rFonts w:cs="Times New Roman"/>
          <w:szCs w:val="24"/>
        </w:rPr>
        <w:t>(100–102)</w:t>
      </w:r>
      <w:r>
        <w:fldChar w:fldCharType="end"/>
      </w:r>
      <w:r>
        <w:t>.</w:t>
      </w:r>
    </w:p>
    <w:p w14:paraId="3DEE36D6" w14:textId="7FFB35F1" w:rsidR="008749FD" w:rsidRDefault="008749FD" w:rsidP="008749FD">
      <w:pPr>
        <w:pStyle w:val="Heading3"/>
      </w:pPr>
      <w:bookmarkStart w:id="248" w:name="_Toc145757080"/>
      <w:bookmarkStart w:id="249" w:name="_Toc145757317"/>
      <w:bookmarkStart w:id="250" w:name="_Toc145757524"/>
      <w:bookmarkStart w:id="251" w:name="_Toc148375799"/>
      <w:r>
        <w:t xml:space="preserve">Role </w:t>
      </w:r>
      <w:r w:rsidR="00B31DBF">
        <w:t>of Residential Histories in Producing Selection or Attrition Bias</w:t>
      </w:r>
      <w:bookmarkEnd w:id="248"/>
      <w:bookmarkEnd w:id="249"/>
      <w:bookmarkEnd w:id="250"/>
      <w:bookmarkEnd w:id="251"/>
    </w:p>
    <w:p w14:paraId="5D2BE6CE" w14:textId="1C0C584E" w:rsidR="009A5CF8" w:rsidRDefault="009A5CF8" w:rsidP="009A5CF8">
      <w:r>
        <w:t xml:space="preserve">Multiple prior studies have demonstrated that commercial residential history data are less complete and accurate in Black and Hispanic people </w:t>
      </w:r>
      <w:r>
        <w:fldChar w:fldCharType="begin"/>
      </w:r>
      <w:r w:rsidR="00A9340A">
        <w:instrText xml:space="preserve"> ADDIN ZOTERO_ITEM CSL_CITATION {"citationID":"QswZmfNv","properties":{"formattedCitation":"(50,68)","plainCitation":"(50,68)","noteIndex":0},"citationItems":[{"id":1162,"uris":["http://zotero.org/users/1353333/items/N8VTLK6H"],"itemData":{"id":1162,"type":"article-journal","abstract":"Purpose\nThis study examined potential sources of selection and information biases when using residence history information from a commercial database to construct residential histories for cancer research.\nMethods\nWe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mortality.\nResults\nRacial/ethnic minorities were less likely to match to vendor residence data compared with non-Hispanic whites (odd ratios [95% confidence intervals (CIs)] for non-Hispanic blacks, Hispanics, and Asian/Pacific Islander were 1.66 [1.30, 2.12], 2.92 [2.18, 3.90], and 4.53 [2.72, 7.55], respectively). Being non-Hispanic black was negatively associated with years of residential history (vs. non-Hispanic whites, β coefficient [95% CI] = −2.57 [−3.40, −1.73]). Not matching to residence data was associated with an increased 5-year odds of death from any cause (vs. matched subjects, odd ratios [95% CI] = 5.92 [4.29, 8.50]).\nConclusions\nDifferential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Epidemiology","language":"en","page":"35-40.e1","source":"ScienceDirect","title":"Sources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Y."},{"family":"Basu","given":"Sanjib"},{"family":"Kwan","given":"Mei-Po"}],"issued":{"date-parts":[["2020",11,1]]}},"label":"page"},{"id":56,"uris":["http://zotero.org/users/1353333/items/XGW2S22H"],"itemData":{"id":56,"type":"article-journal","abstract":"Large-scale environmental epidemiologic studies often rely on exposure estimates based on linkage to residential addresses. This approach, however, is limited by the lack of residential histories typically available for study participants. Our objective was to evaluate the feasibility of using address data from LexisNexis (a division of RELX, Inc., Dayton, Ohio), a commercially available credit reporting company, to construct residential histories for participants in the California Teachers Study (CTS), a prospective cohort study initiated in 1995–1996 to study breast cancer (n = 133,479). We evaluated the degree to which LexisNexis could provide retrospective addresses prior to study enrollment, as well as the concordance with existing prospective CTS addresses ascertained at the time of the completion of 4 self-administered questionnaires. For approximately 80% of CTS participants, LexisNexis provided at least 1 retrospective address, including nearly 25,000 addresses completely encompassed by time periods prior to enrollment. This approach more than doubled the proportion of the study population for whom we had an address of residence during the childbearing years—an important window of susceptibility for breast cancer risk. While overall concordance between the prospective addresses contained in these 2 data sources was good (85%), it was diminished among black women and women under the age of 40 years.","container-title":"American Journal of Epidemiology","DOI":"10.1093/aje/kww108","ISSN":"0002-9262","issue":"3","journalAbbreviation":"Am J Epidemiol","language":"en","page":"238-246","source":"academic.oup.com","title":"Tracing a Path to the Past: Exploring the Use of Commercial Credit Reporting Data to Construct Residential Histories for Epidemiologic Studies of Environmental Exposures","title-short":"Tracing a Path to the Past","volume":"185","author":[{"family":"Hurley","given":"Susan"},{"family":"Hertz","given":"Andrew"},{"family":"Nelson","given":"David O."},{"family":"Layefsky","given":"Michael"},{"family":"Von Behren","given":"Julie"},{"family":"Bernstein","given":"Leslie"},{"family":"Deapen","given":"Dennis"},{"family":"Reynolds","given":"Peggy"}],"issued":{"date-parts":[["2017",2,1]]}},"label":"page"}],"schema":"https://github.com/citation-style-language/schema/raw/master/csl-citation.json"} </w:instrText>
      </w:r>
      <w:r>
        <w:fldChar w:fldCharType="separate"/>
      </w:r>
      <w:r w:rsidR="00A9340A" w:rsidRPr="00A9340A">
        <w:t>(50,68)</w:t>
      </w:r>
      <w:r>
        <w:fldChar w:fldCharType="end"/>
      </w:r>
      <w:r>
        <w:t xml:space="preserve">. Consumer credit reporting data, which relies on many of the same public records and is compiled by many of the same companies, has been shown to be less complete an accurate in Black and Hispanic people and to vary in quality by individual or neighborhood SES </w:t>
      </w:r>
      <w:r>
        <w:fldChar w:fldCharType="begin"/>
      </w:r>
      <w:r w:rsidR="00F85975">
        <w:instrText xml:space="preserve"> ADDIN ZOTERO_ITEM CSL_CITATION {"citationID":"aXsWYpkm","properties":{"formattedCitation":"(13,52)","plainCitation":"(13,52)","noteIndex":0},"citationItems":[{"id":100,"uris":["http://zotero.org/users/1353333/items/6SSMKWR3"],"itemData":{"id":100,"type":"report","publisher":"Racial Justice &amp; Equal Economic Opportunity Project, National Consumer Law Center","title":"Past Imperfect: How Credit Scores and Other Analytics “Bake In” and Perpetuate Past Discrimination","URL":"https://www.nclc.org/images/pdf/credit_discrimination/Past_Imperfect050616.pdf","accessed":{"date-parts":[["2020",1,24]]},"issued":{"date-parts":[["2016",5]]}},"label":"page"},{"id":98,"uris":["http://zotero.org/users/1353333/items/C4YD7RMK"],"itemData":{"id":98,"type":"report","collection-title":"Data Point","language":"en","page":"37","publisher":"Consumer Financial Protection Bureau Office of Research","source":"Zotero","title":"Credit Invisibles","author":[{"family":"Brevoort","given":"Kenneth P."},{"family":"Grimm","given":"Philipp"},{"family":"Kambara","given":"Michelle"}],"issued":{"date-parts":[["2015",5]]}},"label":"page"}],"schema":"https://github.com/citation-style-language/schema/raw/master/csl-citation.json"} </w:instrText>
      </w:r>
      <w:r>
        <w:fldChar w:fldCharType="separate"/>
      </w:r>
      <w:r w:rsidRPr="009A5CF8">
        <w:t>(13,52)</w:t>
      </w:r>
      <w:r>
        <w:fldChar w:fldCharType="end"/>
      </w:r>
      <w:r>
        <w:t xml:space="preserve">. Data availability also vary by age, vital status, and year </w:t>
      </w:r>
      <w:r>
        <w:fldChar w:fldCharType="begin"/>
      </w:r>
      <w:r w:rsidR="00A9340A">
        <w:instrText xml:space="preserve"> ADDIN ZOTERO_ITEM CSL_CITATION {"citationID":"9aPYRPDx","properties":{"formattedCitation":"(68)","plainCitation":"(68)","noteIndex":0},"citationItems":[{"id":1162,"uris":["http://zotero.org/users/1353333/items/N8VTLK6H"],"itemData":{"id":1162,"type":"article-journal","abstract":"Purpose\nThis study examined potential sources of selection and information biases when using residence history information from a commercial database to construct residential histories for cancer research.\nMethods\nWe searched the LexisNexis database for residence data on 3473 adults diagnosed with cancers of the prostate, colon/rectum, and female breast in a single health-care system between 2005 and 2016 using the name and address at diagnosis and the birth date. Residential histories were generated from the results using open-source statistical programs from the National Cancer Institute. Multivariable regression models analyzed the associations of the search results with demographic characteristics and all-cause mortality.\nResults\nRacial/ethnic minorities were less likely to match to vendor residence data compared with non-Hispanic whites (odd ratios [95% confidence intervals (CIs)] for non-Hispanic blacks, Hispanics, and Asian/Pacific Islander were 1.66 [1.30, 2.12], 2.92 [2.18, 3.90], and 4.53 [2.72, 7.55], respectively). Being non-Hispanic black was negatively associated with years of residential history (vs. non-Hispanic whites, β coefficient [95% CI] = −2.57 [−3.40, −1.73]). Not matching to residence data was associated with an increased 5-year odds of death from any cause (vs. matched subjects, odd ratios [95% CI] = 5.92 [4.29, 8.50]).\nConclusions\nDifferential ascertainment of residence history by race/ethnicity and association of ascertainment with prognosis are potential sources of selection and information biases when using residence data from a commercial database.","container-title":"Annals of Epidemiology","DOI":"10.1016/j.annepidem.2020.07.010","ISSN":"1047-2797","journalAbbreviation":"Annals of Epidemiology","language":"en","page":"35-40.e1","source":"ScienceDirect","title":"Sources of selection and information biases when using commercial database–derived residential histories for cancer research","volume":"51","author":[{"family":"Freeman","given":"Vincent L."},{"family":"Boylan","given":"Emma E."},{"family":"Tilahun","given":"Nebiyou Y."},{"family":"Basu","given":"Sanjib"},{"family":"Kwan","given":"Mei-Po"}],"issued":{"date-parts":[["2020",11,1]]}}}],"schema":"https://github.com/citation-style-language/schema/raw/master/csl-citation.json"} </w:instrText>
      </w:r>
      <w:r>
        <w:fldChar w:fldCharType="separate"/>
      </w:r>
      <w:r w:rsidR="00A9340A" w:rsidRPr="00A9340A">
        <w:t>(68)</w:t>
      </w:r>
      <w:r>
        <w:fldChar w:fldCharType="end"/>
      </w:r>
      <w:r>
        <w:t xml:space="preserve">. When study inclusion is conditioned on matching in a commercial public records database, selection bias is a potential result. The results presented in Chapter IV indicate that the potential for selection bias is not merely theoretical. Data collection approaches that rely on the availability of </w:t>
      </w:r>
      <w:r>
        <w:lastRenderedPageBreak/>
        <w:t>commercial residential history data can produce final study samples that are not representative of important health inequities prevailing in the source population.</w:t>
      </w:r>
    </w:p>
    <w:p w14:paraId="7842470C" w14:textId="0135DB20" w:rsidR="009A5CF8" w:rsidRDefault="009A5CF8" w:rsidP="009A5CF8">
      <w:r>
        <w:t xml:space="preserve">The question of bias due to attrition in the PSID is more complex. Only PSID sample persons, and not their other household members, were included in this study because these are the only individuals who routinely provide information about their own health history in 2005 and beyond. When the original study was designed, designation as a head of household or spouse was based on both marital status and sex. While the following rules have shifted over time, the basic definition of a PSID sample person remains: a person living in a PSID family in 1968, any adult child of a sample person, or their spouse. Using data from the 1968-1988 survey waves, Lillard and Panis found that risk of study attrition was related to race, sex, marital status, and marital transitions, and that marital status was related to mortality risk. However, they also found that study attrition contributed minimal bias to their analysis of mortality </w:t>
      </w:r>
      <w:r>
        <w:fldChar w:fldCharType="begin"/>
      </w:r>
      <w:r w:rsidR="00770B11">
        <w:instrText xml:space="preserve"> ADDIN ZOTERO_ITEM CSL_CITATION {"citationID":"YgF5Aoti","properties":{"formattedCitation":"(105)","plainCitation":"(105)","noteIndex":0},"citationItems":[{"id":3649,"uris":["http://zotero.org/users/1353333/items/NZX7PU6Z"],"itemData":{"id":3649,"type":"article-journal","abstract":"This analysis is concerned with the determinants of panel attrition from the Panel Study of Income Dynamics and with its consequences for estimation of dynamic behavioral models which exploit the panel or longitudinal information-household income dynamics, marriage formation and dissolution, and adult mortality risk. We develop and estimate joint models of attrition and one or more of these substantive processes, and allow for correlation across the equations through random effects. Although we find evidence of significant selectivity in attrition behavior, the biases that are introduced by ignoring selective attrition are very mild.","container-title":"The Journal of Human Resources","DOI":"10.2307/146436","ISSN":"0022-166X","issue":"2","note":"publisher: [University of Wisconsin Press, Board of Regents of the University of Wisconsin System]","page":"437-457","source":"JSTOR","title":"Panel Attrition from the Panel Study of Income Dynamics: Household Income, Marital Status, and Mortality","title-short":"Panel Attrition from the Panel Study of Income Dynamics","volume":"33","author":[{"family":"Lillard","given":"Lee A."},{"family":"Panis","given":"Constantijn W. A."}],"issued":{"date-parts":[["1998"]]}}}],"schema":"https://github.com/citation-style-language/schema/raw/master/csl-citation.json"} </w:instrText>
      </w:r>
      <w:r>
        <w:fldChar w:fldCharType="separate"/>
      </w:r>
      <w:r w:rsidR="00770B11" w:rsidRPr="00770B11">
        <w:t>(105)</w:t>
      </w:r>
      <w:r>
        <w:fldChar w:fldCharType="end"/>
      </w:r>
      <w:r>
        <w:t>.</w:t>
      </w:r>
    </w:p>
    <w:p w14:paraId="21AC8BE0" w14:textId="3C04B5F3" w:rsidR="009A5CF8" w:rsidRPr="009D05EB" w:rsidRDefault="009A5CF8" w:rsidP="009A5CF8">
      <w:r>
        <w:t xml:space="preserve">However, more recent analyses of the health data in the PSID have found evidence of non-representativeness that could be explained by systematic differences in either study attrition or risk of death. Health data from the PSID can be used to derive prevalence estimates that are comparable to those obtained from the NHIS </w:t>
      </w:r>
      <w:r>
        <w:fldChar w:fldCharType="begin"/>
      </w:r>
      <w:r w:rsidR="00F85975">
        <w:instrText xml:space="preserve"> ADDIN ZOTERO_ITEM CSL_CITATION {"citationID":"vl0cbv7V","properties":{"formattedCitation":"(15,16)","plainCitation":"(15,16)","noteIndex":0},"citationItems":[{"id":1167,"uris":["http://zotero.org/users/1353333/items/3P4XKW3I"],"itemData":{"id":1167,"type":"report","collection-title":"Technical Series","event-place":"Ann Arbor, MI","language":"en","number":"17-01","page":"13","publisher":"Panel Study of Income Dynamics, University of Michigan Institute for Social Research","publisher-place":"Ann Arbor, MI","source":"Zotero","title":"Comparing Health Estimates in the PSID and NHIS, 2001-2015","author":[{"family":"Insolera","given":"Noura E"},{"family":"Freedman","given":"Vicki A"}],"issued":{"date-parts":[["2017",5,6]]}}},{"id":94,"uris":["http://zotero.org/users/1353333/items/JE9Z7IFF"],"itemData":{"id":94,"type":"article-journal","language":"en","page":"18","source":"Zotero","title":"An Analysis of the Quality of the Health Data in the Panel Study of Income Dynamics","author":[{"family":"Andreski","given":"Patricia"},{"family":"McGonagle","given":"Katherine"},{"family":"Schoeni","given":"Bob"}],"issued":{"date-parts":[["2009",9,15]]}},"label":"page"}],"schema":"https://github.com/citation-style-language/schema/raw/master/csl-citation.json"} </w:instrText>
      </w:r>
      <w:r>
        <w:fldChar w:fldCharType="separate"/>
      </w:r>
      <w:r w:rsidRPr="009A5CF8">
        <w:t>(15,16)</w:t>
      </w:r>
      <w:r>
        <w:fldChar w:fldCharType="end"/>
      </w:r>
      <w:r>
        <w:t xml:space="preserve">. Using data from the 1999-2005 survey waves, Zajacova, et al. found that PSID data can also be used to calculate cancer prevalence estimates comparable to those obtained from SEER—however, cancer prevalence in the PSID was gradually increasing, with no obvious explanation </w:t>
      </w:r>
      <w:r>
        <w:fldChar w:fldCharType="begin"/>
      </w:r>
      <w:r w:rsidR="00F85975">
        <w:instrText xml:space="preserve"> ADDIN ZOTERO_ITEM CSL_CITATION {"citationID":"fIpVWZEm","properties":{"formattedCitation":"(53)","plainCitation":"(53)","noteIndex":0},"citationItems":[{"id":1011,"uris":["http://zotero.org/users/1353333/items/WPHRIMLZ"],"itemData":{"id":1011,"type":"article-journal","abstract":"Many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B."}],"issued":{"date-parts":[["2010",12]]}}}],"schema":"https://github.com/citation-style-language/schema/raw/master/csl-citation.json"} </w:instrText>
      </w:r>
      <w:r>
        <w:fldChar w:fldCharType="separate"/>
      </w:r>
      <w:r w:rsidRPr="009A5CF8">
        <w:t>(53)</w:t>
      </w:r>
      <w:r>
        <w:fldChar w:fldCharType="end"/>
      </w:r>
      <w:r>
        <w:t xml:space="preserve">. </w:t>
      </w:r>
      <w:r w:rsidR="007F1C7D">
        <w:t xml:space="preserve">Sample persons in the </w:t>
      </w:r>
      <w:r>
        <w:t xml:space="preserve">PSID are also much more likely to report that they have limited ability to work compared to NHIS respondents </w:t>
      </w:r>
      <w:r>
        <w:fldChar w:fldCharType="begin"/>
      </w:r>
      <w:r w:rsidR="00F85975">
        <w:instrText xml:space="preserve"> ADDIN ZOTERO_ITEM CSL_CITATION {"citationID":"QF1gkMJw","properties":{"formattedCitation":"(15)","plainCitation":"(15)","noteIndex":0},"citationItems":[{"id":1167,"uris":["http://zotero.org/users/1353333/items/3P4XKW3I"],"itemData":{"id":1167,"type":"report","collection-title":"Technical Series","event-place":"Ann Arbor, MI","language":"en","number":"17-01","page":"13","publisher":"Panel Study of Income Dynamics, University of Michigan Institute for Social Research","publisher-place":"Ann Arbor, MI","source":"Zotero","title":"Comparing Health Estimates in the PSID and NHIS, 2001-2015","author":[{"family":"Insolera","given":"Noura E"},{"family":"Freedman","given":"Vicki A"}],"issued":{"date-parts":[["2017",5,6]]}}}],"schema":"https://github.com/citation-style-language/schema/raw/master/csl-citation.json"} </w:instrText>
      </w:r>
      <w:r>
        <w:fldChar w:fldCharType="separate"/>
      </w:r>
      <w:r w:rsidRPr="009A5CF8">
        <w:t>(15)</w:t>
      </w:r>
      <w:r>
        <w:fldChar w:fldCharType="end"/>
      </w:r>
      <w:r>
        <w:t>.</w:t>
      </w:r>
      <w:r w:rsidRPr="00D31A23">
        <w:t xml:space="preserve"> If PSID participants are living longer with chronic illnesses or activity limitations compared to the general population, and racial survival disparities are </w:t>
      </w:r>
      <w:r>
        <w:t xml:space="preserve">truly </w:t>
      </w:r>
      <w:r w:rsidRPr="00D31A23">
        <w:t>reduced or absent</w:t>
      </w:r>
      <w:r>
        <w:t xml:space="preserve"> in non-attritors</w:t>
      </w:r>
      <w:r w:rsidRPr="00D31A23">
        <w:t>, this could</w:t>
      </w:r>
      <w:r>
        <w:t xml:space="preserve"> </w:t>
      </w:r>
      <w:r w:rsidRPr="00D31A23">
        <w:t>explain the gradually increasing prevalence of cancer in this cohort.</w:t>
      </w:r>
    </w:p>
    <w:p w14:paraId="7BD78FD3" w14:textId="44621A27" w:rsidR="008749FD" w:rsidRDefault="000C590F" w:rsidP="000C590F">
      <w:pPr>
        <w:pStyle w:val="Heading2"/>
      </w:pPr>
      <w:bookmarkStart w:id="252" w:name="_Toc148375800"/>
      <w:r>
        <w:lastRenderedPageBreak/>
        <w:t xml:space="preserve">Role </w:t>
      </w:r>
      <w:r w:rsidR="00B31DBF">
        <w:t>of Missing Case Data</w:t>
      </w:r>
      <w:bookmarkEnd w:id="252"/>
    </w:p>
    <w:p w14:paraId="2588D190" w14:textId="5152C99C" w:rsidR="000C590F" w:rsidRDefault="000C590F" w:rsidP="000C590F">
      <w:pPr>
        <w:pStyle w:val="Heading3"/>
        <w:numPr>
          <w:ilvl w:val="0"/>
          <w:numId w:val="17"/>
        </w:numPr>
      </w:pPr>
      <w:bookmarkStart w:id="253" w:name="_Toc148375801"/>
      <w:r>
        <w:t>Panel Study of Income Dynamics</w:t>
      </w:r>
      <w:bookmarkEnd w:id="253"/>
    </w:p>
    <w:p w14:paraId="48DCC428" w14:textId="6FB34A9F" w:rsidR="000C590F" w:rsidRPr="000C590F" w:rsidRDefault="000C590F" w:rsidP="000C590F">
      <w:pPr>
        <w:pStyle w:val="Heading4"/>
        <w:numPr>
          <w:ilvl w:val="0"/>
          <w:numId w:val="18"/>
        </w:numPr>
        <w:ind w:left="1440"/>
      </w:pPr>
      <w:bookmarkStart w:id="254" w:name="_Toc148375802"/>
      <w:r w:rsidRPr="000C590F">
        <w:t>Death Data</w:t>
      </w:r>
      <w:bookmarkEnd w:id="254"/>
    </w:p>
    <w:p w14:paraId="707ED626" w14:textId="5DD5E432" w:rsidR="000C590F" w:rsidRDefault="000C590F" w:rsidP="000C590F">
      <w:r>
        <w:t xml:space="preserve">The PSID was designed to collect information about the social and economic conditions of families, and many of the </w:t>
      </w:r>
      <w:r w:rsidR="00F340C5">
        <w:t>health-related</w:t>
      </w:r>
      <w:r>
        <w:t xml:space="preserve"> questions were not added until the 1990s. As a result, health information relevant to epidemiologists may be missing, incomplete, or collected in ways that health researchers do not expect. The most significant form of missing data in this study was the lack of information from death certificates.</w:t>
      </w:r>
    </w:p>
    <w:p w14:paraId="4CEA5050" w14:textId="362A406F" w:rsidR="000C590F" w:rsidRDefault="000C590F" w:rsidP="000C590F">
      <w:r>
        <w:t xml:space="preserve">According to multiple communications with PSID staff, linked data from NDI was unable to be shared with outside researchers from approximately 2017 to 2023 </w:t>
      </w:r>
      <w:r>
        <w:fldChar w:fldCharType="begin"/>
      </w:r>
      <w:r w:rsidR="00770B11">
        <w:instrText xml:space="preserve"> ADDIN ZOTERO_ITEM CSL_CITATION {"citationID":"ZPnblb2G","properties":{"formattedCitation":"(106,107)","plainCitation":"(106,107)","noteIndex":0},"citationItems":[{"id":3645,"uris":["http://zotero.org/users/1353333/items/YDDQA5QV"],"itemData":{"id":3645,"type":"personal_communication","title":"Re: Question about PSID mortality file","author":[{"literal":"PSID Help Desk"}],"issued":{"date-parts":[["2023",5,21]]}},"label":"page"},{"id":3664,"uris":["http://zotero.org/users/1353333/items/46Z6WX6J"],"itemData":{"id":3664,"type":"webpage","container-title":"PSID News","title":"Panel Study of Income Dynamics News - September 2023","URL":"https://psidonline.isr.umich.edu/Guide/News.aspx","author":[{"literal":"University of Michigan Institute for Social Research"}],"accessed":{"date-parts":[["2023",9,15]]}},"label":"page"}],"schema":"https://github.com/citation-style-language/schema/raw/master/csl-citation.json"} </w:instrText>
      </w:r>
      <w:r>
        <w:fldChar w:fldCharType="separate"/>
      </w:r>
      <w:r w:rsidR="00770B11" w:rsidRPr="00770B11">
        <w:t>(106,107)</w:t>
      </w:r>
      <w:r>
        <w:fldChar w:fldCharType="end"/>
      </w:r>
      <w:r>
        <w:t xml:space="preserve">. Publicly available information on the PSID website did not make clear that the mortality file available to researchers would include only data collected by the University of Michigan. Public documentation for the then-current mortality file described variables only available through linkage to NDI </w:t>
      </w:r>
      <w:r>
        <w:fldChar w:fldCharType="begin"/>
      </w:r>
      <w:r w:rsidR="00770B11">
        <w:instrText xml:space="preserve"> ADDIN ZOTERO_ITEM CSL_CITATION {"citationID":"AwUZbF9s","properties":{"formattedCitation":"(108)","plainCitation":"(108)","noteIndex":0},"citationItems":[{"id":1014,"uris":["http://zotero.org/users/1353333/items/98BKIQ2L"],"itemData":{"id":1014,"type":"report","event-place":"Ann Arbor, MI","number":"Release 1","publisher":"The University of Michigan","publisher-place":"Ann Arbor, MI","title":"Panel Study of Income Dynamics: 1968-2017 Mortality File Documentation","URL":"https://simba.isr.umich.edu/restricted/docs/Mortality/Mortality17_Introduction.pdf","author":[{"literal":"Survey Research Center, Institute for Social Research"}],"accessed":{"date-parts":[["2019",12,10]]},"issued":{"date-parts":[["2019",2]]}}}],"schema":"https://github.com/citation-style-language/schema/raw/master/csl-citation.json"} </w:instrText>
      </w:r>
      <w:r>
        <w:fldChar w:fldCharType="separate"/>
      </w:r>
      <w:r w:rsidR="00770B11" w:rsidRPr="00770B11">
        <w:t>(108)</w:t>
      </w:r>
      <w:r>
        <w:fldChar w:fldCharType="end"/>
      </w:r>
      <w:r>
        <w:t xml:space="preserve">. The reduced mortality file included fields 1-24 of the 104 mentioned in the documentation, corresponding to identifiers and death information collected by PSID staff; and respondent information sent to NDI </w:t>
      </w:r>
      <w:r>
        <w:fldChar w:fldCharType="begin"/>
      </w:r>
      <w:r w:rsidR="00770B11">
        <w:instrText xml:space="preserve"> ADDIN ZOTERO_ITEM CSL_CITATION {"citationID":"Fc2X86PO","properties":{"formattedCitation":"(108)","plainCitation":"(108)","noteIndex":0},"citationItems":[{"id":1014,"uris":["http://zotero.org/users/1353333/items/98BKIQ2L"],"itemData":{"id":1014,"type":"report","event-place":"Ann Arbor, MI","number":"Release 1","publisher":"The University of Michigan","publisher-place":"Ann Arbor, MI","title":"Panel Study of Income Dynamics: 1968-2017 Mortality File Documentation","URL":"https://simba.isr.umich.edu/restricted/docs/Mortality/Mortality17_Introduction.pdf","author":[{"literal":"Survey Research Center, Institute for Social Research"}],"accessed":{"date-parts":[["2019",12,10]]},"issued":{"date-parts":[["2019",2]]}}}],"schema":"https://github.com/citation-style-language/schema/raw/master/csl-citation.json"} </w:instrText>
      </w:r>
      <w:r>
        <w:fldChar w:fldCharType="separate"/>
      </w:r>
      <w:r w:rsidR="00770B11" w:rsidRPr="00770B11">
        <w:t>(108)</w:t>
      </w:r>
      <w:r>
        <w:fldChar w:fldCharType="end"/>
      </w:r>
      <w:r>
        <w:t xml:space="preserve">. Although the approval process to access restricted data requires that researchers submit a detailed research plan for review, the intention not to share death certificate data was not disclosed until after the contract was executed and payment transmitted in spring of 2021 </w:t>
      </w:r>
      <w:r>
        <w:fldChar w:fldCharType="begin"/>
      </w:r>
      <w:r w:rsidR="00770B11">
        <w:instrText xml:space="preserve"> ADDIN ZOTERO_ITEM CSL_CITATION {"citationID":"xtnZGNgv","properties":{"formattedCitation":"(109)","plainCitation":"(109)","noteIndex":0},"citationItems":[{"id":3671,"uris":["http://zotero.org/users/1353333/items/SGDF7WZF"],"itemData":{"id":3671,"type":"webpage","title":"PSID Process &amp; Requirements for Obtaining Restricted Data","URL":"https://simba.isr.umich.edu/restricted/ProcessReq.aspx","author":[{"literal":"University of Michigan Institute for Social Research"}],"accessed":{"date-parts":[["2023",9,15]]}}}],"schema":"https://github.com/citation-style-language/schema/raw/master/csl-citation.json"} </w:instrText>
      </w:r>
      <w:r>
        <w:fldChar w:fldCharType="separate"/>
      </w:r>
      <w:r w:rsidR="00770B11" w:rsidRPr="00770B11">
        <w:t>(109)</w:t>
      </w:r>
      <w:r>
        <w:fldChar w:fldCharType="end"/>
      </w:r>
      <w:r>
        <w:t xml:space="preserve">. Researcher access to the full mortality file was restored on September 13, 2023 </w:t>
      </w:r>
      <w:r>
        <w:fldChar w:fldCharType="begin"/>
      </w:r>
      <w:r w:rsidR="00770B11">
        <w:instrText xml:space="preserve"> ADDIN ZOTERO_ITEM CSL_CITATION {"citationID":"90Gw1ndT","properties":{"formattedCitation":"(107)","plainCitation":"(107)","noteIndex":0},"citationItems":[{"id":3664,"uris":["http://zotero.org/users/1353333/items/46Z6WX6J"],"itemData":{"id":3664,"type":"webpage","container-title":"PSID News","title":"Panel Study of Income Dynamics News - September 2023","URL":"https://psidonline.isr.umich.edu/Guide/News.aspx","author":[{"literal":"University of Michigan Institute for Social Research"}],"accessed":{"date-parts":[["2023",9,15]]}}}],"schema":"https://github.com/citation-style-language/schema/raw/master/csl-citation.json"} </w:instrText>
      </w:r>
      <w:r>
        <w:fldChar w:fldCharType="separate"/>
      </w:r>
      <w:r w:rsidR="00770B11" w:rsidRPr="00770B11">
        <w:t>(107)</w:t>
      </w:r>
      <w:r>
        <w:fldChar w:fldCharType="end"/>
      </w:r>
      <w:r>
        <w:t>.</w:t>
      </w:r>
    </w:p>
    <w:p w14:paraId="5417E51A" w14:textId="77777777" w:rsidR="000C590F" w:rsidRPr="000D3F8D" w:rsidRDefault="000C590F" w:rsidP="000C590F">
      <w:r>
        <w:t>As a result of this omission, the analysis plan and relevant aims were updated to use all-cause mortality in people with a history of cancer as the endpoint.</w:t>
      </w:r>
    </w:p>
    <w:p w14:paraId="48C99196" w14:textId="3824644D" w:rsidR="000C590F" w:rsidRPr="000C590F" w:rsidRDefault="000C590F" w:rsidP="000C590F">
      <w:pPr>
        <w:pStyle w:val="Heading4"/>
      </w:pPr>
      <w:bookmarkStart w:id="255" w:name="_Toc148375803"/>
      <w:r>
        <w:t xml:space="preserve">Exact </w:t>
      </w:r>
      <w:r w:rsidR="00B31DBF">
        <w:t>Dates and Self-Reported Diagnosis Timing</w:t>
      </w:r>
      <w:bookmarkEnd w:id="255"/>
    </w:p>
    <w:p w14:paraId="1C69EC7F" w14:textId="77777777" w:rsidR="000C590F" w:rsidRDefault="000C590F" w:rsidP="000C590F">
      <w:r>
        <w:t xml:space="preserve">Researchers planning to use the full mortality file should be aware that the PSID does not typically release full date information associated with participants, even in the restricted data files. Most dates, including date of birth and date of death, if applicable, include the month and year only. </w:t>
      </w:r>
      <w:r>
        <w:lastRenderedPageBreak/>
        <w:t>Sample persons who report a current health condition, including cancer, report the age at which the condition was first diagnosed, or the event first occurred.</w:t>
      </w:r>
    </w:p>
    <w:p w14:paraId="26A29151" w14:textId="11322391" w:rsidR="000C590F" w:rsidRDefault="000C590F" w:rsidP="000C590F">
      <w:r>
        <w:t xml:space="preserve">These data can still be used for time to event analysis if either months of follow-up or age is used as the time scale. There are advantages to using age as the time scale when using data drawn from the PSID. Because it is designed to be representative of the US population, the PSID includes households and sample persons of varied ages. When age is treated as the time scale in survival analysis, subjects enter the risk set at the age of cancer diagnosis, rather than on a date associated with their study participation. This method is adapted from Korn, et al., who argue that, for outcomes related to cancer, risk is expected to change more as a function of age than of length of study participation </w:t>
      </w:r>
      <w:r>
        <w:fldChar w:fldCharType="begin"/>
      </w:r>
      <w:r w:rsidR="00A9340A">
        <w:instrText xml:space="preserve"> ADDIN ZOTERO_ITEM CSL_CITATION {"citationID":"8prdRNG6","properties":{"formattedCitation":"(63)","plainCitation":"(63)","noteIndex":0},"citationItems":[{"id":3529,"uris":["http://zotero.org/users/1353333/items/CEUMBCFE"],"itemData":{"id":3529,"type":"article-journal","container-title":"American Journal of Epidemiology","DOI":"10.1093/oxfordjournals.aje.a009034","ISSN":"0002-9262, 1476-6256","issue":"1","journalAbbreviation":"American Journal of Epidemiology","language":"en","page":"72-80","source":"DOI.org (Crossref)","title":"Time-to-Event Analysis of Longitudinal Follow-up of a Survey: Choice of the Time-scale","title-short":"Time-to-Event Analysis of Longitudinal Follow-up of a Survey","volume":"145","author":[{"family":"Korn","given":"E. L."},{"family":"Graubard","given":"B. I."},{"family":"Midthune","given":"D."}],"issued":{"date-parts":[["1997",1,1]]}}}],"schema":"https://github.com/citation-style-language/schema/raw/master/csl-citation.json"} </w:instrText>
      </w:r>
      <w:r>
        <w:fldChar w:fldCharType="separate"/>
      </w:r>
      <w:r w:rsidR="00A9340A" w:rsidRPr="00A9340A">
        <w:t>(63)</w:t>
      </w:r>
      <w:r>
        <w:fldChar w:fldCharType="end"/>
      </w:r>
      <w:r>
        <w:t xml:space="preserve">. This approach also adjusts for age while allowing a non-parametric age effect. An additional modification used in this study, and recommended by Canchola, et al., stratifies the model by birth cohort </w:t>
      </w:r>
      <w:r>
        <w:fldChar w:fldCharType="begin"/>
      </w:r>
      <w:r w:rsidR="00A9340A">
        <w:instrText xml:space="preserve"> ADDIN ZOTERO_ITEM CSL_CITATION {"citationID":"zv7hr60H","properties":{"formattedCitation":"(64)","plainCitation":"(64)","noteIndex":0},"citationItems":[{"id":3521,"uris":["http://zotero.org/users/1353333/items/M7LJ47QC"],"itemData":{"id":3521,"type":"article-journal","abstract":"Typically in cohort studies, the time-scale used in Cox regression models is time-on-study, adjusting for age as a covariate. However, age can also be used as the time-scale, where subjects enter the analysis at their baseline age (left-truncation) and exit at their event/censoring age. Using SAS® PROC PHREG, we compared five methods using time-on-study and age as the time-scales. We used a subset of data (n=85,882) from the large California Teachers Study cohort, with five years of follow-up, invasive breast cancer as the outcome (n=1,428) and alcohol consumption (&gt; 20 grams/day) as the risk factor of interest. Using a time-on-study time-scale adjusting for age continuous in years produced a slight overestimate of the alcohol effect compared with the more accurate but computationally more intensive age time-scale methods. However, allowing for different age effects for younger and older ages gave virtually identical results as using an age time-scale.","language":"en","source":"Zotero","title":"Cox Regression Using Different Time Scales","author":[{"family":"Canchola","given":"Alison"},{"family":"Stewart","given":"Susan"},{"family":"Center","given":"Northern CA Cancer"},{"family":"Bernstein","given":"Leslie"}]}}],"schema":"https://github.com/citation-style-language/schema/raw/master/csl-citation.json"} </w:instrText>
      </w:r>
      <w:r>
        <w:fldChar w:fldCharType="separate"/>
      </w:r>
      <w:r w:rsidR="00A9340A" w:rsidRPr="00A9340A">
        <w:t>(64)</w:t>
      </w:r>
      <w:r>
        <w:fldChar w:fldCharType="end"/>
      </w:r>
      <w:r>
        <w:t>. This accounts for expected calendar effects on risk of death in this long-running panel study.</w:t>
      </w:r>
    </w:p>
    <w:p w14:paraId="45AD8759" w14:textId="2C542B0A" w:rsidR="000C590F" w:rsidRPr="000D3F8D" w:rsidRDefault="000C590F" w:rsidP="000C590F">
      <w:r>
        <w:t xml:space="preserve">Because PSID participants are asked if they have ever been diagnosed with cancer (among other conditions), in any given year they may report multiple conditions or repeat a previously reported condition. Using repeat reports from the 1999-2005 survey waves, Zajacova, et al. found evidence of measurement error in reported age at cancer diagnosis </w:t>
      </w:r>
      <w:r>
        <w:fldChar w:fldCharType="begin"/>
      </w:r>
      <w:r w:rsidR="00B069DD">
        <w:instrText xml:space="preserve"> ADDIN ZOTERO_ITEM CSL_CITATION {"citationID":"wbyjJHz2","properties":{"formattedCitation":"(53)","plainCitation":"(53)","noteIndex":0},"citationItems":[{"id":1011,"uris":["http://zotero.org/users/1353333/items/WPHRIMLZ"],"itemData":{"id":1011,"type":"article-journal","abstract":"Many epidemiological studies rely on self-reported information, the accuracy of which is critical for unbiased estimates of population health. Previously, accuracy has been analyzed by comparing self-reports to other sources, such as cancer registries. Cancer is believed to be a well-reported condition. This paper uses novel panel data to test the consistency of cancer reports for respondents with repeated self-reports. Data come from 978 adults who reported having been diagnosed with cancer in at least one of four waves of the Panel Study of Income Dynamics, 1999-2005. Consistency of cancer occurrence reports and precision of timing of onset were studied as a function of individual and cancer-related characteristics using logistic and ordered logistic models. Almost 30% of respondents gave inconsistent cancer reports, meaning they said they never had cancer after having said they did have cancer in a previous interview; 50% reported the year of diagnosis with a discrepancy of two or more years. More recent cancers were reported with a higher consistency and timing precision; cervical cancer was reported more inaccurately than other cancer types. Demographic and socio-economic factors were only weak predictors of reporting quality. Results suggest that retrospective reports of cancer contain significant measurement error. The errors, however, are fairly random across different social groups, meaning that the results based on the data are not systematically biased by socio-economic factors. Even for health events as salient as cancer, researchers should exercise caution about the presumed accuracy of self-reports, especially if the timing of diagnosis is an important covariate.","container-title":"Population Health Metrics","DOI":"10.1186/1478-7954-8-20","ISSN":"1478-7954","issue":"1","journalAbbreviation":"Popul Health Metrics","language":"en","license":"2010 Zajacova et al; licensee BioMed Central Ltd.","page":"1-11","source":"pophealthmetrics-biomedcentral-com.proxy.cc.uic.edu","title":"Consistency and precision of cancer reporting in a multiwave national panel survey","volume":"8","author":[{"family":"Zajacova","given":"Anna"},{"family":"Dowd","given":"Jennifer Beam"},{"family":"Schoeni","given":"Robert F."},{"family":"Wallace","given":"Robert B."}],"issued":{"date-parts":[["2010",12]]}}}],"schema":"https://github.com/citation-style-language/schema/raw/master/csl-citation.json"} </w:instrText>
      </w:r>
      <w:r>
        <w:fldChar w:fldCharType="separate"/>
      </w:r>
      <w:r w:rsidR="00B069DD" w:rsidRPr="00B069DD">
        <w:t>(53)</w:t>
      </w:r>
      <w:r>
        <w:fldChar w:fldCharType="end"/>
      </w:r>
      <w:r>
        <w:t xml:space="preserve">. Inconsistent reports of diagnosis age were random across social and demographic </w:t>
      </w:r>
      <w:r w:rsidR="00F340C5">
        <w:t>groups but</w:t>
      </w:r>
      <w:r>
        <w:t xml:space="preserve"> have the potential to reduce analytic power. Self-report errors may be even more significant in less severe health conditions. Researchers who plan to use PSID data related to the timing of health events should use caution, thoroughly explore publicly available data to ascertain quality and potential analytic power, and plan related analyses that do not depend on the accuracy of self-reported timing of diagnosis. </w:t>
      </w:r>
    </w:p>
    <w:p w14:paraId="33D8F2AC" w14:textId="210C2DA2" w:rsidR="000C590F" w:rsidRDefault="006C52C1" w:rsidP="006C52C1">
      <w:pPr>
        <w:pStyle w:val="Heading4"/>
      </w:pPr>
      <w:bookmarkStart w:id="256" w:name="_Toc148375804"/>
      <w:r>
        <w:t xml:space="preserve">Disease </w:t>
      </w:r>
      <w:r w:rsidR="00B31DBF">
        <w:t>I</w:t>
      </w:r>
      <w:r>
        <w:t>nformation</w:t>
      </w:r>
      <w:bookmarkEnd w:id="256"/>
    </w:p>
    <w:p w14:paraId="6F815730" w14:textId="77777777" w:rsidR="006C52C1" w:rsidRDefault="006C52C1" w:rsidP="006C52C1">
      <w:r>
        <w:t xml:space="preserve">From 2005 onward, PSID participants who report a history of cancer have been asked if they are “in treatment”, “in remission”, “or has it been cured?” This variable was not used for </w:t>
      </w:r>
      <w:r>
        <w:lastRenderedPageBreak/>
        <w:t>analysis because, unlike the parent question, which asked about cancer history, this question referred to present-day disease status. Each year that it was asked, fewer than 1% of respondents reported currently receiving cancer treatment. Given the significant error found in reports of cancer timing, it was also unclear whether participants could give accurate self-reports of whether their cancer was in remission vs. cured. Not all chronic conditions surveyed in the PSID include any follow-up questions about treatment or condition severity.</w:t>
      </w:r>
    </w:p>
    <w:p w14:paraId="4FFAB14A" w14:textId="6D57249D" w:rsidR="006C52C1" w:rsidRPr="000D3F8D" w:rsidRDefault="007F1C7D" w:rsidP="006C52C1">
      <w:r>
        <w:t>S</w:t>
      </w:r>
      <w:r w:rsidR="006C52C1">
        <w:t xml:space="preserve">ample persons have answered questions about their ability to participate in activities of daily living since </w:t>
      </w:r>
      <w:r w:rsidR="00F340C5">
        <w:t>1999 and</w:t>
      </w:r>
      <w:r w:rsidR="006C52C1">
        <w:t xml:space="preserve"> have rated their general health status since 1984. For some conditions, researchers may consider these variables as a source of supplementary information about mortality risk.</w:t>
      </w:r>
    </w:p>
    <w:p w14:paraId="612BF761" w14:textId="30AAA12F" w:rsidR="006C52C1" w:rsidRDefault="006C52C1" w:rsidP="006C52C1">
      <w:pPr>
        <w:pStyle w:val="Heading3"/>
      </w:pPr>
      <w:bookmarkStart w:id="257" w:name="_Toc148375805"/>
      <w:r>
        <w:t>University of Illinois Hospital Tumor Registry</w:t>
      </w:r>
      <w:bookmarkEnd w:id="257"/>
    </w:p>
    <w:p w14:paraId="19B6A3F5" w14:textId="77777777" w:rsidR="006C52C1" w:rsidRDefault="006C52C1" w:rsidP="006C52C1">
      <w:r>
        <w:t>In this sample of 444 cases diagnosed with CRC at University of Illinois Hospital between 1995 and 2004, a very high percentage were recorded as having unstaged disease. Stage is a critical indicator of cancer-specific mortality risk, and missingness on this variable presented an analytic challenge.</w:t>
      </w:r>
    </w:p>
    <w:p w14:paraId="0EBCC081" w14:textId="77777777" w:rsidR="006C52C1" w:rsidRDefault="006C52C1" w:rsidP="006C52C1">
      <w:r>
        <w:t>The survival experience of these cases was very similar to that of cases with stage III disease. Approaches used to analyze the data included grouping the unstaged diseases with one or more of the advanced stages, exclusion, and including the unstaged cases while treating stage as categorical in modeling.</w:t>
      </w:r>
    </w:p>
    <w:p w14:paraId="7A31C7D0" w14:textId="77777777" w:rsidR="006C52C1" w:rsidRDefault="006C52C1" w:rsidP="006C52C1">
      <w:r>
        <w:t>No approach identified a meaningful association between CD score and stage at diagnosis. When treated as a categorical variable, stage significantly predicted disease-specific survival and the adjusted effect of having unstaged disease remained very similar to the adjusted effect of having stage III disease.</w:t>
      </w:r>
    </w:p>
    <w:p w14:paraId="62CB642E" w14:textId="48826A7C" w:rsidR="006C52C1" w:rsidRDefault="006C52C1" w:rsidP="006C52C1">
      <w:r>
        <w:t xml:space="preserve">Incidence of unstaged cancer has decreased over time, but is more common in older people and in people who are any race or ethnicity other than non-Hispanic white </w:t>
      </w:r>
      <w:r>
        <w:fldChar w:fldCharType="begin"/>
      </w:r>
      <w:r w:rsidR="00770B11">
        <w:instrText xml:space="preserve"> ADDIN ZOTERO_ITEM CSL_CITATION {"citationID":"xnxG556Q","properties":{"formattedCitation":"(110,111)","plainCitation":"(110,111)","noteIndex":0},"citationItems":[{"id":3656,"uris":["http://zotero.org/users/1353333/items/66JA63SX"],"itemData":{"id":3656,"type":"article-journal","abstract":"The study of trends in stage at diagnosis contributes to understand disease burden and the effects of cancer control activities. However, a proportion of cancers reported to registries have insufficient information to assign stage. The limited research addressing unstaged cancers has noted racial and socioeconomic disparities. Long-term incidence trends for unstaged cancers have not been described. We examined long-term trends in diagnosis of unstaged cancers in the U.S. Surveillance, Epidemiology and End Results (SEER) reporting areas.","container-title":"Cancer Causes &amp; Control","DOI":"10.1007/s10552-017-0874-2","ISSN":"1573-7225","issue":"4","journalAbbreviation":"Cancer Causes Control","language":"en","page":"341-349","source":"Springer Link","title":"Unstaged cancer: Long-term decline in incidence by site and by demographic and socioeconomic characteristics","title-short":"Unstaged cancer","volume":"28","author":[{"family":"Herget","given":"Kimberly"},{"family":"Stroup","given":"Antoinette"},{"family":"Smith","given":"Ken"},{"family":"Wen","given":"Ming"},{"family":"Sweeney","given":"Carol"}],"issued":{"date-parts":[["2017",4,1]]}},"label":"page"},{"id":3654,"uris":["http://zotero.org/users/1353333/items/B5CKHXDY"],"itemData":{"id":3654,"type":"article-journal","abstract":"The current study examines unstaged disease for 18 cancer sites in the United States according to the influence of age, sex, race, marital status, incidence, and lethality.","container-title":"BMC Cancer","DOI":"10.1186/1471-2407-11-402","ISSN":"1471-2407","issue":"1","journalAbbreviation":"BMC Cancer","language":"en","page":"402","source":"Springer Link","title":"Unstaged cancer in the United States: a population-based study","title-short":"Unstaged cancer in the United States","volume":"11","author":[{"family":"Merrill","given":"Ray M."},{"family":"Sloan","given":"Arielle"},{"family":"Anderson","given":"Allison E."},{"family":"Ryker","given":"Karem"}],"issued":{"date-parts":[["2011",9,21]]}},"label":"page"}],"schema":"https://github.com/citation-style-language/schema/raw/master/csl-citation.json"} </w:instrText>
      </w:r>
      <w:r>
        <w:fldChar w:fldCharType="separate"/>
      </w:r>
      <w:r w:rsidR="00770B11" w:rsidRPr="00770B11">
        <w:t>(110,111)</w:t>
      </w:r>
      <w:r>
        <w:fldChar w:fldCharType="end"/>
      </w:r>
      <w:r>
        <w:t xml:space="preserve">. Previous </w:t>
      </w:r>
      <w:r>
        <w:lastRenderedPageBreak/>
        <w:t xml:space="preserve">analyses in SEER have found that lack of stage information may be related to not receiving treatment, resulting in missing information about tumor size, lymph node involvement, or metastasis, especially before PET imaging became a common procedure in cancer staging </w:t>
      </w:r>
      <w:r>
        <w:fldChar w:fldCharType="begin"/>
      </w:r>
      <w:r w:rsidR="00770B11">
        <w:instrText xml:space="preserve"> ADDIN ZOTERO_ITEM CSL_CITATION {"citationID":"QeaWZilX","properties":{"formattedCitation":"(110,111)","plainCitation":"(110,111)","noteIndex":0},"citationItems":[{"id":3656,"uris":["http://zotero.org/users/1353333/items/66JA63SX"],"itemData":{"id":3656,"type":"article-journal","abstract":"The study of trends in stage at diagnosis contributes to understand disease burden and the effects of cancer control activities. However, a proportion of cancers reported to registries have insufficient information to assign stage. The limited research addressing unstaged cancers has noted racial and socioeconomic disparities. Long-term incidence trends for unstaged cancers have not been described. We examined long-term trends in diagnosis of unstaged cancers in the U.S. Surveillance, Epidemiology and End Results (SEER) reporting areas.","container-title":"Cancer Causes &amp; Control","DOI":"10.1007/s10552-017-0874-2","ISSN":"1573-7225","issue":"4","journalAbbreviation":"Cancer Causes Control","language":"en","page":"341-349","source":"Springer Link","title":"Unstaged cancer: Long-term decline in incidence by site and by demographic and socioeconomic characteristics","title-short":"Unstaged cancer","volume":"28","author":[{"family":"Herget","given":"Kimberly"},{"family":"Stroup","given":"Antoinette"},{"family":"Smith","given":"Ken"},{"family":"Wen","given":"Ming"},{"family":"Sweeney","given":"Carol"}],"issued":{"date-parts":[["2017",4,1]]}},"label":"page"},{"id":3654,"uris":["http://zotero.org/users/1353333/items/B5CKHXDY"],"itemData":{"id":3654,"type":"article-journal","abstract":"The current study examines unstaged disease for 18 cancer sites in the United States according to the influence of age, sex, race, marital status, incidence, and lethality.","container-title":"BMC Cancer","DOI":"10.1186/1471-2407-11-402","ISSN":"1471-2407","issue":"1","journalAbbreviation":"BMC Cancer","language":"en","page":"402","source":"Springer Link","title":"Unstaged cancer in the United States: a population-based study","title-short":"Unstaged cancer in the United States","volume":"11","author":[{"family":"Merrill","given":"Ray M."},{"family":"Sloan","given":"Arielle"},{"family":"Anderson","given":"Allison E."},{"family":"Ryker","given":"Karem"}],"issued":{"date-parts":[["2011",9,21]]}},"label":"page"}],"schema":"https://github.com/citation-style-language/schema/raw/master/csl-citation.json"} </w:instrText>
      </w:r>
      <w:r>
        <w:fldChar w:fldCharType="separate"/>
      </w:r>
      <w:r w:rsidR="00770B11" w:rsidRPr="00770B11">
        <w:t>(110,111)</w:t>
      </w:r>
      <w:r>
        <w:fldChar w:fldCharType="end"/>
      </w:r>
      <w:r>
        <w:t>.</w:t>
      </w:r>
    </w:p>
    <w:p w14:paraId="2FCF2F06" w14:textId="6F4BD770" w:rsidR="006C52C1" w:rsidRPr="000D3F8D" w:rsidRDefault="006C52C1" w:rsidP="006C52C1">
      <w:r>
        <w:t xml:space="preserve">When unstaged cases are retained in population-based CRC studies, it is common for their risk of disease-specific mortality to fall between the risks associated with regional and distant disease </w:t>
      </w:r>
      <w:r>
        <w:fldChar w:fldCharType="begin"/>
      </w:r>
      <w:r w:rsidR="00770B11">
        <w:instrText xml:space="preserve"> ADDIN ZOTERO_ITEM CSL_CITATION {"citationID":"XRoyd8uq","properties":{"formattedCitation":"(76)","plainCitation":"(76)","noteIndex":0},"citationItems":[{"id":53,"uris":["http://zotero.org/users/1353333/items/A6N7P9JY"],"itemData":{"id":53,"type":"article-journal","abstract":"BACKGROUND: Spatial access to primary care has been associated with late-stage and fatal breast cancer, but less is known about its relation to outcomes of other screening-preventable cancers such as colorectal cancer. This population-based retrospective cohort study examined whether spatial access to primary care providers associates with colorectal cancer-specific survival.\nMETHODS: Approximately 26 600 incident colorectal cancers diagnosed between 2000 and 2008 in adults residing in Cook County, Illinois were identified through the state cancer registry and georeferenced to the census tract of residence at diagnosis. An enhanced two-step floating catchment area method measured tract-level access to primary care physicians (PCPs) in the year of diagnosis using practice locations obtained from the American Medical Association. Vital status and underlying cause of death were determined using the National Death Index. Fine-Gray proportional subdistribution hazard models analyzed the association between tract-level PCP access scores and colorectal cancer-specific survival after accounting for tract-level socioeconomic status, case demographics, tumor characteristics, and other factors.\nRESULTS: Increased tract-level access to PCPs was associated with a lower risk of death from colorectal cancer (hazard ratio [HR], 95% confidence interval [CI]) = 0.87 [0.79, 0.96], P = .008, highest vs lowest quintile), especially among persons diagnosed with regional-stage tumors (HR, 95% CI = 0.80 [0.69, 0.93], P = .004, highest vs lowest quintile).\nCONCLUSIONS: Spatial access to primary care providers is a predictor of colorectal cancer-specific survival in Cook County, Illinois. Future research is needed to determine which areas within the cancer care continuum are most affected by spatial accessibility to primary care such as referral for screening, accessibility of screening and diagnostic testing, referral for treatment, and access to appropriate survivorship-related care.","container-title":"Cancer Medicine","DOI":"10.1002/cam4.2957","ISSN":"2045-7634","issue":"9","journalAbbreviation":"Cancer Med","language":"eng","note":"PMID: 32130791\nPMCID: PMC7196057","page":"3211-3223","source":"PubMed","title":"Spatial access to primary care providers and colorectal cancer-specific survival in Cook County, Illinois","volume":"9","author":[{"family":"Freeman","given":"Vincent L."},{"family":"Naylor","given":"Keith B."},{"family":"Boylan","given":"Emma E."},{"family":"Booth","given":"Benjamin J."},{"family":"Pugach","given":"Oksana"},{"family":"Barrett","given":"Richard E."},{"family":"Campbell","given":"Richard T."},{"family":"McLafferty","given":"Sara L."}],"issued":{"date-parts":[["2020",5]]}}}],"schema":"https://github.com/citation-style-language/schema/raw/master/csl-citation.json"} </w:instrText>
      </w:r>
      <w:r>
        <w:fldChar w:fldCharType="separate"/>
      </w:r>
      <w:r w:rsidR="00770B11" w:rsidRPr="00770B11">
        <w:t>(76)</w:t>
      </w:r>
      <w:r>
        <w:fldChar w:fldCharType="end"/>
      </w:r>
      <w:r>
        <w:t xml:space="preserve">. In that regard, the stage variable in this sample performed as expected. However, there were no significant racial differences in the risk of having either </w:t>
      </w:r>
      <w:r w:rsidR="00F340C5">
        <w:t>late-stage</w:t>
      </w:r>
      <w:r>
        <w:t xml:space="preserve"> disease or unstaged disease. This is not reflective of well-documented racial cancer inequities, in which non-Hispanic Black people are at increased risk of both late stage cancer and unstaged cancer compared to non-Hispanic whites </w:t>
      </w:r>
      <w:r>
        <w:fldChar w:fldCharType="begin"/>
      </w:r>
      <w:r w:rsidR="006502FC">
        <w:instrText xml:space="preserve"> ADDIN ZOTERO_ITEM CSL_CITATION {"citationID":"HS5nlYb0","properties":{"formattedCitation":"(104)","plainCitation":"(104)","noteIndex":0},"citationItems":[{"id":3370,"uris":["http://zotero.org/users/1353333/items/PWZ26VVX"],"itemData":{"id":3370,"type":"report","event-place":"Atlanta, GA","language":"en","publisher":"American Cancer Society","publisher-place":"Atlanta, GA","source":"Zotero","title":"Cancer Facts &amp; Figures 2023","URL":"https://www.cancer.org/content/dam/cancer-org/research/cancer-facts-and-statistics/annual-cancer-facts-and-figures/2023/2023-cancer-facts-and-figures.pdf","author":[{"literal":"American Cancer Society"}],"issued":{"date-parts":[["2023"]]}}}],"schema":"https://github.com/citation-style-language/schema/raw/master/csl-citation.json"} </w:instrText>
      </w:r>
      <w:r>
        <w:fldChar w:fldCharType="separate"/>
      </w:r>
      <w:r w:rsidR="00770B11" w:rsidRPr="00770B11">
        <w:t>(104)</w:t>
      </w:r>
      <w:r>
        <w:fldChar w:fldCharType="end"/>
      </w:r>
      <w:r>
        <w:t>.</w:t>
      </w:r>
    </w:p>
    <w:p w14:paraId="326AA771" w14:textId="35320EB6" w:rsidR="006C52C1" w:rsidRDefault="008740F0" w:rsidP="008740F0">
      <w:pPr>
        <w:pStyle w:val="Heading2"/>
      </w:pPr>
      <w:bookmarkStart w:id="258" w:name="_Toc148375806"/>
      <w:r>
        <w:t xml:space="preserve">Role of </w:t>
      </w:r>
      <w:r w:rsidR="00B31DBF">
        <w:t>Exposure Specification</w:t>
      </w:r>
      <w:bookmarkEnd w:id="258"/>
    </w:p>
    <w:p w14:paraId="5C1CCFCE" w14:textId="77777777" w:rsidR="008740F0" w:rsidRDefault="008740F0" w:rsidP="008740F0">
      <w:r>
        <w:t>This study focused on a single measure of neighborhood conditions, concentrated disadvantage. Negative results may reflect a true lack of association between past concentrated disadvantage and cancer outcomes, or a limitation of other aspects of the analytic approach, rather than a limitation of residential history data itself. When it is available, residential history data represents a rich and complex form of information. Other researchers have used these data to study residential trajectories over time, residential instability, or spatiotemporal cancer risk for hypothesis generation. These approaches may be more informative for some research questions.</w:t>
      </w:r>
    </w:p>
    <w:p w14:paraId="585CF1BE" w14:textId="0F243508" w:rsidR="008740F0" w:rsidRDefault="008740F0" w:rsidP="008740F0">
      <w:r>
        <w:t xml:space="preserve">Using data from the 2003-2017 waves of the PSID and restricting the study sample to low income households, Kang employed sequence analysis to identify four distinct types of housing trajectories among families who had experienced housing instability </w:t>
      </w:r>
      <w:r>
        <w:fldChar w:fldCharType="begin"/>
      </w:r>
      <w:r w:rsidR="00770B11">
        <w:instrText xml:space="preserve"> ADDIN ZOTERO_ITEM CSL_CITATION {"citationID":"JBUzD1MW","properties":{"formattedCitation":"(112)","plainCitation":"(112)","noteIndex":0},"citationItems":[{"id":3268,"uris":["http://zotero.org/users/1353333/items/RXLSIM3L"],"itemData":{"id":3268,"type":"article-journal","container-title":"Housing Studies","page":"1–26","source":"Google Scholar","title":"Severe and persistent housing instability: examining low-income households’ residential mobility trajectories in the United States","title-short":"Severe and persistent housing instability","author":[{"family":"Kang","given":"Seungbeom"}],"issued":{"date-parts":[["2021"]]}}}],"schema":"https://github.com/citation-style-language/schema/raw/master/csl-citation.json"} </w:instrText>
      </w:r>
      <w:r>
        <w:fldChar w:fldCharType="separate"/>
      </w:r>
      <w:r w:rsidR="00770B11" w:rsidRPr="00770B11">
        <w:t>(112)</w:t>
      </w:r>
      <w:r>
        <w:fldChar w:fldCharType="end"/>
      </w:r>
      <w:r>
        <w:t xml:space="preserve">. This study identified risk factors for involuntary moves and extended periods of housing instability among PSID participants, including marital/partner transitions, job loss, household age, and chronic health conditions among household members. This study also demonstrates the diversity of residential </w:t>
      </w:r>
      <w:r>
        <w:lastRenderedPageBreak/>
        <w:t xml:space="preserve">histories that may be observed among PSID participants, as well as the many potential approaches to summarizing or measuring these trajectories. When available residential history data are believed to be adequate for the study approach, residential mobility may be an important factor in itself; however, researchers should use caution since moves may be undercounted in some groups </w:t>
      </w:r>
      <w:r>
        <w:fldChar w:fldCharType="begin"/>
      </w:r>
      <w:r w:rsidR="00B069DD">
        <w:instrText xml:space="preserve"> ADDIN ZOTERO_ITEM CSL_CITATION {"citationID":"dt113ex2","properties":{"formattedCitation":"(11)","plainCitation":"(11)","noteIndex":0},"citationItems":[{"id":1065,"uris":["http://zotero.org/users/1353333/items/B7LLG2XK"],"itemData":{"id":1065,"type":"article-journal","abstract":"Background: Social disadvantage predicts colorectal cancer (CRC) outcomes across the cancer care continuum for many populations and places. For medically underserved populations, social disadvantage is likely intersectional- affecting individuals at multiple levels and through membership in multiple disadvantaged groups. However, most measures of social disadvantage are cross-sectional and limited to race, ethnicity, and income. Linkages between electronic health records (EHRs) and external datasets offer rich, multilevel measures that may be more informative. Methods: We identified urban safety-net patients eligible and due for CRC screening from the Parkland-UT Southwestern PROSPR cohort. We assessed one-time screening receipt (via colonoscopy or fecal immunochemical test) in the 18 months following cohort entry via the EHR. We linked EHR data to housing and Census data to generate measures of social disadvantage at the parcel- and block-group level. We evaluated the association of these measures with screening using multilevel logistic regression models controlling for sociodemographics, comorbidity, and healthcare utilization. Results: Among 32,965 patients, 45.1% received screening. In adjusted models, residential mobility, residence type, and neighborhood majority race were associated with CRC screening. Nearly all measures of patient-level social disadvantage and healthcare utilization were significant. Conclusions: Address-based linkage of EHRs to external datasets may have the potential to expand meaningful measurement of multilevel social disadvantage. Researchers should strive to use granular, specific data in investigations of social disadvantage. Impact: Generating multilevel measures of social disadvantage through address-based linkages efficiently uses existing EHR data for applied, population-level research.","container-title":"Cancer Epidemiology and Prevention Biomarkers","DOI":"10.1158/1055-9965.EPI-18-0446","ISSN":"1055-9965, 1538-7755","journalAbbreviation":"Cancer Epidemiol Biomarkers Prev","language":"en","license":"Copyright ©2018, American Association for Cancer Research.","note":"PMID: 30135072","page":"cebp.0446.2018","source":"cebp.aacrjournals.org","title":"Social disadvantage, healthcare utilization, and colorectal cancer screening: Leveraging longitudinal patient address and electronic health records data","title-short":"Social disadvantage, healthcare utilization, and colorectal cancer screening","author":[{"family":"Hughes","given":"Amy E."},{"family":"Tiro","given":"Jasmin A."},{"family":"Balasubramanian","given":"Bijal A."},{"family":"Skinner","given":"Celette Sugg"},{"family":"Pruitt","given":"Sandi L."}],"issued":{"date-parts":[["2018",1,1]]}}}],"schema":"https://github.com/citation-style-language/schema/raw/master/csl-citation.json"} </w:instrText>
      </w:r>
      <w:r>
        <w:fldChar w:fldCharType="separate"/>
      </w:r>
      <w:r w:rsidR="00B069DD" w:rsidRPr="00B069DD">
        <w:t>(11)</w:t>
      </w:r>
      <w:r>
        <w:fldChar w:fldCharType="end"/>
      </w:r>
      <w:r>
        <w:t>.</w:t>
      </w:r>
    </w:p>
    <w:p w14:paraId="00B2F30C" w14:textId="07A587EF" w:rsidR="008740F0" w:rsidRDefault="008740F0" w:rsidP="008740F0">
      <w:r>
        <w:t xml:space="preserve">Hurley, et al. (2005) used data from the California Teachers Study to describe study participants’ lifetime residential mobility and its potential association with breast cancer risk </w:t>
      </w:r>
      <w:r>
        <w:fldChar w:fldCharType="begin"/>
      </w:r>
      <w:r w:rsidR="00770B11">
        <w:instrText xml:space="preserve"> ADDIN ZOTERO_ITEM CSL_CITATION {"citationID":"KLCsDsom","properties":{"formattedCitation":"(113)","plainCitation":"(113)","noteIndex":0},"citationItems":[{"id":1266,"uris":["http://zotero.org/users/1353333/items/GTBIU5LT"],"itemData":{"id":1266,"type":"article-journal","abstract":"Background: Especially for cancers with long latency periods, such as breast cancer, the issue of residential mobility hinders ecologic analyses seeking to examine the role of environmental contaminants in chronic disease etiology. This study describes and evaluates characteristics associated with residential mobility in a sub-sample of the California Teachers Study (CTS) cohort. Methods: In 2000, lifetime residential histories were collected for a sub-sample of 328 women enrolled in the CTS; women's degree of residential mobility and associated factors were analyzed. Results: While most women moved many times during their lives (average=8.9), the average number of years at their residence when they enrolled in the study was reasonably long (15.1 years). Age strongly predicted duration at current residence but was not related to the number of lifetime residences. After adjusting for age, California-born women and women living in high socioeconomic status (SES) neighborhoods were significantly more residentially stable. Agreement between self-reported urbanization of recent residences and that based on census data of the geocoded residences was very good (80% concordant). Among women currently living in urban areas, an average of 43.3 years, or 77%, of their lifetimes were spent in urban residences; among women currently living in a rural area, an average of 37.3 years, or 67% of their lifetimes were spent in rural residences. Conclusions: This suggests that analyses of incidence rates based on current residence, while not capturing a woman's full exposure history, may reasonably reflect some aspect of longer term chronic exposures, especially those related to urbanization, at least in professional women.","container-title":"Social Science &amp; Medicine","DOI":"10.1016/j.socscimed.2004.07.018","ISSN":"0277-9536","issue":"7","journalAbbreviation":"Social Science &amp; Medicine","page":"1547-1555","source":"ScienceDirect","title":"Residential mobility in the California Teachers Study: implications for geographic differences in disease rates","title-short":"Residential mobility in the California Teachers Study","volume":"60","author":[{"family":"Hurley","given":"Susan E."},{"family":"Reynolds","given":"Peggy"},{"family":"Goldberg","given":"Debbie E."},{"family":"Hertz","given":"Andrew"},{"family":"Anton-Culver","given":"Hoda"},{"family":"Bernstein","given":"Leslie"},{"family":"Deapen","given":"Dennis"},{"family":"Peel","given":"David"},{"family":"Pinder","given":"Richard"},{"family":"Ross","given":"Ronald K."},{"family":"West","given":"Dee"},{"family":"Wright","given":"William E."},{"family":"Ziogas","given":"Argyrios"},{"family":"Horn-Ross","given":"Pamela L."}],"issued":{"date-parts":[["2005",4,1]]}}}],"schema":"https://github.com/citation-style-language/schema/raw/master/csl-citation.json"} </w:instrText>
      </w:r>
      <w:r>
        <w:fldChar w:fldCharType="separate"/>
      </w:r>
      <w:r w:rsidR="00770B11" w:rsidRPr="00770B11">
        <w:t>(113)</w:t>
      </w:r>
      <w:r>
        <w:fldChar w:fldCharType="end"/>
      </w:r>
      <w:r>
        <w:t xml:space="preserve">. They found that residential stability was associated with living in higher-SES neighborhoods and with older age. Their results suggested that residence at diagnosis may reflect some aspects of women’s residential histories, especially aspects related to living in urban areas. In a separate study, Hurley, et al. (2017) evaluated whether commercial residential histories obtained from LexisNexis agreed with histories provided by California Teachers Study participants </w:t>
      </w:r>
      <w:r>
        <w:fldChar w:fldCharType="begin"/>
      </w:r>
      <w:r w:rsidR="00B069DD">
        <w:instrText xml:space="preserve"> ADDIN ZOTERO_ITEM CSL_CITATION {"citationID":"OgxzzeQn","properties":{"formattedCitation":"(50)","plainCitation":"(50)","noteIndex":0},"citationItems":[{"id":56,"uris":["http://zotero.org/users/1353333/items/XGW2S22H"],"itemData":{"id":56,"type":"article-journal","abstract":"Large-scale environmental epidemiologic studies often rely on exposure estimates based on linkage to residential addresses. This approach, however, is limited by the lack of residential histories typically available for study participants. Our objective was to evaluate the feasibility of using address data from LexisNexis (a division of RELX, Inc., Dayton, Ohio), a commercially available credit reporting company, to construct residential histories for participants in the California Teachers Study (CTS), a prospective cohort study initiated in 1995–1996 to study breast cancer (n = 133,479). We evaluated the degree to which LexisNexis could provide retrospective addresses prior to study enrollment, as well as the concordance with existing prospective CTS addresses ascertained at the time of the completion of 4 self-administered questionnaires. For approximately 80% of CTS participants, LexisNexis provided at least 1 retrospective address, including nearly 25,000 addresses completely encompassed by time periods prior to enrollment. This approach more than doubled the proportion of the study population for whom we had an address of residence during the childbearing years—an important window of susceptibility for breast cancer risk. While overall concordance between the prospective addresses contained in these 2 data sources was good (85%), it was diminished among black women and women under the age of 40 years.","container-title":"American Journal of Epidemiology","DOI":"10.1093/aje/kww108","ISSN":"0002-9262","issue":"3","journalAbbreviation":"Am J Epidemiol","language":"en","page":"238-246","source":"academic.oup.com","title":"Tracing a Path to the Past: Exploring the Use of Commercial Credit Reporting Data to Construct Residential Histories for Epidemiologic Studies of Environmental Exposures","title-short":"Tracing a Path to the Past","volume":"185","author":[{"family":"Hurley","given":"Susan"},{"family":"Hertz","given":"Andrew"},{"family":"Nelson","given":"David O."},{"family":"Layefsky","given":"Michael"},{"family":"Von Behren","given":"Julie"},{"family":"Bernstein","given":"Leslie"},{"family":"Deapen","given":"Dennis"},{"family":"Reynolds","given":"Peggy"}],"issued":{"date-parts":[["2017",2,1]]}}}],"schema":"https://github.com/citation-style-language/schema/raw/master/csl-citation.json"} </w:instrText>
      </w:r>
      <w:r>
        <w:fldChar w:fldCharType="separate"/>
      </w:r>
      <w:r w:rsidR="00B069DD" w:rsidRPr="00B069DD">
        <w:t>(50)</w:t>
      </w:r>
      <w:r>
        <w:fldChar w:fldCharType="end"/>
      </w:r>
      <w:r>
        <w:t>. While they added previously unavailable residence information during the reproductive years for many participants, they also found that these data were less complete in Black women and younger women. Their approach may be useful to researchers who already have access to partial residential histories and wish to enhance them, rather than restricting their study to participants with commercial residential history available.</w:t>
      </w:r>
    </w:p>
    <w:p w14:paraId="6C22D1D9" w14:textId="47F99EC6" w:rsidR="008740F0" w:rsidRPr="000D3F8D" w:rsidRDefault="008740F0" w:rsidP="008740F0">
      <w:r>
        <w:t xml:space="preserve">Finally, researchers have used a combination of cancer registries and commercial residential history data to identify potential clusters of cancer cases at specific locations and points in time </w:t>
      </w:r>
      <w:r>
        <w:fldChar w:fldCharType="begin"/>
      </w:r>
      <w:r w:rsidR="00770B11">
        <w:instrText xml:space="preserve"> ADDIN ZOTERO_ITEM CSL_CITATION {"citationID":"2f35gYfu","properties":{"formattedCitation":"(49,92,114\\uc0\\u8211{}117)","plainCitation":"(49,92,114–117)","noteIndex":0},"citationItems":[{"id":1267,"uris":["http://zotero.org/users/1353333/items/54J5XQXG"],"itemData":{"id":1267,"type":"article-journal","abstract":"Methods for analyzing space-time variation in risk in case-control studies typically ignore residential mobility. We develop an approach for analyzing case-control data for mobile individuals and apply it to study bladder cancer in 11 counties in southeastern Michigan. At this time data collection is incomplete and no inferences should be drawn – we analyze these data to demonstrate the novel methods. Global, local and focused clustering of residential histories for 219 cases and 437 controls is quantified using time-dependent nearest neighbor relationships. Business address histories for 268 industries that release known or suspected bladder cancer carcinogens are analyzed. A logistic model accounting for smoking, gender, age, race and education specifies the probability of being a case, and is incorporated into the cluster randomization procedures. Sensitivity of clustering to definition of the proximity metric is assessed for 1 to 75 k nearest neighbors.","container-title":"International Journal of Health Geographics","DOI":"10.1186/1476-072X-5-32","ISSN":"1476-072X","issue":"1","journalAbbreviation":"International Journal of Health Geographics","page":"32","source":"BioMed Central","title":"Case-control geographic clustering for residential histories accounting for risk factors and covariates","volume":"5","author":[{"family":"Jacquez","given":"Geoffrey M."},{"family":"Meliker","given":"Jaymie R."},{"family":"AvRuskin","given":"Gillian A."},{"family":"Goovaerts","given":"Pierre"},{"family":"Kaufmann","given":"Andy"},{"family":"Wilson","given":"Mark L."},{"family":"Nriagu","given":"Jerome"}],"issued":{"date-parts":[["2006",8,3]]}},"label":"page"},{"id":1284,"uris":["http://zotero.org/users/1353333/items/NRUBHZV9"],"itemData":{"id":1284,"type":"article-journal","abstract":"A key problem facing epidemiologists who wish to account for residential mobility in their analyses is the cost and difficulty of obtaining residential histories. Commercial residential history data of acceptable accuracy, cost, and coverage would be of great value. The present research evaluated the accuracy of residential histories from LexisNexis, Inc. The authors chose LexisNexis because the Michigan Cancer Registry has considered using their data, they have excellent procedures for privacy protection, and they make available residential histories at 25 cents per person. Only first and last name and address at last-known residence are required to access the residential history. The authors compared lifetime residential histories collected through the use of written surveys in a case-control study of bladder cancer in Michigan to the 3 residential addresses routinely available in the address history from LexisNexis. The LexisNexis address matches, as a whole, accounted for 71.5% of participants’ lifetime addresses. These results provided a level of accuracy that indicates routine use of residential histories from commercial vendors is feasible. More detailed residential histories are available at a higher cost but were not analyzed in this study. Although higher accuracy is desirable, LexisNexis data are a vast improvement over the assumption of immobile individuals currently used in many spatial and spatiotemporal studies.","container-title":"American Journal of Epidemiology","DOI":"10.1093/aje/kwq350","ISSN":"0002-9262","issue":"2","journalAbbreviation":"Am J Epidemiol","note":"PMID: 21084554\nPMCID: PMC3025779","page":"236-243","source":"PubMed Central","title":"Accuracy of Commercially Available Residential Histories for Epidemiologic Studies","volume":"173","author":[{"family":"Jacquez","given":"Geoffrey M."},{"family":"Slotnick","given":"Melissa J."},{"family":"Meliker","given":"Jaymie R."},{"family":"AvRuskin","given":"Gillian"},{"family":"Copeland","given":"Glenn"},{"family":"Nriagu","given":"Jerome"}],"issued":{"date-parts":[["2011",1,15]]}},"label":"page"},{"id":1268,"uris":["http://zotero.org/users/1353333/items/SY5KU2T2"],"itemData":{"id":1268,"type":"article-journal","abstract":"Marin County (California, USA) has among the highest incidences of breast cancer in the U.S. A previously conducted case-control study found eight significant risk factors in participants enrolled from 1997–1999. These included being premenopausal, never using birth control pills, lower highest lifetime body mass index, having four or more mammograms from 1990–1994, beginning drinking alcohol after age 21, drinking an average two or more alcoholic drinks per day, being in the highest quartile of pack-years of cigarette smoking, and being raised in an organized religion. Previously conducted surveys provided residential histories; while  statistic accounted for participants’ residential mobility, and assessed clustering of breast cancer cases relative to controls based on the known risk factors. These identified specific cases, places, and times of excess breast cancer risk. Analysis found significant global clustering of cases localized to specific residential histories and times. Much of the observed clustering occurred among participants who immigrated to Marin County. However, persistent case-clustering of greater than fifteen years duration was also detected. Significant case-clustering among long-term residents may indicate geographically localized risk factors not accounted for in the study design, as well as uncertainty and incompleteness in the acquired addresses. Other plausible explanations include environmental risk factors and cases tending to settle in specific areas. A biologically plausible exposure or risk factor has yet to be identified.","container-title":"International Journal of Environmental Research and Public Health","DOI":"10.3390/ijerph110100271","issue":"1","language":"en","license":"http://creativecommons.org/licenses/by/3.0/","page":"271-295","source":"www.mdpi.com","title":"Residential Mobility and Breast Cancer in Marin County, California, USA","volume":"11","author":[{"family":"Jacquez","given":"Geoffrey"},{"family":"Barlow","given":"Janice"},{"family":"Rommel","given":"Robert"},{"family":"Kaufmann","given":"Andy"},{"family":"Rienti","given":"Michael"},{"family":"AvRuskin","given":"Gillian"},{"family":"Rasul","given":"Jawaid"},{"family":"Jacquez","given":"Geoffrey M."},{"family":"Barlow","given":"Janice"},{"family":"Rommel","given":"Robert"},{"family":"Kaufmann","given":"Andy"},{"family":"Rienti","given":"Michael"},{"family":"AvRuskin","given":"Gillian"},{"family":"Rasul","given":"Jawaid"}],"issued":{"date-parts":[["2013",12,23]]}},"label":"page"},{"id":1288,"uris":["http://zotero.org/users/1353333/items/5A7IMN3U"],"itemData":{"id":1288,"type":"article-journal","abstract":"Background In case control studies disease risk not explained by the significant risk factors is the unexplained risk. Considering unexplained risk for specific populations, places and times can reveal the signature of unidentified risk factors and risk factors not fully accounted for in the case-control study. This potentially can lead to new hypotheses regarding disease causation. Methods Global, local and focused Q-statistics are applied to data from a population-based case-control study of 11 southeast Michigan counties. Analyses were conducted using both year- and age-based measures of time. The analyses were adjusted for arsenic exposure, education, smoking, family history of bladder cancer, occupational exposure to bladder cancer carcinogens, age, gender, and race. Results Significant global clustering of cases was not found. Such a finding would indicate large-scale clustering of cases relative to controls through time. However, highly significant local clusters were found in Ingham County near Lansing, in Oakland County, and in the City of Jackson, Michigan. The Jackson City cluster was observed in working-ages and is thus consistent with occupational causes. The Ingham County cluster persists over time, suggesting a broad-based geographically defined exposure. Focused clusters were found for 20 industrial sites engaged in manufacturing activities associated with known or suspected bladder cancer carcinogens. Set-based tests that adjusted for multiple testing were not significant, although local clusters persisted through time and temporal trends in probability of local tests were observed. Conclusion Q analyses provide a powerful tool for unpacking unexplained disease risk from case-control studies. This is particularly useful when the effect of risk factors varies spatially, through time, or through both space and time. For bladder cancer in Michigan, the next step is to investigate causal hypotheses that may explain the excess bladder cancer risk localized to areas of Oakland and Ingham counties, and to the City of Jackson.","container-title":"PLOS ONE","DOI":"10.1371/journal.pone.0124516","ISSN":"1932-6203","issue":"4","journalAbbreviation":"PLOS ONE","language":"en","page":"e0124516","source":"PLoS Journals","title":"Local Bladder Cancer Clusters in Southeastern Michigan Accounting for Risk Factors, Covariates and Residential Mobility","volume":"10","author":[{"family":"Jacquez","given":"Geoffrey M."},{"family":"Shi","given":"Chen"},{"family":"Meliker","given":"Jaymie R."}],"issued":{"date-parts":[["2015",4,9]]}},"label":"page"},{"id":1286,"uris":["http://zotero.org/users/1353333/items/BX6XXJYU"],"itemData":{"id":1286,"type":"article-journal","abstract":"Non-Hodgkin lymphoma (NHL) is a frequent cancer and incidence rates have increased markedly during the second half of the 20th century; however, the few established risk factors cannot explain this rise and still little is known about the aetiology of NHL. Spatial analyses have been applied in an attempt to identify environmental risk factors, but most studies do not take human mobility into account. The aim of this study was to identify clustering of NHL in space and time in Denmark, using 33 years of residential addresses. We utilised the nation-wide Danish registers and unique personal identification number that all Danish citizens have to conduct a register-based case-control study of 3210 NHL cases and two independent control groups of 3210 each. Cases were identified in the Danish Cancer Registry and controls were matched by age and sex and randomly selected from the Civil Registration System. Residential addresses of cases and controls from 1971 to 2003 were collected from the Civil Registration System and geocoded. Data on pervious hospital diagnoses and operations were obtained from the National Patient Register. We applied the methods of the newly developed Q-statistics to identify space-time clustering of NHL. All analyses were conducted with each of the two control groups, and we adjusted for previous history of autoimmune disease, HIV/AIDS or organ transplantation. Some areas with statistically significant clustering were identified; however, results were not consistent across the two control groups; thus we interpret the results as chance findings. We found no evidence for clustering of NHL in space and time using 33 years of residential histories, suggesting that if the rise in incidence of NHL is a result of risk factors that vary across space and time, the spatio-temporal variation of such factors in Denmark is too small to be detected with the applied method.","container-title":"PLOS ONE","DOI":"10.1371/journal.pone.0060800","ISSN":"1932-6203","issue":"4","journalAbbreviation":"PLOS ONE","language":"en","page":"e60800","source":"PLoS Journals","title":"Space-Time Clustering of Non-Hodgkin Lymphoma Using Residential Histories in a Danish Case-Control Study","volume":"8","author":[{"family":"Nordsborg","given":"Rikke Baastrup"},{"family":"Meliker","given":"Jaymie R."},{"family":"Ersbøll","given":"Annette Kjær"},{"family":"Jacquez","given":"Geoffrey M."},{"family":"Raaschou-Nielsen","given":"Ole"}],"issued":{"date-parts":[["2013",4,1]]}},"label":"page"},{"id":1207,"uris":["http://zotero.org/users/1353333/items/C6NSBQ73"],"itemData":{"id":1207,"type":"article-journal","abstract":"Though the etiology is largely unknown, testicular cancer incidence has seen recent significant increases in northern Europe and throughout many Western regions. The most common cancer in males under age 40, age period cohort models have posited exposures in the in utero environment or in early childhood as possible causes of increased risk of testicular cancer. Some of these factors may be tied to geography through being associated with behavioral, cultural, sociodemographic or built environment characteristics. If so, this could result in detectable geographic clusters of cases that could lead to hypotheses regarding environmental targets for intervention. Given a latency period between exposure to an environmental carcinogen and testicular cancer diagnosis, mobility histories are beneficial for spatial cluster analyses. Nearest-neighbor based Q-statistics allow for the incorporation of changes in residency in spatial disease cluster detection. Using these methods, a space-time cluster analysis was conducted on a population-wide case-control population selected from the Danish Cancer Registry with mobility histories since 1971 extracted from the Danish Civil Registration System. Cases (N=3297) were diagnosed between 1991 and 2003, and two sets of controls (N=3297 for each set) matched on sex and date of birth were included in the study. We also examined spatial patterns in maternal residential history for those cases and controls born in 1971 or later (N= 589 case-control pairs). Several small clusters were detected when aligning individuals by year prior to diagnosis, age at diagnosis and calendar year of diagnosis. However, the largest of these clusters contained only 2 statistically significant individuals at their center, and were not replicated in SaTScan spatial-only analyses which are less susceptible to multiple testing bias. We found little evidence of local clusters in residential histories of testicular cancer cases in this Danish population.","container-title":"PLoS ONE","DOI":"10.1371/journal.pone.0120285","ISSN":"1932-6203","issue":"3","journalAbbreviation":"PLoS One","note":"PMID: 25756204\nPMCID: PMC4355495","source":"PubMed Central","title":"Space-Time Analysis of Testicular Cancer Clusters Using Residential Histories: A Case-Control Study in Denmark","title-short":"Space-Time Analysis of Testicular Cancer Clusters Using Residential Histories","URL":"https://www.ncbi.nlm.nih.gov/pmc/articles/PMC4355495/","volume":"10","author":[{"family":"Sloan","given":"Chantel D."},{"family":"Nordsborg","given":"Rikke B."},{"family":"Jacquez","given":"Geoffrey M."},{"family":"Raaschou-Nielsen","given":"Ole"},{"family":"Meliker","given":"Jaymie R."}],"accessed":{"date-parts":[["2018",10,3]]},"issued":{"date-parts":[["2015",3,10]]}},"label":"page"}],"schema":"https://github.com/citation-style-language/schema/raw/master/csl-citation.json"} </w:instrText>
      </w:r>
      <w:r>
        <w:fldChar w:fldCharType="separate"/>
      </w:r>
      <w:r w:rsidR="00770B11" w:rsidRPr="00770B11">
        <w:rPr>
          <w:rFonts w:cs="Times New Roman"/>
          <w:szCs w:val="24"/>
        </w:rPr>
        <w:t>(49,92,114–117)</w:t>
      </w:r>
      <w:r>
        <w:fldChar w:fldCharType="end"/>
      </w:r>
      <w:r>
        <w:t xml:space="preserve">. These studies typically have a case control design and do not specify a particular exposure, other than living in a particular area at a given time. This approach is particularly relevant to identifying potential environmental carcinogens and the investigation of cancer clusters, an important motivation for the use of residential history data. These approaches may be able to be adapted by researchers interested in social or political determinants of health, for </w:t>
      </w:r>
      <w:r>
        <w:lastRenderedPageBreak/>
        <w:t>example, to study whether disease risks have changed over time in areas affected by segregation or policy change.</w:t>
      </w:r>
    </w:p>
    <w:p w14:paraId="4D9090DB" w14:textId="5FE87167" w:rsidR="008740F0" w:rsidRDefault="008740F0" w:rsidP="008740F0">
      <w:pPr>
        <w:pStyle w:val="Heading2"/>
      </w:pPr>
      <w:bookmarkStart w:id="259" w:name="_Toc148375807"/>
      <w:r>
        <w:t xml:space="preserve">Future </w:t>
      </w:r>
      <w:r w:rsidR="00B31DBF">
        <w:t>Directions</w:t>
      </w:r>
      <w:bookmarkEnd w:id="259"/>
    </w:p>
    <w:p w14:paraId="1AA5D417" w14:textId="65BB724C" w:rsidR="008740F0" w:rsidRDefault="008740F0" w:rsidP="008740F0">
      <w:pPr>
        <w:pStyle w:val="Heading3"/>
        <w:numPr>
          <w:ilvl w:val="0"/>
          <w:numId w:val="19"/>
        </w:numPr>
      </w:pPr>
      <w:bookmarkStart w:id="260" w:name="_Toc148375808"/>
      <w:r>
        <w:t xml:space="preserve">Using PSID for </w:t>
      </w:r>
      <w:r w:rsidR="00B31DBF">
        <w:t>Social Epidemiology</w:t>
      </w:r>
      <w:bookmarkEnd w:id="260"/>
    </w:p>
    <w:p w14:paraId="267D5827" w14:textId="0DF89410" w:rsidR="008740F0" w:rsidRDefault="008740F0" w:rsidP="008740F0">
      <w:r>
        <w:t xml:space="preserve">Researchers interested in using PSID data should carefully consider the role of place in their studies. While segregation may operate at multiple scales—for example, in both neighborhoods and across an entire metropolitan region—the specific policies and practices that produce residential segregation may vary by jurisdiction. Multiple researchers have recommended studying segregation and its consequences in smaller areas, both to ascertain the specific patterns of segregation that are present, and to tailor research questions to potential policy solutions </w:t>
      </w:r>
      <w:r>
        <w:fldChar w:fldCharType="begin"/>
      </w:r>
      <w:r w:rsidR="00770B11">
        <w:instrText xml:space="preserve"> ADDIN ZOTERO_ITEM CSL_CITATION {"citationID":"SNaIRvPX","properties":{"formattedCitation":"(2,78)","plainCitation":"(2,78)","noteIndex":0},"citationItems":[{"id":3224,"uris":["http://zotero.org/users/1353333/items/GJXSIBSU"],"itemData":{"id":3224,"type":"article-journal","abstract":"A recent surge of interest in identifying the health effects of structural racism has coincided with the ongoing attention to neighborhood effects in both epidemiology and sociology. Mindful of these currents in the literature, it makes sense that we are seeing an emergent tendency in health disparities research to operationalize structural racism as either neighborhood disadvantage or racial residential segregation. This review essay synthesizes findings on the relevance of neighborhood disadvantage and residential segregation to the study of structural racism and health. It then draws on recent literature to propose four lessons for moving beyond traditional neighborhood effects approaches in the study of structural racism and health. These lessons are (1) to shift the focus of research from census tracts to theoretically meaningful units of analysis, (2) to leverage historic and geographic variation in race relations, (3) to combine data from multiple sources, and (4) to challenge normative framing that aims to explain away racial health disparities without discussing racism or racial hierarchy. The author concludes that research on the health effects of structural racism should go beyond traditional neighborhood effects approaches if it is to guide intervention to reduce racial and ethnic health disparities.","container-title":"Journal of Racial and Ethnic Health Disparities","DOI":"10.1007/s40615-017-0378-5","ISSN":"2196-8837","issue":"2","journalAbbreviation":"J. Racial and Ethnic Health Disparities","language":"en","page":"357-365","source":"Springer Link","title":"Neighborhood Disadvantage, Residential Segregation, and Beyond—Lessons for Studying Structural Racism and Health","volume":"5","author":[{"family":"Riley","given":"Alicia R."}],"issued":{"date-parts":[["2018",4,1]]}},"label":"page"},{"id":895,"uris":["http://zotero.org/users/1353333/items/S9NVM8K5"],"itemData":{"id":895,"type":"article-journal","abstract":"BackgroundThis paper provides the first review of empirical studies of segregation and black-white cancer disparities.MethodsWe searched all years of PubMed (through May 2016) using these terms: racial segregation, residential segregation, neighborhood racial composition (first terms) and (second terms) cancer incidence, mortality, survival, stage at diagnosis, screening. The 17 (of 668) articles that measured both segregation and a cancer outcome were retained.ResultsSegregation contributed significantly to cancer and to racial cancer disparities in 70% of analyses, even after controlling for socioeconomic status and health insurance. Residing in segregated African-American areas was associated with higher odds of later-stage diagnosis of breast and lung cancers, higher mortality rates and lower survival rates from breast and lung cancers, and higher cumulative cancer risks associated with exposure to ambient air toxics. There were no studies of many types of cancer (e.g., cervical). Studies differed in their measure of segregation, and 40% used an invalid measure. Possible mediators of the segregation effect usually were not tested.ConclusionsEmpirical analysis of segregation and racial cancer disparities is a recent area of research. The literature is limited to 17 studies that focused primarily on breast cancer. Studies differed in their measure of segregation, yet segregation nonetheless contributed to cancer and to racial cancer disparities in 70% of analyses. This suggests the need for further research that uses valid measures of segregation, examines a variety of types of cancers, and explores the variables that may mediate the segregation effect.","container-title":"Journal of Racial and Ethnic Health Disparities","DOI":"10.1007/s40615-016-0326-9","ISSN":"2197-3792, 2196-8837","journalAbbreviation":"J. Racial and Ethnic Health Disparities","language":"en","page":"1-11","source":"link.springer.com","title":"Residential Segregation and Racial Cancer Disparities: A Systematic Review","title-short":"Residential Segregation and Racial Cancer Disparities","author":[{"family":"Landrine","given":"Hope"},{"family":"Corral","given":"Irma"},{"family":"Lee","given":"Joseph G. L."},{"family":"Efird","given":"Jimmy T."},{"family":"Hall","given":"Marla B."},{"family":"Bess","given":"Jukelia J."}],"issued":{"date-parts":[["2016",12,30]]}},"label":"page"}],"schema":"https://github.com/citation-style-language/schema/raw/master/csl-citation.json"} </w:instrText>
      </w:r>
      <w:r>
        <w:fldChar w:fldCharType="separate"/>
      </w:r>
      <w:r w:rsidR="00770B11" w:rsidRPr="00770B11">
        <w:t>(2,78)</w:t>
      </w:r>
      <w:r>
        <w:fldChar w:fldCharType="end"/>
      </w:r>
      <w:r>
        <w:t>. Therefore, the approach taken in this study—focused on a single measure of neighborhood conditions, but agnostic to place—may not be the best suited to understand the hypothesized relationship in which exposure to segregation might influence survival with cancer.</w:t>
      </w:r>
    </w:p>
    <w:p w14:paraId="31ABA3F0" w14:textId="37951EBD" w:rsidR="008740F0" w:rsidRPr="007B5EF4" w:rsidRDefault="007F1C7D" w:rsidP="008740F0">
      <w:r>
        <w:t xml:space="preserve">Geographic </w:t>
      </w:r>
      <w:r w:rsidR="008740F0">
        <w:t xml:space="preserve">PSID data include tract-level residential history information for every year that a given individual was represented in the survey. This information is available in the restricted geocode match file used for this study </w:t>
      </w:r>
      <w:r w:rsidR="008740F0">
        <w:fldChar w:fldCharType="begin"/>
      </w:r>
      <w:r w:rsidR="00770B11">
        <w:instrText xml:space="preserve"> ADDIN ZOTERO_ITEM CSL_CITATION {"citationID":"c60hD2e3","properties":{"formattedCitation":"(71)","plainCitation":"(71)","noteIndex":0},"citationItems":[{"id":3576,"uris":["http://zotero.org/users/1353333/items/7QQLUK8I"],"itemData":{"id":3576,"type":"report","event-place":"Ann Arbor, MI","publisher":"Institute for Social Research, University of Michigan","publisher-place":"Ann Arbor, MI","title":"Documentation for the 2010 Census PSID Geocode Match File","issued":{"date-parts":[["2021",12]]}}}],"schema":"https://github.com/citation-style-language/schema/raw/master/csl-citation.json"} </w:instrText>
      </w:r>
      <w:r w:rsidR="008740F0">
        <w:fldChar w:fldCharType="separate"/>
      </w:r>
      <w:r w:rsidR="00770B11" w:rsidRPr="00770B11">
        <w:t>(71)</w:t>
      </w:r>
      <w:r w:rsidR="008740F0">
        <w:fldChar w:fldCharType="end"/>
      </w:r>
      <w:r w:rsidR="008740F0">
        <w:t>. Researchers who plan to use restricted data may also access the state(s) in which participants were born and died according to their death certificate in the updated mortality file. For research questions that will use data on the full national sample of participants, location data available from the public data index may actually be more useful and appropriate. The PSID Family Public Data Index includes the current state and region of residence and the self-reported state and region where participants were born and grew up. These variables provide potential links to explore the effects of state policies on social and economic well-being, health, and ultimately, mortality.</w:t>
      </w:r>
    </w:p>
    <w:p w14:paraId="27E5E6D8" w14:textId="3B7F92A7" w:rsidR="008740F0" w:rsidRDefault="008740F0" w:rsidP="008740F0">
      <w:pPr>
        <w:pStyle w:val="Heading3"/>
      </w:pPr>
      <w:bookmarkStart w:id="261" w:name="_Toc148375809"/>
      <w:r>
        <w:lastRenderedPageBreak/>
        <w:t xml:space="preserve">Weighing </w:t>
      </w:r>
      <w:r w:rsidR="00B31DBF">
        <w:t>the Probability of Data Loss and Selection Bias When Using Residential Histories to Study Marginalized Populations</w:t>
      </w:r>
      <w:bookmarkEnd w:id="261"/>
    </w:p>
    <w:p w14:paraId="1CE7F182" w14:textId="77777777" w:rsidR="008740F0" w:rsidRPr="00674F19" w:rsidRDefault="008740F0" w:rsidP="008740F0">
      <w:pPr>
        <w:rPr>
          <w:rFonts w:eastAsia="Times New Roman" w:cs="Times New Roman"/>
        </w:rPr>
      </w:pPr>
      <w:r>
        <w:t>Using both commercial and survey data, this study found no evidence that CD scores derived from residential histories were associated with cancer outcomes. However, it confirmed previous findings that CD score around the time of diagnosis does predict disease-specific survival in people with cancer. It also provided evidence that conditioning study inclusion on the availability of extensive residential history data may result in an unacceptable degree of loss of other data: the diverse cancer and survival experiences of people harmed by racial health inequities. In multiple settings, the requirement that a person be observed repeatedly for years or decades resulted in study samples that were not representative of cancer inequities prevailing in the general population. Collecting or estimating increasingly detailed information about a relatively small group of individuals did not provide new information about a systemic inequity that has been well documented.</w:t>
      </w:r>
    </w:p>
    <w:p w14:paraId="0CB96267" w14:textId="7B3B4A80" w:rsidR="008740F0" w:rsidRDefault="008740F0" w:rsidP="008740F0">
      <w:pPr>
        <w:pStyle w:val="Heading3"/>
      </w:pPr>
      <w:bookmarkStart w:id="262" w:name="_Toc148375810"/>
      <w:r>
        <w:t xml:space="preserve">Acting </w:t>
      </w:r>
      <w:r w:rsidR="00B31DBF">
        <w:t>on Evidence That Neighborhood Disadvantage at Diagnosis Contributes to Preventable Cancer Deaths Due to Systemic Racism</w:t>
      </w:r>
      <w:bookmarkEnd w:id="262"/>
    </w:p>
    <w:p w14:paraId="48C1A13A" w14:textId="77777777" w:rsidR="008740F0" w:rsidRDefault="008740F0" w:rsidP="008740F0">
      <w:r>
        <w:t>This study confirmed that neighborhood conditions around the time of cancer diagnosis do predict disease-specific survival, even if no information is added by looking back in time. As described above, the observed lack of association between past neighborhood CD and cancer prognosis is most likely a result of the multiple limitations of both the available data and the analytic approach.</w:t>
      </w:r>
    </w:p>
    <w:p w14:paraId="4752FADF" w14:textId="7A0662C7" w:rsidR="008740F0" w:rsidRDefault="008740F0" w:rsidP="008740F0">
      <w:r>
        <w:t xml:space="preserve">Segregation has been described as a fundamental cause of health inequities through its influence on access to resources </w:t>
      </w:r>
      <w:r>
        <w:fldChar w:fldCharType="begin"/>
      </w:r>
      <w:r w:rsidR="00B069DD">
        <w:instrText xml:space="preserve"> ADDIN ZOTERO_ITEM CSL_CITATION {"citationID":"AsDhpAh0","properties":{"formattedCitation":"(37)","plainCitation":"(37)","noteIndex":0},"citationItems":[{"id":86,"uris":["http://zotero.org/users/1353333/items/TP64RD2L"],"itemData":{"id":86,"type":"article-journal","container-title":"Public Health Reports","language":"en","page":"13","source":"Zotero","title":"Racial Residential Segregation: A Fundamental Cause of Racial Disparities in Health","volume":"116","author":[{"family":"Williams","given":"David R"},{"family":"Collins","given":"Chiquita"}],"issued":{"date-parts":[["2001"]]}}}],"schema":"https://github.com/citation-style-language/schema/raw/master/csl-citation.json"} </w:instrText>
      </w:r>
      <w:r>
        <w:fldChar w:fldCharType="separate"/>
      </w:r>
      <w:r w:rsidR="00B069DD" w:rsidRPr="00B069DD">
        <w:t>(37)</w:t>
      </w:r>
      <w:r>
        <w:fldChar w:fldCharType="end"/>
      </w:r>
      <w:r>
        <w:t xml:space="preserve">. This relationship is supported by evidence that access to relevant resources, especially health care, is associated with cancer outcomes and partially accounts for outcome disparities </w:t>
      </w:r>
      <w:r>
        <w:fldChar w:fldCharType="begin"/>
      </w:r>
      <w:r w:rsidR="00770B11">
        <w:instrText xml:space="preserve"> ADDIN ZOTERO_ITEM CSL_CITATION {"citationID":"bU6lmA1f","properties":{"formattedCitation":"(5,76,77)","plainCitation":"(5,76,77)","noteIndex":0},"citationItems":[{"id":53,"uris":["http://zotero.org/users/1353333/items/A6N7P9JY"],"itemData":{"id":53,"type":"article-journal","abstract":"BACKGROUND: Spatial access to primary care has been associated with late-stage and fatal breast cancer, but less is known about its relation to outcomes of other screening-preventable cancers such as colorectal cancer. This population-based retrospective cohort study examined whether spatial access to primary care providers associates with colorectal cancer-specific survival.\nMETHODS: Approximately 26 600 incident colorectal cancers diagnosed between 2000 and 2008 in adults residing in Cook County, Illinois were identified through the state cancer registry and georeferenced to the census tract of residence at diagnosis. An enhanced two-step floating catchment area method measured tract-level access to primary care physicians (PCPs) in the year of diagnosis using practice locations obtained from the American Medical Association. Vital status and underlying cause of death were determined using the National Death Index. Fine-Gray proportional subdistribution hazard models analyzed the association between tract-level PCP access scores and colorectal cancer-specific survival after accounting for tract-level socioeconomic status, case demographics, tumor characteristics, and other factors.\nRESULTS: Increased tract-level access to PCPs was associated with a lower risk of death from colorectal cancer (hazard ratio [HR], 95% confidence interval [CI]) = 0.87 [0.79, 0.96], P = .008, highest vs lowest quintile), especially among persons diagnosed with regional-stage tumors (HR, 95% CI = 0.80 [0.69, 0.93], P = .004, highest vs lowest quintile).\nCONCLUSIONS: Spatial access to primary care providers is a predictor of colorectal cancer-specific survival in Cook County, Illinois. Future research is needed to determine which areas within the cancer care continuum are most affected by spatial accessibility to primary care such as referral for screening, accessibility of screening and diagnostic testing, referral for treatment, and access to appropriate survivorship-related care.","container-title":"Cancer Medicine","DOI":"10.1002/cam4.2957","ISSN":"2045-7634","issue":"9","journalAbbreviation":"Cancer Med","language":"eng","note":"PMID: 32130791\nPMCID: PMC7196057","page":"3211-3223","source":"PubMed","title":"Spatial access to primary care providers and colorectal cancer-specific survival in Cook County, Illinois","volume":"9","author":[{"family":"Freeman","given":"Vincent L."},{"family":"Naylor","given":"Keith B."},{"family":"Boylan","given":"Emma E."},{"family":"Booth","given":"Benjamin J."},{"family":"Pugach","given":"Oksana"},{"family":"Barrett","given":"Richard E."},{"family":"Campbell","given":"Richard T."},{"family":"McLafferty","given":"Sara L."}],"issued":{"date-parts":[["2020",5]]}},"label":"page"},{"id":699,"uris":["http://zotero.org/users/1353333/items/HHFDUA2C"],"itemData":{"id":699,"type":"article-journal","abstract":"This paper reports a study examining the association between colorectal cancer (CRC) survival and access to healthcare in Texas using data from the Texas cancer registry. We geo-referenced the data to the census tract level and used an enhanced 2-step floating catchment area method and factor analysis to estimate people's spatial and non-spatial access to healthcare. In addition, Cox proportional hazard regression was employed to assess the influence of different factors on CRC survival, and a spatial scan statistic was used to investigate the geographic disparity of CRC survival and the influence of access to healthcare. The analyses revealed that Hispanics, non-Hispanic blacks, and residents from several regions in Texas were more likely to die from CRC than others. Disadvantaged population groups based on factors rather than spatial access had an increased risk of CRC-specific mortality. Spatial access to oncologists has a significant association with CRC survival in non-urban areas but not in urban areas. Geographic disparities of CRC survival were largely influenced by factors rather than spatial access to healthcare.","container-title":"Health &amp; Place","DOI":"10.1016/j.healthplace.2011.10.007","ISSN":"1353-8292","issue":"2","journalAbbreviation":"Health &amp; Place","page":"321-329","source":"ScienceDirect","title":"Access to healthcare and disparities in colorectal cancer survival in Texas","volume":"18","author":[{"family":"Wan","given":"Neng"},{"family":"Zhan","given":"F. Benjamin"},{"family":"Lu","given":"Yongmei"},{"family":"Tiefenbacher","given":"John P."}],"issued":{"date-parts":[["2012",3]]}},"label":"page"},{"id":408,"uris":["http://zotero.org/users/1353333/items/E6BNMES9"],"itemData":{"id":408,"type":"article-journal","abstract":"The variations of breast cancer mortality rates from place to place reflect both underlying differences in breast cancer prevalence and differences in diagnosis and treatment that affect the risk of death. This article examines the role of access to health care in explaining the variation of late-stage diagnosis of breast cancer. We use cancer registry data for the state of Illinois by zip code to investigate spatial variation in late diagnosis. Geographic information systems and spatial analysis methods are used to create detailed measures of spatial access to health care such as convenience of visiting primary care physicians and travel time from the nearest mammography facility. The effects of spatial access, in combination with the influences of socioeconomic factors, on late-stage breast cancer diagnosis are assessed using statistical methods. The results suggest that for breast cancer, poor geographical access to primary health care significantly increases the risk of late diagnosis for persons living outside the city of Chicago. Disadvantaged population groups including those with low income and racial and ethnic minorities tend to experience high rates of late diagnosis. In Illinois, poor spatial access to primary health care is more strongly associated with late diagnosis than is spatial access to mammography. This suggests the importance of primary care physicians as gatekeepers in early breast cancer detection.","container-title":"The Professional geographer : the journal of the Association of American Geographers","DOI":"10.1080/00330120701724087","ISSN":"0033-0124","issue":"1","journalAbbreviation":"Prof Geogr","note":"PMID: 18458760\nPMCID: PMC2367325","page":"54-69","source":"PubMed Central","title":"Late-Stage Breast Cancer Diagnosis and Health Care Access in Illinois","volume":"60","author":[{"family":"Wang","given":"Fahui"},{"family":"McLafferty","given":"Sara"},{"family":"Escamilla","given":"Veronica"},{"family":"Luo","given":"Lan"}],"issued":{"date-parts":[["2008",2]]}},"label":"page"}],"schema":"https://github.com/citation-style-language/schema/raw/master/csl-citation.json"} </w:instrText>
      </w:r>
      <w:r>
        <w:fldChar w:fldCharType="separate"/>
      </w:r>
      <w:r w:rsidR="00770B11" w:rsidRPr="00770B11">
        <w:t>(5,76,77)</w:t>
      </w:r>
      <w:r>
        <w:fldChar w:fldCharType="end"/>
      </w:r>
      <w:r>
        <w:t xml:space="preserve">. Evidence also supports a relationship between concentrated disadvantage and cancer disparities </w:t>
      </w:r>
      <w:r>
        <w:fldChar w:fldCharType="begin"/>
      </w:r>
      <w:r w:rsidR="00B069DD">
        <w:instrText xml:space="preserve"> ADDIN ZOTERO_ITEM CSL_CITATION {"citationID":"9PrV38bG","properties":{"formattedCitation":"(17,18)","plainCitation":"(17,18)","noteIndex":0},"citationItems":[{"id":1166,"uris":["http://zotero.org/users/1353333/items/9696ULHB"],"itemData":{"id":1166,"type":"article-journal","abstract":"This paper examines the effect of neighborhood disadvantage on racial disparities in ovarian cancer-specific survival. Despite treatment advances for ovarian cancer, survival remains shorter for African-American compared to White women. Neighborhood disadvantage is implicated in racial disparities across a variety of health outcomes and may contribute to racial disparities in ovarian cancer-specific survival. Data were obtained from 581 women (100 African-American and 481 White) diagnosed with epithelial ovarian cancer between June 1, 1994, and December 31, 1998 in Cook County, Illinois, which includes the city of Chicago. Neighborhood disadvantage score at the time of diagnosis was calculated for each woman based on Browning and Cagney’s index of concentrated disadvantage. Cox proportional hazard models measured the association of self-identified African-American race with ovarian cancer-specific survival after adjusting for age, tumor characteristics, surgical debulking, and neighborhood disadvantage. There was a statistically significant negative association (-0.645) between ovarian cancer-specific survival and neighborhood disadvantage (p = 0.008). After adjusting for age and tumor characteristics, African-American women were more likely than Whites to die of ovarian cancer (HR = 1.59, p = 0.003). After accounting for neighborhood disadvantage, this risk was attenuated (HR = 1.32, p = 0.10). These findings demonstrate that neighborhood disadvantage is associated with ovarian cancer-specific survival and may contribute to the racial disparity in survival.","container-title":"Frontiers in Public Health","DOI":"10.3389/fpubh.2015.00008","ISSN":"2296-2565","journalAbbreviation":"Front. Public Health","language":"English","note":"https://www.frontiersin.org/articles/10.3389/fpubh.2015.00008/full","source":"Frontiers","title":"The Effect of Neighborhood Disadvantage on the Racial Disparity in Ovarian Cancer-Specific Survival in a Large Hospital-Based Study in Cook County, Illinois","volume":"3","author":[{"family":"Peterson","given":"Caryn E."},{"family":"Rauscher","given":"Garth H."},{"family":"Johnson","given":"Timothy P."},{"family":"Kirschner","given":"Carolyn V."},{"family":"Freels","given":"Sally"},{"family":"Barrett","given":"Richard E."},{"family":"Kim","given":"Seijeoung"},{"family":"Fitzgibbon","given":"Marian L."},{"family":"Joslin","given":"Charlotte E."},{"family":"Davis","given":"Faith G."}],"accessed":{"date-parts":[["2019",12,6]]},"issued":{"date-parts":[["2015"]]}},"label":"page"},{"id":1017,"uris":["http://zotero.org/users/1353333/items/ZN9REB3H"],"itemData":{"id":1017,"type":"article-journal","abstract":"BACKGROUND: Social determinants of prostate cancer survival and their relation to racial/ethnic disparities thereof are poorly understood. We analyzed whether census tract-level socioeconomic status (SES) at diagnosis is a prognostic factor in men with prostate cancer and helps explain racial/ethnic disparities in survival.\nMETHODS: We used a retrospective cohort of 833 African American and white, non-Hispanic men diagnosed with prostate cancer at four Chicago area medical centers between 1986 and 1990. Tract-level concentrated disadvantage (CD), a multidimensional area-based measure of SES, was calculated for each case, using the 1990 U.S. census data. Its association with prostate cancer-specific survival was measured by using Cox proportional hazard models adjusted for case and tumor characteristics, treatment, and health care system [private sector vs. Veterans Health Administration (VA)].\nRESULTS: Tract-level CD associated with an increased risk of death from prostate cancer (highest vs. lowest quartile, HR = 2.37, P &lt; 0.0001). However, the association was observed in the private sector and not in the VA (per 1 SD increase, HR = 1.33, P &lt; 0.0001 and HR = 0.93, P = 0.46, respectively). The multivariate HR for African Americans before and after accounting for tract-level CD was 1.30 (P = 0.0036) and 0.96 (P = 0.82), respectively.\nCONCLUSIONS: Census tract-level SES is a social determinant of prostate-specific mortality and helps account for racial/ethnic disparities in survival. An equal-access health care system may moderate this association.\nIMPACT: This study identifies a potential pathway for minimizing disparities in prostate cancer control. The findings need confirmation in a population-based study.","container-title":"Cancer Epidemiology, Biomarkers &amp; Prevention: A Publication of the American Association for Cancer Research, Cosponsored by the American Society of Preventive Oncology","DOI":"10.1158/1055-9965.EPI-11-0344","ISSN":"1538-7755","issue":"10","journalAbbreviation":"Cancer Epidemiol. Biomarkers Prev.","language":"eng","note":"PMID: 21784953\nPMCID: PMC3189295","page":"2150-2159","source":"PubMed","title":"Association of census tract-level socioeconomic status with disparities in prostate cancer-specific survival","volume":"20","author":[{"family":"Freeman","given":"Vincent L."},{"family":"Ricardo","given":"Ana C."},{"family":"Campbell","given":"Richard T."},{"family":"Barrett","given":"Richard E."},{"family":"Warnecke","given":"Richard B."}],"issued":{"date-parts":[["2011",10]]}},"label":"page"}],"schema":"https://github.com/citation-style-language/schema/raw/master/csl-citation.json"} </w:instrText>
      </w:r>
      <w:r>
        <w:fldChar w:fldCharType="separate"/>
      </w:r>
      <w:r w:rsidR="00B069DD" w:rsidRPr="00B069DD">
        <w:t>(17,18)</w:t>
      </w:r>
      <w:r>
        <w:fldChar w:fldCharType="end"/>
      </w:r>
      <w:r>
        <w:t>.</w:t>
      </w:r>
    </w:p>
    <w:p w14:paraId="556F1DD1" w14:textId="1CD82466" w:rsidR="008740F0" w:rsidRDefault="008740F0" w:rsidP="008740F0">
      <w:r>
        <w:lastRenderedPageBreak/>
        <w:t xml:space="preserve">A diverse body of evidence points to health care inequities as a driver of deadly disparities in cancer and other chronic diseases, even when neighborhood conditions contribute. These disparities occur across the cancer continuum, yet are reduced or absent when Black and white patients are treated in equal-access health systems and provided with the same recommended treatments </w:t>
      </w:r>
      <w:r>
        <w:fldChar w:fldCharType="begin"/>
      </w:r>
      <w:r w:rsidR="00770B11">
        <w:instrText xml:space="preserve"> ADDIN ZOTERO_ITEM CSL_CITATION {"citationID":"7DrafsGT","properties":{"formattedCitation":"(28\\uc0\\u8211{}30,32,86)","plainCitation":"(28–30,32,86)","noteIndex":0},"citationItems":[{"id":505,"uris":["http://zotero.org/users/1353333/items/9ZXBM6UQ"],"itemData":{"id":505,"type":"article-journal","abstract":"BACKGROUND\nThe aim of this study was to assess the influence of race on the treatment and survival of patients with colorectal carcinoma.\nMETHODS\nThis retrospective cohort study included all white or black male veterans given a new diagnosis of colorectal carcinoma in 1989 at Veterans Affairs Medical Centers nationwide. After adjusting for patient demographics, comorbidity, distant metastases, and tumor location, the authors determined the likelihood of surgical resection, chemotherapy, radiation therapy, and death in each case.\nRESULTS\nOf the 3176 veterans identified, 569 (17.9%) were black. Bivariate analyses and logistic regression revealed no significant differences in the proportions of patients undergoing surgical resection (70% vs. 73%, odds ratio 0.92, 95% confidence interval 0.74-1.15), chemotherapy (23% vs. 23%, odds ratio 0.99, 95% confidence interval 0.78-1.24), or radiation therapy (17% vs. 16%, odds ratio 1.10, 95% confidence interval 0.85-1.43) for black versus white patients. Five-year relative survival rates were similar for black and white patients (42% vs. 39%, respectively; P = 0.16), though the adjusted mortality risk ratio was modestly increased (risk ratio 1.13, 95% confidence interval 1.01-1.28).\nCONCLUSIONS\nOverall, race was not associated with the use of surgery, chemotherapy, or radiation therapy in the treatment of colorectal carcinoma among veterans seeking health care at Veterans Affairs Medical Centers. Although mortality from all causes was higher among black veterans with colorectal carcinoma, this finding may be attributed to underlying racial differences associated with survival. This study suggests that when there is equal access to care, there are no differences with regard to race.  Cancer 1998;82:2312-2320. © 1998 American Cancer Society.","container-title":"Cancer","DOI":"10.1002/(SICI)1097-0142(19980615)82:12&lt;2312::AID-CNCR3&gt;3.0.CO;2-U","ISSN":"1097-0142","issue":"12","journalAbbreviation":"Cancer","language":"en","license":"Copyright © 1998 American Cancer Society","page":"2312-2320","source":"Wiley Online Library","title":"Race, treatment, and survival among colorectal carcinoma patients in an equal-access medical system","volume":"82","author":[{"family":"Dominitz","given":"Jason A."},{"family":"Samsa","given":"Gregory P."},{"family":"Landsman","given":"Pamela"},{"family":"Provenzale","given":"Dawn"}],"issued":{"date-parts":[["1998",6,15]]}},"label":"page"},{"id":3168,"uris":["http://zotero.org/users/1353333/items/JQA5BNUD"],"itemData":{"id":3168,"type":"article-journal","abstract":"Non-Hispanic black (NHB) adults with cancer may have longer time-to-treatment than non-Hispanic whites (NHW) in the United States. Unequal access to medical care may partially account for this racial disparity. This study aimed to investigate whether there were racial differences in time-to-treatment and in treatment delays for patients diagnosed with colon cancer in the equal-access Military Health System (MHS).Patients age 18–79 years diagnosed with colon adenocarcinoma between January 1, 1998, and December 31, 2014, were identified in the Department of Defense Central Cancer Registry and the MHS Data Repository–linked databases. Median time-to-treatment (surgery and chemotherapy) and 95% confidence intervals were compared between NHBs and NHWs in multivariable quantile regression models. Odds ratios and 95% confidence intervals of receiving delayed treatment defined by guidelines for NHBs relative to NHWs were estimated using multivariable logistic regression.Patients (n = 3067) had a mean age at diagnosis of 58.4 (12.2) years and the racial distribution was 76.7% NHW and 23.3% NHB. Median adjusted time-to-treatment was similar for NHB compared to NHW patients. The likelihood of receiving delayed treatment was similar between NHB and NHW patients.In the MHS, there was no evidence of treatment delays for NHBs compared to NHWs, suggesting the role of equal access to medical care and insurance coverage in reducing racial disparities in colon cancer treatment.","container-title":"JNCI: Journal of the National Cancer Institute","DOI":"10.1093/jnci/djz135","ISSN":"0027-8874","issue":"4","journalAbbreviation":"JNCI: Journal of the National Cancer Institute","page":"410-417","source":"Silverchair","title":"Racial Comparisons in Timeliness of Colon Cancer Treatment in an Equal-Access Health System","volume":"112","author":[{"family":"Eaglehouse","given":"Yvonne L"},{"family":"Georg","given":"Matthew W"},{"family":"Shriver","given":"Craig D"},{"family":"Zhu","given":"Kangmin"}],"issued":{"date-parts":[["2020",4,1]]}},"label":"page"},{"id":744,"uris":["http://zotero.org/users/1353333/items/N8XH3KEU"],"itemData":{"id":744,"type":"article-journal","abstract":"Background\nIn the general US population, blacks and whites have been shown to undergo colon cancer treatment at disproportionate rates. Accessibility to medical care may be the most important factor influencing differences in colon cancer treatment among whites and blacks.\n\nObjective\nThis study assessed whether racial disparities in colon cancer surgery and chemotherapy existed in an equal-access healthcare system. Additionally, we sought to examine whether racial differences varied by demographic and tumor characteristics.\n\nDesign and Setting\nDatabase research using the United States Department of Defense’s (DoD) Military Health System.\n\nPatients\nPatients included 2,560 Non-Hispanic Whites (NHW) and Non-Hispanic Blacks (NHB) with colon cancer diagnosed from 1998 to 2007.\n\nMain Outcome Measures\nLogistic regression was used to assess the associations between race and the receipt of colon cancer surgery or chemotherapy, while controlling for available potential confounders, both overall and stratified by age at diagnosis, sex, and tumor stage.\n\nResults\nAfter multivariate adjustment, the odds of receiving colon cancer surgery or chemotherapy NHBs versus NHWs were similar (OR: 0.75, 95% CI: 0.37–1.53; OR: 0.79, 95% CI: 0.59–1.04; respectively). Additionally, no effect modification by age at diagnosis, sex, and tumor stage were observed.\n\nLimitations\nTreatment data might not be complete for beneficiaries who also had non-DoD health insurance.\n\nConclusions\nWhen access to medical care is equal, racial disparities in the provision of colon cancer surgery and chemotherapy were not apparent. Thus, it is possible that the inequalities in access to care play a major role in the racial disparities seen in colon cancer treatment in the general population.","container-title":"Diseases of the colon and rectum","DOI":"10.1097/DCR.0000000000000177","ISSN":"0012-3706","issue":"9","journalAbbreviation":"Dis Colon Rectum","note":"PMID: 25101601\nPMCID: PMC4126203","page":"1059-1065","source":"PubMed Central","title":"Colon cancer treatment: Are there racial disparities in an equal-access healthcare system?","title-short":"Colon cancer treatment","volume":"57","author":[{"family":"Gill","given":"Abegail A."},{"family":"Enewold","given":"Lindsey"},{"family":"Zahm","given":"Shelia H."},{"family":"Shriver","given":"Craig D."},{"family":"Stojadinovic","given":"Alexander"},{"family":"McGlynn","given":"Katherine A."},{"family":"Zhu","given":"Kangmin"}],"issued":{"date-parts":[["2014",9]]}},"label":"page"},{"id":574,"uris":["http://zotero.org/users/1353333/items/GE6PQG5U"],"itemData":{"id":574,"type":"article-journal","abstract":"Background\nEthnicity is implicated as a factor for disparate outcomes in colorectal cancer. We sought to evaluate this relationship at a military medical center organized to deliver equitable health care.\nMethods\nRetrospective analysis of colorectal cancer patients comparing demographics, grade, American Joint Committee on Cancer (AJCC) stage, and adjuvant therapy.\nResults\nFrom January 1994 to January 2004, 398 patients were treated with colorectal cancer (74 [19%] nonwhites). Comparatively, nonwhites were younger and had fewer stage II tumors with a increased proportion of stage III tumors (P &amp;lt; .01). With a median follow-up period of 52 (0–151) months, there were no disparities in surgical resection, adjuvant therapy, or disease recurrence. Kaplan-Meier analysis revealed no disparity in disease-free and cancer-specific survival (P = .585 and P = .132); Cox regression revealed increased age and AJCC stage III as the only independent predictors of lower survival (P &amp;lt; .05).\nConclusions\nEthnicity was associated with differences in age and AJCC stage at presentation. In an equitable health care system, these differences did not impact patients' treatment or survival.","container-title":"The American Journal of Surgery","DOI":"10.1016/j.amjsurg.2008.01.017","ISSN":"0002-9610","issue":"4","journalAbbreviation":"The American Journal of Surgery","page":"485-490","source":"ScienceDirect","title":"Race does not impact colorectal cancer treatment or outcomes with equal access","volume":"197","author":[{"family":"Hassan","given":"Monique O."},{"family":"Arthurs","given":"Zachary"},{"family":"Sohn","given":"Vance Y."},{"family":"Steele","given":"Scott R."}],"issued":{"date-parts":[["2009",4]]}},"label":"page"},{"id":259,"uris":["http://zotero.org/users/1353333/items/QGEV6PCU"],"itemData":{"id":259,"type":"article-journal","container-title":"Annals of Surgical Oncology","DOI":"10.1245/s10434-013-3130-3","ISSN":"1068-9265, 1534-4681","issue":"13","language":"en","page":"4073-4079","source":"CrossRef","title":"Race Does Not Impact Pancreatic Cancer Treatment and Survival in an Equal Access Federal Health Care System","volume":"20","author":[{"family":"Lee","given":"Sukhyung"},{"family":"Reha","given":"Jeffrey L."},{"family":"Tzeng","given":"Ching-Wei D."},{"family":"Massarweh","given":"Nader N."},{"family":"Chang","given":"George J."},{"family":"Hetz","given":"Stephen P."},{"family":"Fleming","given":"Jason B."},{"family":"Lee","given":"Jeffrey E."},{"family":"Katz","given":"Matthew H."}],"issued":{"date-parts":[["2013",12]]}},"label":"page"}],"schema":"https://github.com/citation-style-language/schema/raw/master/csl-citation.json"} </w:instrText>
      </w:r>
      <w:r>
        <w:fldChar w:fldCharType="separate"/>
      </w:r>
      <w:r w:rsidR="00770B11" w:rsidRPr="00770B11">
        <w:rPr>
          <w:rFonts w:cs="Times New Roman"/>
          <w:szCs w:val="24"/>
        </w:rPr>
        <w:t>(28–30,32,86)</w:t>
      </w:r>
      <w:r>
        <w:fldChar w:fldCharType="end"/>
      </w:r>
      <w:r>
        <w:t xml:space="preserve">. Neighborhood conditions may influence survival after diagnosis because they relate to multiple dimensions of potential access to health care, including spatial access and unmeasured elements of SES. They may also influence a person’s general health status and comorbidities beyond their cancer </w:t>
      </w:r>
      <w:r w:rsidR="00F340C5">
        <w:t>diagnosis or</w:t>
      </w:r>
      <w:r>
        <w:t xml:space="preserve"> relate to the social support available to cope with a severe health condition.</w:t>
      </w:r>
    </w:p>
    <w:p w14:paraId="61D9A9EC" w14:textId="72F449FD" w:rsidR="00774924" w:rsidRDefault="008740F0">
      <w:pPr>
        <w:sectPr w:rsidR="00774924" w:rsidSect="00C270FD">
          <w:pgSz w:w="12240" w:h="15840"/>
          <w:pgMar w:top="1440" w:right="1440" w:bottom="1440" w:left="1440" w:header="720" w:footer="720" w:gutter="0"/>
          <w:cols w:space="720"/>
          <w:docGrid w:linePitch="360"/>
        </w:sectPr>
      </w:pPr>
      <w:r>
        <w:t>The findings of this study do not contradict the extensive evidence in support of its primary motivation: racial inequities in cancer outcomes are caused by racism. They can and must be prevented</w:t>
      </w:r>
      <w:r w:rsidR="006502FC">
        <w:t>.</w:t>
      </w:r>
      <w:r w:rsidR="00774924">
        <w:br w:type="page"/>
      </w:r>
    </w:p>
    <w:p w14:paraId="6FEF3070" w14:textId="0BCE07E8" w:rsidR="00774924" w:rsidRDefault="00B31DBF" w:rsidP="00774924">
      <w:pPr>
        <w:pStyle w:val="Heading1"/>
        <w:numPr>
          <w:ilvl w:val="0"/>
          <w:numId w:val="0"/>
        </w:numPr>
      </w:pPr>
      <w:bookmarkStart w:id="263" w:name="_Toc148375811"/>
      <w:r>
        <w:lastRenderedPageBreak/>
        <w:t>Cited Literature</w:t>
      </w:r>
      <w:bookmarkEnd w:id="263"/>
    </w:p>
    <w:p w14:paraId="36B67CEF" w14:textId="77777777" w:rsidR="006502FC" w:rsidRDefault="001C596E" w:rsidP="006502FC">
      <w:pPr>
        <w:pStyle w:val="Bibliography"/>
      </w:pPr>
      <w:r>
        <w:fldChar w:fldCharType="begin"/>
      </w:r>
      <w:r w:rsidR="006502FC">
        <w:instrText xml:space="preserve"> ADDIN ZOTERO_BIBL {"uncited":[],"omitted":[],"custom":[]} CSL_BIBLIOGRAPHY </w:instrText>
      </w:r>
      <w:r>
        <w:fldChar w:fldCharType="separate"/>
      </w:r>
      <w:r w:rsidR="006502FC">
        <w:t>1.</w:t>
      </w:r>
      <w:r w:rsidR="006502FC">
        <w:tab/>
        <w:t>American Cancer Society. Colorectal Cancer Facts &amp; Figures 2017-2019 [Internet]. Atlanta, GA: American Cancer Society; 2017. Available from: https://www.cancer.org/research/cancer-facts-statistics.html</w:t>
      </w:r>
    </w:p>
    <w:p w14:paraId="11E3A5E2" w14:textId="77777777" w:rsidR="006502FC" w:rsidRDefault="006502FC" w:rsidP="006502FC">
      <w:pPr>
        <w:pStyle w:val="Bibliography"/>
      </w:pPr>
      <w:r>
        <w:t>2.</w:t>
      </w:r>
      <w:r>
        <w:tab/>
        <w:t xml:space="preserve">Landrine H, Corral I, Lee JGL, Efird JT, Hall MB, Bess JJ. Residential Segregation and Racial Cancer Disparities: A Systematic Review. J Racial Ethn Health Disparities. 2016 Dec 30;1–11. </w:t>
      </w:r>
    </w:p>
    <w:p w14:paraId="655F8666" w14:textId="77777777" w:rsidR="006502FC" w:rsidRDefault="006502FC" w:rsidP="006502FC">
      <w:pPr>
        <w:pStyle w:val="Bibliography"/>
      </w:pPr>
      <w:r>
        <w:t>3.</w:t>
      </w:r>
      <w:r>
        <w:tab/>
        <w:t xml:space="preserve">Keum N, Giovannucci E. Global burden of colorectal cancer: emerging trends, risk factors and prevention strategies. Nat Rev Gastroenterol Hepatol. 2019 Aug 27;1–20. </w:t>
      </w:r>
    </w:p>
    <w:p w14:paraId="1CB3D2D8" w14:textId="77777777" w:rsidR="006502FC" w:rsidRDefault="006502FC" w:rsidP="006502FC">
      <w:pPr>
        <w:pStyle w:val="Bibliography"/>
      </w:pPr>
      <w:r>
        <w:t>4.</w:t>
      </w:r>
      <w:r>
        <w:tab/>
        <w:t xml:space="preserve">Arnold M, Sierra MS, Laversanne M, Soerjomataram I, Jemal A, Bray F. Global patterns and trends in colorectal cancer incidence and mortality. Gut. 2017 Apr 1;66(4):683–91. </w:t>
      </w:r>
    </w:p>
    <w:p w14:paraId="39AC6F80" w14:textId="77777777" w:rsidR="006502FC" w:rsidRDefault="006502FC" w:rsidP="006502FC">
      <w:pPr>
        <w:pStyle w:val="Bibliography"/>
      </w:pPr>
      <w:r>
        <w:t>5.</w:t>
      </w:r>
      <w:r>
        <w:tab/>
        <w:t xml:space="preserve">Wan N, Zhan FB, Lu Y, Tiefenbacher JP. Access to healthcare and disparities in colorectal cancer survival in Texas. Health Place. 2012 Mar;18(2):321–9. </w:t>
      </w:r>
    </w:p>
    <w:p w14:paraId="273E62D5" w14:textId="77777777" w:rsidR="006502FC" w:rsidRDefault="006502FC" w:rsidP="006502FC">
      <w:pPr>
        <w:pStyle w:val="Bibliography"/>
      </w:pPr>
      <w:r>
        <w:t>6.</w:t>
      </w:r>
      <w:r>
        <w:tab/>
        <w:t xml:space="preserve">Wang F, Luo L, McLafferty S. Healthcare access, socioeconomic factors and late-stage cancer diagnosis: an exploratory spatial analysis and public policy implication. Int J Public Policy. 2010;5(2–3):237–58. </w:t>
      </w:r>
    </w:p>
    <w:p w14:paraId="1F625D59" w14:textId="77777777" w:rsidR="006502FC" w:rsidRDefault="006502FC" w:rsidP="006502FC">
      <w:pPr>
        <w:pStyle w:val="Bibliography"/>
      </w:pPr>
      <w:r>
        <w:t>7.</w:t>
      </w:r>
      <w:r>
        <w:tab/>
        <w:t xml:space="preserve">McLafferty S, Wang F. Rural Reversal? Rural-Urban Disparities in Late-stage Cancer Risk in Illinois. Cancer. 2009 Jun 15;115(12):2755–64. </w:t>
      </w:r>
    </w:p>
    <w:p w14:paraId="1BA3DC40" w14:textId="77777777" w:rsidR="006502FC" w:rsidRDefault="006502FC" w:rsidP="006502FC">
      <w:pPr>
        <w:pStyle w:val="Bibliography"/>
      </w:pPr>
      <w:r>
        <w:t>8.</w:t>
      </w:r>
      <w:r>
        <w:tab/>
        <w:t xml:space="preserve">LaVeist T, Pollack K, Thorpe R, Fesahazion R, Gaskin D. Place, Not Race: Disparities Dissipate In Southwest Baltimore When Blacks And Whites Live Under Similar Conditions. Health Aff (Millwood). 2011 Oct 1;30(10):1880–7. </w:t>
      </w:r>
    </w:p>
    <w:p w14:paraId="78455093" w14:textId="77777777" w:rsidR="006502FC" w:rsidRDefault="006502FC" w:rsidP="006502FC">
      <w:pPr>
        <w:pStyle w:val="Bibliography"/>
      </w:pPr>
      <w:r>
        <w:t>9.</w:t>
      </w:r>
      <w:r>
        <w:tab/>
        <w:t xml:space="preserve">Cagney KA, Browning CR. Exploring neighborhood-level variation in asthma and other respiratory diseases: the contribution of neighborhood social context. J Gen Intern Med. 2004 Mar;19(3):229–36. </w:t>
      </w:r>
    </w:p>
    <w:p w14:paraId="163102A1" w14:textId="77777777" w:rsidR="006502FC" w:rsidRDefault="006502FC" w:rsidP="006502FC">
      <w:pPr>
        <w:pStyle w:val="Bibliography"/>
      </w:pPr>
      <w:r>
        <w:t>10.</w:t>
      </w:r>
      <w:r>
        <w:tab/>
        <w:t xml:space="preserve">Browning CR, Cagney KA. Neighborhood structural disadvantage, collective efficacy, and self-rated physical health in an urban setting. J Health Soc Behav. 2002 Dec;43(4):383–99. </w:t>
      </w:r>
    </w:p>
    <w:p w14:paraId="713E8B44" w14:textId="77777777" w:rsidR="006502FC" w:rsidRDefault="006502FC" w:rsidP="006502FC">
      <w:pPr>
        <w:pStyle w:val="Bibliography"/>
      </w:pPr>
      <w:r>
        <w:t>11.</w:t>
      </w:r>
      <w:r>
        <w:tab/>
        <w:t xml:space="preserve">Hughes AE, Tiro JA, Balasubramanian BA, Skinner CS, Pruitt SL. Social disadvantage, healthcare utilization, and colorectal cancer screening: Leveraging longitudinal patient address and electronic health records data. Cancer Epidemiol Prev Biomark. 2018 Jan 1;cebp.0446.2018. </w:t>
      </w:r>
    </w:p>
    <w:p w14:paraId="07719310" w14:textId="77777777" w:rsidR="006502FC" w:rsidRDefault="006502FC" w:rsidP="006502FC">
      <w:pPr>
        <w:pStyle w:val="Bibliography"/>
      </w:pPr>
      <w:r>
        <w:t>12.</w:t>
      </w:r>
      <w:r>
        <w:tab/>
        <w:t xml:space="preserve">Hughes AE, Pruitt SL. The Utility of EMR Address Histories for Assessing Neighborhood Exposures. Ann Epidemiol. 2017 Jan;27(1):20–6. </w:t>
      </w:r>
    </w:p>
    <w:p w14:paraId="2B237AE5" w14:textId="77777777" w:rsidR="006502FC" w:rsidRDefault="006502FC" w:rsidP="006502FC">
      <w:pPr>
        <w:pStyle w:val="Bibliography"/>
      </w:pPr>
      <w:r>
        <w:t>13.</w:t>
      </w:r>
      <w:r>
        <w:tab/>
        <w:t xml:space="preserve">Brevoort KP, Grimm P, Kambara M. Credit Invisibles. Consumer Financial Protection Bureau Office of Research; 2015 May p. 37. (Data Point). </w:t>
      </w:r>
    </w:p>
    <w:p w14:paraId="0B2E71DF" w14:textId="77777777" w:rsidR="006502FC" w:rsidRDefault="006502FC" w:rsidP="006502FC">
      <w:pPr>
        <w:pStyle w:val="Bibliography"/>
      </w:pPr>
      <w:r>
        <w:t>14.</w:t>
      </w:r>
      <w:r>
        <w:tab/>
        <w:t>Ludwig S. Credit scores in America perpetuate racial injustice. Here’s how. The Guardian [Internet]. 2015 Oct 13 [cited 2020 Jan 24]; Available from: https://www.theguardian.com/commentisfree/2015/oct/13/your-credit-score-is-racist-heres-why</w:t>
      </w:r>
    </w:p>
    <w:p w14:paraId="0FD320DA" w14:textId="77777777" w:rsidR="006502FC" w:rsidRDefault="006502FC" w:rsidP="006502FC">
      <w:pPr>
        <w:pStyle w:val="Bibliography"/>
      </w:pPr>
      <w:r>
        <w:lastRenderedPageBreak/>
        <w:t>15.</w:t>
      </w:r>
      <w:r>
        <w:tab/>
        <w:t xml:space="preserve">Insolera NE, Freedman VA. Comparing Health Estimates in the PSID and NHIS, 2001-2015. Ann Arbor, MI: Panel Study of Income Dynamics, University of Michigan Institute for Social Research; 2017 May p. 13. (Technical Series). Report No.: 17–01. </w:t>
      </w:r>
    </w:p>
    <w:p w14:paraId="319FFE73" w14:textId="77777777" w:rsidR="006502FC" w:rsidRDefault="006502FC" w:rsidP="006502FC">
      <w:pPr>
        <w:pStyle w:val="Bibliography"/>
      </w:pPr>
      <w:r>
        <w:t>16.</w:t>
      </w:r>
      <w:r>
        <w:tab/>
        <w:t xml:space="preserve">Andreski P, McGonagle K, Schoeni B. An Analysis of the Quality of the Health Data in the Panel Study of Income Dynamics. 2009 Sep 15;18. </w:t>
      </w:r>
    </w:p>
    <w:p w14:paraId="61F13E8B" w14:textId="77777777" w:rsidR="006502FC" w:rsidRDefault="006502FC" w:rsidP="006502FC">
      <w:pPr>
        <w:pStyle w:val="Bibliography"/>
      </w:pPr>
      <w:r>
        <w:t>17.</w:t>
      </w:r>
      <w:r>
        <w:tab/>
        <w:t xml:space="preserve">Freeman VL, Ricardo AC, Campbell RT, Barrett RE, Warnecke RB. Association of census tract-level socioeconomic status with disparities in prostate cancer-specific survival. Cancer Epidemiol Biomark Prev Publ Am Assoc Cancer Res Cosponsored Am Soc Prev Oncol. 2011 Oct;20(10):2150–9. </w:t>
      </w:r>
    </w:p>
    <w:p w14:paraId="7EF9403F" w14:textId="77777777" w:rsidR="006502FC" w:rsidRDefault="006502FC" w:rsidP="006502FC">
      <w:pPr>
        <w:pStyle w:val="Bibliography"/>
      </w:pPr>
      <w:r>
        <w:t>18.</w:t>
      </w:r>
      <w:r>
        <w:tab/>
        <w:t xml:space="preserve">Peterson CE, Rauscher GH, Johnson TP, Kirschner CV, Freels S, Barrett RE, et al. The Effect of Neighborhood Disadvantage on the Racial Disparity in Ovarian Cancer-Specific Survival in a Large Hospital-Based Study in Cook County, Illinois. Front Public Health. 2015;3. </w:t>
      </w:r>
    </w:p>
    <w:p w14:paraId="3B22A45A" w14:textId="77777777" w:rsidR="006502FC" w:rsidRDefault="006502FC" w:rsidP="006502FC">
      <w:pPr>
        <w:pStyle w:val="Bibliography"/>
      </w:pPr>
      <w:r>
        <w:t>19.</w:t>
      </w:r>
      <w:r>
        <w:tab/>
        <w:t xml:space="preserve">Berry J, Bumpers K, Ogunlade V, Glover R, Davis S, Counts-Spriggs M, et al. Examining racial disparities in colorectal cancer care. J Psychosoc Oncol. 2009;27(1):59–83. </w:t>
      </w:r>
    </w:p>
    <w:p w14:paraId="3B07E717" w14:textId="77777777" w:rsidR="006502FC" w:rsidRDefault="006502FC" w:rsidP="006502FC">
      <w:pPr>
        <w:pStyle w:val="Bibliography"/>
      </w:pPr>
      <w:r>
        <w:t>20.</w:t>
      </w:r>
      <w:r>
        <w:tab/>
        <w:t xml:space="preserve">Bromley EG, May FP, Federer L, Spiegel BMR, van Oijen MGH. Explaining persistent under-use of colonoscopic cancer screening in African Americans: a systematic review. Prev Med. 2015 Feb;71:40–8. </w:t>
      </w:r>
    </w:p>
    <w:p w14:paraId="39392164" w14:textId="77777777" w:rsidR="006502FC" w:rsidRDefault="006502FC" w:rsidP="006502FC">
      <w:pPr>
        <w:pStyle w:val="Bibliography"/>
      </w:pPr>
      <w:r>
        <w:t>21.</w:t>
      </w:r>
      <w:r>
        <w:tab/>
        <w:t xml:space="preserve">Clegg L, Li F, Hankey B, Chu K, Edwards B. Cancer survival among us whites and minorities: A seer (surveillance, epidemiology, and end results) program population-based study. Arch Intern Med. 2002 Sep 23;162(17):1985–93. </w:t>
      </w:r>
    </w:p>
    <w:p w14:paraId="5FC2D078" w14:textId="77777777" w:rsidR="006502FC" w:rsidRDefault="006502FC" w:rsidP="006502FC">
      <w:pPr>
        <w:pStyle w:val="Bibliography"/>
      </w:pPr>
      <w:r>
        <w:t>22.</w:t>
      </w:r>
      <w:r>
        <w:tab/>
        <w:t xml:space="preserve">Cooper GS, Yuan Z, Landefeld CS, Rimm AA. Surgery for colorectal cancer: Race-related differences in rates and survival among Medicare beneficiaries. Am J Public Health. 1996 Apr;86(4):582–6. </w:t>
      </w:r>
    </w:p>
    <w:p w14:paraId="4FC46EF3" w14:textId="77777777" w:rsidR="006502FC" w:rsidRDefault="006502FC" w:rsidP="006502FC">
      <w:pPr>
        <w:pStyle w:val="Bibliography"/>
      </w:pPr>
      <w:r>
        <w:t>23.</w:t>
      </w:r>
      <w:r>
        <w:tab/>
        <w:t xml:space="preserve">Demissie K, Oluwole OO, Balasubramanian BA, Osinubi OO, August D, Rhoads GG. Racial differences in the treatment of colorectal cancer: a comparison of surgical and radiation therapy between Whites and Blacks. Ann Epidemiol. 2004 Mar;14(3):215–21. </w:t>
      </w:r>
    </w:p>
    <w:p w14:paraId="3DE13492" w14:textId="77777777" w:rsidR="006502FC" w:rsidRDefault="006502FC" w:rsidP="006502FC">
      <w:pPr>
        <w:pStyle w:val="Bibliography"/>
      </w:pPr>
      <w:r>
        <w:t>24.</w:t>
      </w:r>
      <w:r>
        <w:tab/>
        <w:t xml:space="preserve">Govindarajan R, Shah RV, Erkman LG, Hutchins LF. Racial differences in the outcome of patients with colorectal carcinoma. Cancer. 2003 Jan 15;97(2):493–8. </w:t>
      </w:r>
    </w:p>
    <w:p w14:paraId="03AAAC25" w14:textId="77777777" w:rsidR="006502FC" w:rsidRDefault="006502FC" w:rsidP="006502FC">
      <w:pPr>
        <w:pStyle w:val="Bibliography"/>
      </w:pPr>
      <w:r>
        <w:t>25.</w:t>
      </w:r>
      <w:r>
        <w:tab/>
        <w:t xml:space="preserve">Jinjuvadia R, Jinjuvadia K, Liangpunsakul S. Racial Disparities in Gastrointestinal Cancers-Related Mortality in the US Population. Dig Dis Sci. 2013 Jan;58(1):236–43. </w:t>
      </w:r>
    </w:p>
    <w:p w14:paraId="459AB885" w14:textId="77777777" w:rsidR="006502FC" w:rsidRDefault="006502FC" w:rsidP="006502FC">
      <w:pPr>
        <w:pStyle w:val="Bibliography"/>
      </w:pPr>
      <w:r>
        <w:t>26.</w:t>
      </w:r>
      <w:r>
        <w:tab/>
        <w:t xml:space="preserve">Schwartz KL, Crossley-May H, Vigneau FD, Brown K, Banerjee M. Race, socioeconomic status and stage at diagnosis for five common malignancies. Cancer Causes Control. 2003 Oct 1;14(8):761–6. </w:t>
      </w:r>
    </w:p>
    <w:p w14:paraId="5BA59F2E" w14:textId="77777777" w:rsidR="006502FC" w:rsidRDefault="006502FC" w:rsidP="006502FC">
      <w:pPr>
        <w:pStyle w:val="Bibliography"/>
      </w:pPr>
      <w:r>
        <w:t>27.</w:t>
      </w:r>
      <w:r>
        <w:tab/>
        <w:t xml:space="preserve">Dolan NC, Ferreira MR, Fitzgibbon ML, Davis TC, Rademaker AW, Liu D, et al. Colorectal Cancer Screening Among African-American and White Male Veterans. Am J Prev Med. 2005 Jun;28(5):479–82. </w:t>
      </w:r>
    </w:p>
    <w:p w14:paraId="7BD891E2" w14:textId="77777777" w:rsidR="006502FC" w:rsidRDefault="006502FC" w:rsidP="006502FC">
      <w:pPr>
        <w:pStyle w:val="Bibliography"/>
      </w:pPr>
      <w:r>
        <w:lastRenderedPageBreak/>
        <w:t>28.</w:t>
      </w:r>
      <w:r>
        <w:tab/>
        <w:t xml:space="preserve">Dominitz JA, Samsa GP, Landsman P, Provenzale D. Race, treatment, and survival among colorectal carcinoma patients in an equal-access medical system. Cancer. 1998 Jun 15;82(12):2312–20. </w:t>
      </w:r>
    </w:p>
    <w:p w14:paraId="3E6173B4" w14:textId="77777777" w:rsidR="006502FC" w:rsidRDefault="006502FC" w:rsidP="006502FC">
      <w:pPr>
        <w:pStyle w:val="Bibliography"/>
      </w:pPr>
      <w:r>
        <w:t>29.</w:t>
      </w:r>
      <w:r>
        <w:tab/>
        <w:t xml:space="preserve">Hassan MO, Arthurs Z, Sohn VY, Steele SR. Race does not impact colorectal cancer treatment or outcomes with equal access. Am J Surg. 2009 Apr;197(4):485–90. </w:t>
      </w:r>
    </w:p>
    <w:p w14:paraId="3BA089BF" w14:textId="77777777" w:rsidR="006502FC" w:rsidRDefault="006502FC" w:rsidP="006502FC">
      <w:pPr>
        <w:pStyle w:val="Bibliography"/>
      </w:pPr>
      <w:r>
        <w:t>30.</w:t>
      </w:r>
      <w:r>
        <w:tab/>
        <w:t xml:space="preserve">Gill AA, Enewold L, Zahm SH, Shriver CD, Stojadinovic A, McGlynn KA, et al. Colon cancer treatment: Are there racial disparities in an equal-access healthcare system? Dis Colon Rectum. 2014 Sep;57(9):1059–65. </w:t>
      </w:r>
    </w:p>
    <w:p w14:paraId="18D1378F" w14:textId="77777777" w:rsidR="006502FC" w:rsidRDefault="006502FC" w:rsidP="006502FC">
      <w:pPr>
        <w:pStyle w:val="Bibliography"/>
      </w:pPr>
      <w:r>
        <w:t>31.</w:t>
      </w:r>
      <w:r>
        <w:tab/>
        <w:t xml:space="preserve">Rabeneck L, Souchek J, El-Serag HB. Survival of colorectal cancer patients hospitalized in the Veterans Affairs Health Care System. Am J Gastroenterol. 2003 May;98(5):1186–92. </w:t>
      </w:r>
    </w:p>
    <w:p w14:paraId="2D4D3441" w14:textId="77777777" w:rsidR="006502FC" w:rsidRDefault="006502FC" w:rsidP="006502FC">
      <w:pPr>
        <w:pStyle w:val="Bibliography"/>
      </w:pPr>
      <w:r>
        <w:t>32.</w:t>
      </w:r>
      <w:r>
        <w:tab/>
        <w:t xml:space="preserve">Lee S, Reha JL, Tzeng CWD, Massarweh NN, Chang GJ, Hetz SP, et al. Race Does Not Impact Pancreatic Cancer Treatment and Survival in an Equal Access Federal Health Care System. Ann Surg Oncol. 2013 Dec;20(13):4073–9. </w:t>
      </w:r>
    </w:p>
    <w:p w14:paraId="05DA6A26" w14:textId="77777777" w:rsidR="006502FC" w:rsidRDefault="006502FC" w:rsidP="006502FC">
      <w:pPr>
        <w:pStyle w:val="Bibliography"/>
      </w:pPr>
      <w:r>
        <w:t>33.</w:t>
      </w:r>
      <w:r>
        <w:tab/>
        <w:t xml:space="preserve">Pan J, Xin L, Ma YF, Hu LH, Li ZS. Colonoscopy Reduces Colorectal Cancer Incidence and Mortality in Patients With Non-Malignant Findings: A Meta-Analysis. Am J Gastroenterol. 2016 Mar;111(3):355–65. </w:t>
      </w:r>
    </w:p>
    <w:p w14:paraId="2726E0B0" w14:textId="77777777" w:rsidR="006502FC" w:rsidRDefault="006502FC" w:rsidP="006502FC">
      <w:pPr>
        <w:pStyle w:val="Bibliography"/>
      </w:pPr>
      <w:r>
        <w:t>34.</w:t>
      </w:r>
      <w:r>
        <w:tab/>
        <w:t>Chicago Department of Public Health. Chicago Health Atlas. 2018 [cited 2019 Nov 26]. Colorectal Cancer Screening. Available from: https://www.chicagohealthatlas.org/indicators/colorectal-cancer-screening</w:t>
      </w:r>
    </w:p>
    <w:p w14:paraId="19869236" w14:textId="77777777" w:rsidR="006502FC" w:rsidRDefault="006502FC" w:rsidP="006502FC">
      <w:pPr>
        <w:pStyle w:val="Bibliography"/>
      </w:pPr>
      <w:r>
        <w:t>35.</w:t>
      </w:r>
      <w:r>
        <w:tab/>
        <w:t>Chicago Department of Public Health. Chicago Health Atlas. 2019 [cited 2019 Nov 26]. Colorectal Cancer Incidence. Available from: https://www.chicagohealthatlas.org/indicators/colorectal-cancer-incidence</w:t>
      </w:r>
    </w:p>
    <w:p w14:paraId="5AA3E607" w14:textId="77777777" w:rsidR="006502FC" w:rsidRDefault="006502FC" w:rsidP="006502FC">
      <w:pPr>
        <w:pStyle w:val="Bibliography"/>
      </w:pPr>
      <w:r>
        <w:t>36.</w:t>
      </w:r>
      <w:r>
        <w:tab/>
        <w:t>Chicago Department of Public Health. Chicago Health Atlas. 2019 [cited 2019 Nov 26]. Colorectal Cancer Deaths. Available from: https://www.chicagohealthatlas.org/indicators/colorectal-cancer-deaths</w:t>
      </w:r>
    </w:p>
    <w:p w14:paraId="5CBC6E29" w14:textId="77777777" w:rsidR="006502FC" w:rsidRDefault="006502FC" w:rsidP="006502FC">
      <w:pPr>
        <w:pStyle w:val="Bibliography"/>
      </w:pPr>
      <w:r>
        <w:t>37.</w:t>
      </w:r>
      <w:r>
        <w:tab/>
        <w:t xml:space="preserve">Williams DR, Collins C. Racial Residential Segregation: A Fundamental Cause of Racial Disparities in Health. Public Health Rep. 2001;116:13. </w:t>
      </w:r>
    </w:p>
    <w:p w14:paraId="43DB1002" w14:textId="77777777" w:rsidR="006502FC" w:rsidRDefault="006502FC" w:rsidP="006502FC">
      <w:pPr>
        <w:pStyle w:val="Bibliography"/>
      </w:pPr>
      <w:r>
        <w:t>38.</w:t>
      </w:r>
      <w:r>
        <w:tab/>
        <w:t xml:space="preserve">Link BG, Phelan J. Social conditions as fundamental causes of disease. J Health Soc Behav. 1995;Spec No:80–94. </w:t>
      </w:r>
    </w:p>
    <w:p w14:paraId="4601F2E5" w14:textId="77777777" w:rsidR="006502FC" w:rsidRDefault="006502FC" w:rsidP="006502FC">
      <w:pPr>
        <w:pStyle w:val="Bibliography"/>
      </w:pPr>
      <w:r>
        <w:t>39.</w:t>
      </w:r>
      <w:r>
        <w:tab/>
        <w:t xml:space="preserve">Diez-Roux AV. Neighborhoods and health: where are we and were do we go from here? Rev Epidemiol Sante Publique. 2007 Feb;55(1):13–21. </w:t>
      </w:r>
    </w:p>
    <w:p w14:paraId="53D010AF" w14:textId="77777777" w:rsidR="006502FC" w:rsidRDefault="006502FC" w:rsidP="006502FC">
      <w:pPr>
        <w:pStyle w:val="Bibliography"/>
      </w:pPr>
      <w:r>
        <w:t>40.</w:t>
      </w:r>
      <w:r>
        <w:tab/>
        <w:t xml:space="preserve">Kolak M, Bradley M, Block DR, Pool L, Garg G, Toman CK, et al. Urban foodscape trends: Disparities in healthy food access in Chicago, 2007–2014. Health Place. 2018 Jul 1;52:231–9. </w:t>
      </w:r>
    </w:p>
    <w:p w14:paraId="701CED14" w14:textId="77777777" w:rsidR="006502FC" w:rsidRDefault="006502FC" w:rsidP="006502FC">
      <w:pPr>
        <w:pStyle w:val="Bibliography"/>
      </w:pPr>
      <w:r>
        <w:t>41.</w:t>
      </w:r>
      <w:r>
        <w:tab/>
        <w:t>Chicago Area HIV Integrated Services Council. Chicago-Area Unified HIV Plan for HIV Prevention, Care, Housing and Essential Services 2014-2016 [Internet]. Chicago, IL; 2014 [cited 2020 Feb 4]. Available from: https://www.chicago.gov/content/dam/city/depts/cdph/HIV_STI/Chicago_Area_HIV_Unified_Plan.pdf</w:t>
      </w:r>
    </w:p>
    <w:p w14:paraId="20BFFA80" w14:textId="77777777" w:rsidR="006502FC" w:rsidRDefault="006502FC" w:rsidP="006502FC">
      <w:pPr>
        <w:pStyle w:val="Bibliography"/>
      </w:pPr>
      <w:r>
        <w:lastRenderedPageBreak/>
        <w:t>42.</w:t>
      </w:r>
      <w:r>
        <w:tab/>
        <w:t xml:space="preserve">Havekes E, Bader M, Krysan M. Realizing Racial and Ethnic Neighborhood Preferences? Exploring the Mismatches Between What People Want, Where They Search, and Where They Live. Popul Res Policy Rev. 2016 Feb 1;35(1):101–26. </w:t>
      </w:r>
    </w:p>
    <w:p w14:paraId="7FF9B911" w14:textId="77777777" w:rsidR="006502FC" w:rsidRDefault="006502FC" w:rsidP="006502FC">
      <w:pPr>
        <w:pStyle w:val="Bibliography"/>
      </w:pPr>
      <w:r>
        <w:t>43.</w:t>
      </w:r>
      <w:r>
        <w:tab/>
        <w:t xml:space="preserve">Logan JR, Alba RD, Mcnulty T, Fisher B. Making a Place in the Metropolis: Locational Attainment in Cities and Suburbs. Demography. 1996 Nov;33(4):443. </w:t>
      </w:r>
    </w:p>
    <w:p w14:paraId="2A3DC6B3" w14:textId="77777777" w:rsidR="006502FC" w:rsidRDefault="006502FC" w:rsidP="006502FC">
      <w:pPr>
        <w:pStyle w:val="Bibliography"/>
      </w:pPr>
      <w:r>
        <w:t>44.</w:t>
      </w:r>
      <w:r>
        <w:tab/>
        <w:t xml:space="preserve">Woldoff RA. Wealth, Human Capital and Family across Racial/Ethnic Groups: Integrating Models of Wealth and Locational Attainment. Urban Stud. 2008 Mar;45(3):527–51. </w:t>
      </w:r>
    </w:p>
    <w:p w14:paraId="1EFC8EE1" w14:textId="77777777" w:rsidR="006502FC" w:rsidRDefault="006502FC" w:rsidP="006502FC">
      <w:pPr>
        <w:pStyle w:val="Bibliography"/>
      </w:pPr>
      <w:r>
        <w:t>45.</w:t>
      </w:r>
      <w:r>
        <w:tab/>
        <w:t>American Cancer Society. Breast Cancer Facts &amp; Figures 2019-2020 [Internet]. Atlanta, GA: American Cancer Society; 2019. Available from: https://www.cancer.org/research/cancer-facts-statistics.html</w:t>
      </w:r>
    </w:p>
    <w:p w14:paraId="5A021D03" w14:textId="77777777" w:rsidR="006502FC" w:rsidRDefault="006502FC" w:rsidP="006502FC">
      <w:pPr>
        <w:pStyle w:val="Bibliography"/>
      </w:pPr>
      <w:r>
        <w:t>46.</w:t>
      </w:r>
      <w:r>
        <w:tab/>
        <w:t xml:space="preserve">Goodman M, Naiman JS, Goodman D, LaKind JS. Cancer clusters in the USA: what do the last twenty years of state and federal investigations tell us? Crit Rev Toxicol. 2012 Jul;42(6):474–90. </w:t>
      </w:r>
    </w:p>
    <w:p w14:paraId="1E1FDCAD" w14:textId="77777777" w:rsidR="006502FC" w:rsidRDefault="006502FC" w:rsidP="006502FC">
      <w:pPr>
        <w:pStyle w:val="Bibliography"/>
      </w:pPr>
      <w:r>
        <w:t>47.</w:t>
      </w:r>
      <w:r>
        <w:tab/>
        <w:t xml:space="preserve">Goodman M, LaKind JS, Fagliano JA, Lash TL, Wiemels JL, Winn DM, et al. Cancer Cluster Investigations: Review of the Past and Proposals for the Future. Int J Environ Res Public Health. 2014 Feb;11(2):1479–99. </w:t>
      </w:r>
    </w:p>
    <w:p w14:paraId="4761917E" w14:textId="77777777" w:rsidR="006502FC" w:rsidRDefault="006502FC" w:rsidP="006502FC">
      <w:pPr>
        <w:pStyle w:val="Bibliography"/>
      </w:pPr>
      <w:r>
        <w:t>48.</w:t>
      </w:r>
      <w:r>
        <w:tab/>
        <w:t>Oudin A, Forsberg B, Strömgren M, Beelen R, Modig L. Impact of Residential Mobility on Exposure Assessment in Longitudinal Air Pollution Studies: A Sensitivity Analysis within the ESCAPE Project. Sci World J [Internet]. 2012 Nov 28 [cited 2019 Aug 22];2012. Available from: https://www.ncbi.nlm.nih.gov/pmc/articles/PMC3515908/</w:t>
      </w:r>
    </w:p>
    <w:p w14:paraId="051774E8" w14:textId="77777777" w:rsidR="006502FC" w:rsidRDefault="006502FC" w:rsidP="006502FC">
      <w:pPr>
        <w:pStyle w:val="Bibliography"/>
      </w:pPr>
      <w:r>
        <w:t>49.</w:t>
      </w:r>
      <w:r>
        <w:tab/>
        <w:t xml:space="preserve">Jacquez GM, Slotnick MJ, Meliker JR, AvRuskin G, Copeland G, Nriagu J. Accuracy of Commercially Available Residential Histories for Epidemiologic Studies. Am J Epidemiol. 2011 Jan 15;173(2):236–43. </w:t>
      </w:r>
    </w:p>
    <w:p w14:paraId="6FEC8B7F" w14:textId="77777777" w:rsidR="006502FC" w:rsidRDefault="006502FC" w:rsidP="006502FC">
      <w:pPr>
        <w:pStyle w:val="Bibliography"/>
      </w:pPr>
      <w:r>
        <w:t>50.</w:t>
      </w:r>
      <w:r>
        <w:tab/>
        <w:t xml:space="preserve">Hurley S, Hertz A, Nelson DO, Layefsky M, Von Behren J, Bernstein L, et al. Tracing a Path to the Past: Exploring the Use of Commercial Credit Reporting Data to Construct Residential Histories for Epidemiologic Studies of Environmental Exposures. Am J Epidemiol. 2017 Feb 1;185(3):238–46. </w:t>
      </w:r>
    </w:p>
    <w:p w14:paraId="60B06F36" w14:textId="77777777" w:rsidR="006502FC" w:rsidRDefault="006502FC" w:rsidP="006502FC">
      <w:pPr>
        <w:pStyle w:val="Bibliography"/>
      </w:pPr>
      <w:r>
        <w:t>51.</w:t>
      </w:r>
      <w:r>
        <w:tab/>
        <w:t>Stinchcomb DG, Roeser A. NCI/SEER Residential History Project Technical Report [Internet]. Rockville, MD: Westat, Inc.; 2016. Available from: https://www.westat.com/tools-for-using-commercial-sources-of-residential-histories-for-cancer-research/</w:t>
      </w:r>
    </w:p>
    <w:p w14:paraId="6BA74FFE" w14:textId="77777777" w:rsidR="006502FC" w:rsidRDefault="006502FC" w:rsidP="006502FC">
      <w:pPr>
        <w:pStyle w:val="Bibliography"/>
      </w:pPr>
      <w:r>
        <w:t>52.</w:t>
      </w:r>
      <w:r>
        <w:tab/>
        <w:t>Past Imperfect: How Credit Scores and Other Analytics “Bake In” and Perpetuate Past Discrimination [Internet]. Racial Justice &amp; Equal Economic Opportunity Project, National Consumer Law Center; 2016 May [cited 2020 Jan 24]. Available from: https://www.nclc.org/images/pdf/credit_discrimination/Past_Imperfect050616.pdf</w:t>
      </w:r>
    </w:p>
    <w:p w14:paraId="0CB4BA43" w14:textId="77777777" w:rsidR="006502FC" w:rsidRDefault="006502FC" w:rsidP="006502FC">
      <w:pPr>
        <w:pStyle w:val="Bibliography"/>
      </w:pPr>
      <w:r>
        <w:t>53.</w:t>
      </w:r>
      <w:r>
        <w:tab/>
        <w:t xml:space="preserve">Zajacova A, Dowd JB, Schoeni RF, Wallace RB. Consistency and precision of cancer reporting in a multiwave national panel survey. Popul Health Metr. 2010 Dec;8(1):1–11. </w:t>
      </w:r>
    </w:p>
    <w:p w14:paraId="0C5A60E7" w14:textId="77777777" w:rsidR="006502FC" w:rsidRDefault="006502FC" w:rsidP="006502FC">
      <w:pPr>
        <w:pStyle w:val="Bibliography"/>
      </w:pPr>
      <w:r>
        <w:t>54.</w:t>
      </w:r>
      <w:r>
        <w:tab/>
        <w:t>Panel Study of Income Dynamics: 1968-2019 Mortality File Documentation [Internet]. Institute for Social Research, University of Michigan; 2021 Mar [cited 2023 Feb 4]. Report No.: Release 1. Available from: https://simba.isr.umich.edu/restricted/docs/Mortality/Mortality19_Introduction.pdf</w:t>
      </w:r>
    </w:p>
    <w:p w14:paraId="0244391E" w14:textId="77777777" w:rsidR="006502FC" w:rsidRDefault="006502FC" w:rsidP="006502FC">
      <w:pPr>
        <w:pStyle w:val="Bibliography"/>
      </w:pPr>
      <w:r>
        <w:lastRenderedPageBreak/>
        <w:t>55.</w:t>
      </w:r>
      <w:r>
        <w:tab/>
        <w:t xml:space="preserve">Survey Research Center, Institute for Social Research, University of Michigan. Panel Study of Income Dynamics, public use dataset. Ann Arbor, MI; 2019. </w:t>
      </w:r>
    </w:p>
    <w:p w14:paraId="0E4FD40C" w14:textId="77777777" w:rsidR="006502FC" w:rsidRDefault="006502FC" w:rsidP="006502FC">
      <w:pPr>
        <w:pStyle w:val="Bibliography"/>
      </w:pPr>
      <w:r>
        <w:t>56.</w:t>
      </w:r>
      <w:r>
        <w:tab/>
        <w:t>LexisNexis Risk Solutions [Internet]. [cited 2023 Sep 2]. Accurint® for Government. Available from: https://risk.lexisnexis.com/products/accurint-for-government</w:t>
      </w:r>
    </w:p>
    <w:p w14:paraId="278680EB" w14:textId="77777777" w:rsidR="006502FC" w:rsidRDefault="006502FC" w:rsidP="006502FC">
      <w:pPr>
        <w:pStyle w:val="Bibliography"/>
      </w:pPr>
      <w:r>
        <w:t>57.</w:t>
      </w:r>
      <w:r>
        <w:tab/>
        <w:t xml:space="preserve">Freeman VL, Boylan EE, Tilahun NY, Basu S, Kwan MP. Sources of selection and information biases when using commercial database–derived residential histories for cancer research. Ann Epidemiol. 2020 Nov;51:35-40.e1. </w:t>
      </w:r>
    </w:p>
    <w:p w14:paraId="6E0C7675" w14:textId="77777777" w:rsidR="006502FC" w:rsidRDefault="006502FC" w:rsidP="006502FC">
      <w:pPr>
        <w:pStyle w:val="Bibliography"/>
      </w:pPr>
      <w:r>
        <w:t>58.</w:t>
      </w:r>
      <w:r>
        <w:tab/>
        <w:t>Logan JR, Xu Z, Stults BJ. Longitudinal Tract Database (LTDB) [Internet]. 2014. Available from: https://s4.ad.brown.edu/projects/diversity/Researcher/LTDB.htm</w:t>
      </w:r>
    </w:p>
    <w:p w14:paraId="6F296475" w14:textId="77777777" w:rsidR="006502FC" w:rsidRDefault="006502FC" w:rsidP="006502FC">
      <w:pPr>
        <w:pStyle w:val="Bibliography"/>
      </w:pPr>
      <w:r>
        <w:t>59.</w:t>
      </w:r>
      <w:r>
        <w:tab/>
        <w:t xml:space="preserve">Logan JR, Xu Z, Stults B. Interpolating U.S. Decennial Census Tract Data from as Early as 1970 to 2010: A Longtitudinal Tract Database. Prof Geogr J Assoc Am Geogr. 2014 Jul 1;66(3):412–20. </w:t>
      </w:r>
    </w:p>
    <w:p w14:paraId="21FFC362" w14:textId="77777777" w:rsidR="006502FC" w:rsidRDefault="006502FC" w:rsidP="006502FC">
      <w:pPr>
        <w:pStyle w:val="Bibliography"/>
      </w:pPr>
      <w:r>
        <w:t>60.</w:t>
      </w:r>
      <w:r>
        <w:tab/>
        <w:t>US Department of Commerce. Census Bureau Data [Internet]. [cited 2023 Sep 11]. Available from: https://data.census.gov/</w:t>
      </w:r>
    </w:p>
    <w:p w14:paraId="6BF74936" w14:textId="77777777" w:rsidR="006502FC" w:rsidRDefault="006502FC" w:rsidP="006502FC">
      <w:pPr>
        <w:pStyle w:val="Bibliography"/>
      </w:pPr>
      <w:r>
        <w:t>61.</w:t>
      </w:r>
      <w:r>
        <w:tab/>
        <w:t xml:space="preserve">National Center for Health Statistics. National Death Index user’s guide. Hyattsville, MD; 2013. </w:t>
      </w:r>
    </w:p>
    <w:p w14:paraId="08C088D1" w14:textId="77777777" w:rsidR="006502FC" w:rsidRDefault="006502FC" w:rsidP="006502FC">
      <w:pPr>
        <w:pStyle w:val="Bibliography"/>
      </w:pPr>
      <w:r>
        <w:t>62.</w:t>
      </w:r>
      <w:r>
        <w:tab/>
        <w:t>24560 - How can I linearly interpolate between the values in my data? [Internet]. [cited 2023 Aug 21]. Available from: http://support.sas.com/kb/24/560.html</w:t>
      </w:r>
    </w:p>
    <w:p w14:paraId="5D4D787D" w14:textId="77777777" w:rsidR="006502FC" w:rsidRDefault="006502FC" w:rsidP="006502FC">
      <w:pPr>
        <w:pStyle w:val="Bibliography"/>
      </w:pPr>
      <w:r>
        <w:t>63.</w:t>
      </w:r>
      <w:r>
        <w:tab/>
        <w:t xml:space="preserve">Korn EL, Graubard BI, Midthune D. Time-to-Event Analysis of Longitudinal Follow-up of a Survey: Choice of the Time-scale. Am J Epidemiol. 1997 Jan 1;145(1):72–80. </w:t>
      </w:r>
    </w:p>
    <w:p w14:paraId="001446F4" w14:textId="77777777" w:rsidR="006502FC" w:rsidRDefault="006502FC" w:rsidP="006502FC">
      <w:pPr>
        <w:pStyle w:val="Bibliography"/>
      </w:pPr>
      <w:r>
        <w:t>64.</w:t>
      </w:r>
      <w:r>
        <w:tab/>
        <w:t xml:space="preserve">Canchola A, Stewart S, Center NCC, Bernstein L. Cox Regression Using Different Time Scales. </w:t>
      </w:r>
    </w:p>
    <w:p w14:paraId="24F2B591" w14:textId="77777777" w:rsidR="006502FC" w:rsidRDefault="006502FC" w:rsidP="006502FC">
      <w:pPr>
        <w:pStyle w:val="Bibliography"/>
      </w:pPr>
      <w:r>
        <w:t>65.</w:t>
      </w:r>
      <w:r>
        <w:tab/>
        <w:t xml:space="preserve">Nadler DL, Zurbenko IG. Estimating Cancer Latency Times Using a Weibull Model. Adv Epidemiol. 2014 Aug 31;2014:1–8. </w:t>
      </w:r>
    </w:p>
    <w:p w14:paraId="0E2C34A0" w14:textId="77777777" w:rsidR="006502FC" w:rsidRDefault="006502FC" w:rsidP="006502FC">
      <w:pPr>
        <w:pStyle w:val="Bibliography"/>
      </w:pPr>
      <w:r>
        <w:t>66.</w:t>
      </w:r>
      <w:r>
        <w:tab/>
        <w:t xml:space="preserve">Lee JK, Jensen CD, Levin TR, Zauber AG, Schottinger JE, Quinn VP, et al. Long-term Risk of Colorectal Cancer and Related Deaths After a Colonoscopy With Normal Findings. JAMA Intern Med. 2019 Feb;179(2):153–60. </w:t>
      </w:r>
    </w:p>
    <w:p w14:paraId="50EBA109" w14:textId="77777777" w:rsidR="006502FC" w:rsidRDefault="006502FC" w:rsidP="006502FC">
      <w:pPr>
        <w:pStyle w:val="Bibliography"/>
      </w:pPr>
      <w:r>
        <w:t>67.</w:t>
      </w:r>
      <w:r>
        <w:tab/>
        <w:t>PA-17-298: Integration of Individual Residential Histories into Cancer Research (R01) [Internet]. [cited 2019 Nov 19]. Available from: https://grants.nih.gov/grants/guide/pa-files/PA-17-298.html</w:t>
      </w:r>
    </w:p>
    <w:p w14:paraId="7A8DB7F9" w14:textId="77777777" w:rsidR="006502FC" w:rsidRDefault="006502FC" w:rsidP="006502FC">
      <w:pPr>
        <w:pStyle w:val="Bibliography"/>
      </w:pPr>
      <w:r>
        <w:t>68.</w:t>
      </w:r>
      <w:r>
        <w:tab/>
        <w:t xml:space="preserve">Freeman VL, Boylan EE, Tilahun NY, Basu S, Kwan MP. Sources of selection and information biases when using commercial database–derived residential histories for cancer research. Ann Epidemiol. 2020 Nov 1;51:35-40.e1. </w:t>
      </w:r>
    </w:p>
    <w:p w14:paraId="29D7C644" w14:textId="77777777" w:rsidR="006502FC" w:rsidRDefault="006502FC" w:rsidP="006502FC">
      <w:pPr>
        <w:pStyle w:val="Bibliography"/>
      </w:pPr>
      <w:r>
        <w:t>69.</w:t>
      </w:r>
      <w:r>
        <w:tab/>
        <w:t xml:space="preserve">Survey Research Center, Institute for Social Research, University of Michigan. Panel Study of Income Dynamics, restricted use data. Ann Arbor, MI; 2019. </w:t>
      </w:r>
    </w:p>
    <w:p w14:paraId="55DDED74" w14:textId="77777777" w:rsidR="006502FC" w:rsidRDefault="006502FC" w:rsidP="006502FC">
      <w:pPr>
        <w:pStyle w:val="Bibliography"/>
      </w:pPr>
      <w:r>
        <w:t>70.</w:t>
      </w:r>
      <w:r>
        <w:tab/>
        <w:t>US Census Bureau. TIGER/Line Shapefiles [Internet]. 2021. Available from: https://www.census.gov/geographies/mapping-files/time-series/geo/tiger-line-file.html</w:t>
      </w:r>
    </w:p>
    <w:p w14:paraId="3DEB514F" w14:textId="77777777" w:rsidR="006502FC" w:rsidRDefault="006502FC" w:rsidP="006502FC">
      <w:pPr>
        <w:pStyle w:val="Bibliography"/>
      </w:pPr>
      <w:r>
        <w:lastRenderedPageBreak/>
        <w:t>71.</w:t>
      </w:r>
      <w:r>
        <w:tab/>
        <w:t xml:space="preserve">Documentation for the 2010 Census PSID Geocode Match File. Ann Arbor, MI: Institute for Social Research, University of Michigan; 2021 Dec. </w:t>
      </w:r>
    </w:p>
    <w:p w14:paraId="079B1932" w14:textId="77777777" w:rsidR="006502FC" w:rsidRDefault="006502FC" w:rsidP="006502FC">
      <w:pPr>
        <w:pStyle w:val="Bibliography"/>
      </w:pPr>
      <w:r>
        <w:t>72.</w:t>
      </w:r>
      <w:r>
        <w:tab/>
        <w:t>Division of Consumer Prices and Price Indexes, US Bureau of Labor Statistics. Consumer Price Index Research Series Using Current Methods (R-CPI-U-RS), 1977 - 2020 [Internet]. 2021 [cited 2021 Aug 27]. Available from: https://www.bls.gov/cpi/research-series/r-cpi-u-rs-home.htm</w:t>
      </w:r>
    </w:p>
    <w:p w14:paraId="6422504E" w14:textId="77777777" w:rsidR="006502FC" w:rsidRDefault="006502FC" w:rsidP="006502FC">
      <w:pPr>
        <w:pStyle w:val="Bibliography"/>
      </w:pPr>
      <w:r>
        <w:t>73.</w:t>
      </w:r>
      <w:r>
        <w:tab/>
        <w:t>PSID Main Interview User Manual: Release 2021 [Internet]. Institute for Social Research, University of Michigan; 2021 Mar [cited 2023 Jan 21]. Available from: https://psidonline.isr.umich.edu/data/Documentation/UserGuide2019.pdf</w:t>
      </w:r>
    </w:p>
    <w:p w14:paraId="136FA292" w14:textId="77777777" w:rsidR="006502FC" w:rsidRDefault="006502FC" w:rsidP="006502FC">
      <w:pPr>
        <w:pStyle w:val="Bibliography"/>
      </w:pPr>
      <w:r>
        <w:t>74.</w:t>
      </w:r>
      <w:r>
        <w:tab/>
        <w:t>National Center for Health Statistics. National Health Interview Survey (NHIS) Questionnaire [Internet]. 2023 [cited 2023 Sep 30]. Available from: https://ftp.cdc.gov/pub/Health_Statistics/NCHS/Survey_Questionnaires/NHIS/2023/EnglishQuest-508.pdf</w:t>
      </w:r>
    </w:p>
    <w:p w14:paraId="3CBC7389" w14:textId="77777777" w:rsidR="006502FC" w:rsidRDefault="006502FC" w:rsidP="006502FC">
      <w:pPr>
        <w:pStyle w:val="Bibliography"/>
      </w:pPr>
      <w:r>
        <w:t>75.</w:t>
      </w:r>
      <w:r>
        <w:tab/>
        <w:t>National Center for Health Statistics. National Health Interview Survey (NHIS) Questionnaire [Internet]. 1999 [cited 2023 Sep 30]. Available from: https://ftp.cdc.gov/pub/Health_Statistics/NCHS/Survey_Questionnaires/NHIS/1999/QSAMADLT.pdf</w:t>
      </w:r>
    </w:p>
    <w:p w14:paraId="24A926F6" w14:textId="77777777" w:rsidR="006502FC" w:rsidRDefault="006502FC" w:rsidP="006502FC">
      <w:pPr>
        <w:pStyle w:val="Bibliography"/>
      </w:pPr>
      <w:r>
        <w:t>76.</w:t>
      </w:r>
      <w:r>
        <w:tab/>
        <w:t xml:space="preserve">Freeman VL, Naylor KB, Boylan EE, Booth BJ, Pugach O, Barrett RE, et al. Spatial access to primary care providers and colorectal cancer-specific survival in Cook County, Illinois. Cancer Med. 2020 May;9(9):3211–23. </w:t>
      </w:r>
    </w:p>
    <w:p w14:paraId="08487D31" w14:textId="77777777" w:rsidR="006502FC" w:rsidRDefault="006502FC" w:rsidP="006502FC">
      <w:pPr>
        <w:pStyle w:val="Bibliography"/>
      </w:pPr>
      <w:r>
        <w:t>77.</w:t>
      </w:r>
      <w:r>
        <w:tab/>
        <w:t xml:space="preserve">Wang F, McLafferty S, Escamilla V, Luo L. Late-Stage Breast Cancer Diagnosis and Health Care Access in Illinois. Prof Geogr J Assoc Am Geogr. 2008 Feb;60(1):54–69. </w:t>
      </w:r>
    </w:p>
    <w:p w14:paraId="5FF781C3" w14:textId="77777777" w:rsidR="006502FC" w:rsidRDefault="006502FC" w:rsidP="006502FC">
      <w:pPr>
        <w:pStyle w:val="Bibliography"/>
      </w:pPr>
      <w:r>
        <w:t>78.</w:t>
      </w:r>
      <w:r>
        <w:tab/>
        <w:t xml:space="preserve">Riley AR. Neighborhood Disadvantage, Residential Segregation, and Beyond—Lessons for Studying Structural Racism and Health. J Racial Ethn Health Disparities. 2018 Apr 1;5(2):357–65. </w:t>
      </w:r>
    </w:p>
    <w:p w14:paraId="353A0230" w14:textId="77777777" w:rsidR="006502FC" w:rsidRDefault="006502FC" w:rsidP="006502FC">
      <w:pPr>
        <w:pStyle w:val="Bibliography"/>
      </w:pPr>
      <w:r>
        <w:t>79.</w:t>
      </w:r>
      <w:r>
        <w:tab/>
        <w:t xml:space="preserve">Wan N, Zhan FB, Zou B, Chow E. A relative spatial access assessment approach for analyzing potential spatial access to colorectal cancer services in Texas. Appl Geogr. 2012 Mar 1;32(2):291–9. </w:t>
      </w:r>
    </w:p>
    <w:p w14:paraId="0D72B7F1" w14:textId="77777777" w:rsidR="006502FC" w:rsidRDefault="006502FC" w:rsidP="006502FC">
      <w:pPr>
        <w:pStyle w:val="Bibliography"/>
      </w:pPr>
      <w:r>
        <w:t>80.</w:t>
      </w:r>
      <w:r>
        <w:tab/>
        <w:t xml:space="preserve">McLafferty S, Wang F, Luo L, Butler J. Rural – urban inequalities in late-stage breast cancer: spatial and social dimensions of risk and access. Environ Plan B Plan Des. 2011;38(4):724–40. </w:t>
      </w:r>
    </w:p>
    <w:p w14:paraId="05075D7D" w14:textId="77777777" w:rsidR="006502FC" w:rsidRDefault="006502FC" w:rsidP="006502FC">
      <w:pPr>
        <w:pStyle w:val="Bibliography"/>
      </w:pPr>
      <w:r>
        <w:t>81.</w:t>
      </w:r>
      <w:r>
        <w:tab/>
        <w:t xml:space="preserve">Johnson RC, Schoeni RF, Rogowski JA. Health disparities in mid-to-late life: the role of earlier life family and neighborhood socioeconomic conditions. Soc Sci Med 1982. 2012 Feb;74(4):625–36. </w:t>
      </w:r>
    </w:p>
    <w:p w14:paraId="069A3C16" w14:textId="77777777" w:rsidR="006502FC" w:rsidRDefault="006502FC" w:rsidP="006502FC">
      <w:pPr>
        <w:pStyle w:val="Bibliography"/>
      </w:pPr>
      <w:r>
        <w:t>82.</w:t>
      </w:r>
      <w:r>
        <w:tab/>
        <w:t>American Cancer Society. Colorectal Cancer Facts &amp; Figures 2020-2022 [Internet]. Atlanta, GA: American Cancer Society; 2020. Available from: https://www.cancer.org/research/cancer-facts-statistics.html</w:t>
      </w:r>
    </w:p>
    <w:p w14:paraId="65FFC9E4" w14:textId="77777777" w:rsidR="006502FC" w:rsidRDefault="006502FC" w:rsidP="006502FC">
      <w:pPr>
        <w:pStyle w:val="Bibliography"/>
      </w:pPr>
      <w:r>
        <w:t>83.</w:t>
      </w:r>
      <w:r>
        <w:tab/>
        <w:t xml:space="preserve">Czito BG, Willett CG. Thirty years of rectal cancer research: a brief history. Oncol Williston Park N. 2008 Nov 15;22(12):1441–2, 1444. </w:t>
      </w:r>
    </w:p>
    <w:p w14:paraId="20F12EFC" w14:textId="77777777" w:rsidR="006502FC" w:rsidRDefault="006502FC" w:rsidP="006502FC">
      <w:pPr>
        <w:pStyle w:val="Bibliography"/>
      </w:pPr>
      <w:r>
        <w:lastRenderedPageBreak/>
        <w:t>84.</w:t>
      </w:r>
      <w:r>
        <w:tab/>
        <w:t>American Society of Clinical Oncology. ASCO. [cited 2022 Aug 6]. Colorectal Cancer Progress Timeline. Available from: https://www.asco.org/research-guidelines/cancer-progress-timeline/colorectal-cancer</w:t>
      </w:r>
    </w:p>
    <w:p w14:paraId="5FA43663" w14:textId="77777777" w:rsidR="006502FC" w:rsidRDefault="006502FC" w:rsidP="006502FC">
      <w:pPr>
        <w:pStyle w:val="Bibliography"/>
      </w:pPr>
      <w:r>
        <w:t>85.</w:t>
      </w:r>
      <w:r>
        <w:tab/>
        <w:t xml:space="preserve">Haller DG, Catalano PJ, Macdonald JS, O’Rourke MA, Frontiera MS, Jackson DV, et al. Phase III study of fluorouracil, leucovorin, and levamisole in high-risk stage II and III colon cancer: final report of Intergroup 0089. J Clin Oncol Off J Am Soc Clin Oncol. 2005 Dec 1;23(34):8671–8. </w:t>
      </w:r>
    </w:p>
    <w:p w14:paraId="39C760B0" w14:textId="77777777" w:rsidR="006502FC" w:rsidRDefault="006502FC" w:rsidP="006502FC">
      <w:pPr>
        <w:pStyle w:val="Bibliography"/>
      </w:pPr>
      <w:r>
        <w:t>86.</w:t>
      </w:r>
      <w:r>
        <w:tab/>
        <w:t xml:space="preserve">Eaglehouse YL, Georg MW, Shriver CD, Zhu K. Racial Comparisons in Timeliness of Colon Cancer Treatment in an Equal-Access Health System. JNCI J Natl Cancer Inst. 2020 Apr 1;112(4):410–7. </w:t>
      </w:r>
    </w:p>
    <w:p w14:paraId="30D508EB" w14:textId="77777777" w:rsidR="006502FC" w:rsidRDefault="006502FC" w:rsidP="006502FC">
      <w:pPr>
        <w:pStyle w:val="Bibliography"/>
      </w:pPr>
      <w:r>
        <w:t>87.</w:t>
      </w:r>
      <w:r>
        <w:tab/>
        <w:t xml:space="preserve">Freeman VL, Naylor KB, Boylan EE, Booth BJ, Pugach O, Barrett RE, et al. Spatial access to primary care providers and colorectal cancer-specific survival in Cook County, Illinois. Cancer Med. 2020 Mar 4; </w:t>
      </w:r>
    </w:p>
    <w:p w14:paraId="77C3F60F" w14:textId="77777777" w:rsidR="006502FC" w:rsidRDefault="006502FC" w:rsidP="006502FC">
      <w:pPr>
        <w:pStyle w:val="Bibliography"/>
      </w:pPr>
      <w:r>
        <w:t>88.</w:t>
      </w:r>
      <w:r>
        <w:tab/>
        <w:t>LaVeist TA, Gaskin D, Trujillo AJ. Segregated Spaces, Risky Places: The Effects of Racial Segregation on Health Inequities [Internet]. Washington, DC: Joint Center for Political and Economic Studies; 2011 Sep [cited 2020 Mar 5]. Available from: https://www.racialequitytools.org/resourcefiles/SegregatedSpaces.pdf</w:t>
      </w:r>
    </w:p>
    <w:p w14:paraId="33C3A3B9" w14:textId="77777777" w:rsidR="006502FC" w:rsidRDefault="006502FC" w:rsidP="006502FC">
      <w:pPr>
        <w:pStyle w:val="Bibliography"/>
      </w:pPr>
      <w:r>
        <w:t>89.</w:t>
      </w:r>
      <w:r>
        <w:tab/>
        <w:t>Nadia Hassanein, Grace Hauck, Jayme Fraser, Aleszu Bajak. “Just not equal at all”: Vaccine rollout in Chicago a microcosm of racial disparities nationwide. USA Today [Internet]. 2021 Feb 12 [cited 2021 Apr 30]; Available from: https://www.usatoday.com/in-depth/news/health/2021/02/12/data-analysis-chicago-vaccine-rollout-reflects-us-racial-disparities/4418978001/</w:t>
      </w:r>
    </w:p>
    <w:p w14:paraId="736CB6DD" w14:textId="77777777" w:rsidR="006502FC" w:rsidRDefault="006502FC" w:rsidP="006502FC">
      <w:pPr>
        <w:pStyle w:val="Bibliography"/>
      </w:pPr>
      <w:r>
        <w:t>90.</w:t>
      </w:r>
      <w:r>
        <w:tab/>
        <w:t>Perry AM, Harshbarger D, Romer C. Mapping racial inequity amid COVID-19 underscores policy discriminations against Black Americans [Internet]. The Brookings Institution; 2020 [cited 2022 Jan 24]. Available from: https://www.brookings.edu/blog/the-avenue/2020/04/16/mapping-racial-inequity-amid-the-spread-of-covid-19/</w:t>
      </w:r>
    </w:p>
    <w:p w14:paraId="2CB02124" w14:textId="77777777" w:rsidR="006502FC" w:rsidRDefault="006502FC" w:rsidP="006502FC">
      <w:pPr>
        <w:pStyle w:val="Bibliography"/>
      </w:pPr>
      <w:r>
        <w:t>91.</w:t>
      </w:r>
      <w:r>
        <w:tab/>
        <w:t xml:space="preserve">Keene DE, Geronimus AT. “Weathering” HOPE VI: The Importance of Evaluating the Population Health Impact of Public Housing Demolition and Displacement. J Urban Health. 2011 Jun;88(3):417–35. </w:t>
      </w:r>
    </w:p>
    <w:p w14:paraId="7BF4286F" w14:textId="77777777" w:rsidR="006502FC" w:rsidRDefault="006502FC" w:rsidP="006502FC">
      <w:pPr>
        <w:pStyle w:val="Bibliography"/>
      </w:pPr>
      <w:r>
        <w:t>92.</w:t>
      </w:r>
      <w:r>
        <w:tab/>
        <w:t xml:space="preserve">Jacquez GM, Meliker JR, AvRuskin GA, Goovaerts P, Kaufmann A, Wilson ML, et al. Case-control geographic clustering for residential histories accounting for risk factors and covariates. Int J Health Geogr. 2006 Aug 3;5(1):32. </w:t>
      </w:r>
    </w:p>
    <w:p w14:paraId="60C019AA" w14:textId="77777777" w:rsidR="006502FC" w:rsidRDefault="006502FC" w:rsidP="006502FC">
      <w:pPr>
        <w:pStyle w:val="Bibliography"/>
      </w:pPr>
      <w:r>
        <w:t>93.</w:t>
      </w:r>
      <w:r>
        <w:tab/>
        <w:t xml:space="preserve">Jacquez GM, Meliker J, Kaufmann A. In search of induction and latency periods: Space-time interaction accounting for residential mobility, risk factors and covariates. Int J Health Geogr. 2007 Aug 23;6(1):35. </w:t>
      </w:r>
    </w:p>
    <w:p w14:paraId="44A58BF7" w14:textId="77777777" w:rsidR="006502FC" w:rsidRDefault="006502FC" w:rsidP="006502FC">
      <w:pPr>
        <w:pStyle w:val="Bibliography"/>
      </w:pPr>
      <w:r>
        <w:t>94.</w:t>
      </w:r>
      <w:r>
        <w:tab/>
        <w:t>Simonsen N, Scribner R, Su LJ, Williams D, Luckett B, Yang T, et al. Environmental Exposure to Emissions from Petrochemical Sites and Lung Cancer: The Lower Mississippi Interagency Cancer Study. J Environ Public Health [Internet]. 2010 [cited 2018 Oct 3];2010. Available from: https://www.ncbi.nlm.nih.gov/pmc/articles/PMC2838364/</w:t>
      </w:r>
    </w:p>
    <w:p w14:paraId="1DF74A37" w14:textId="77777777" w:rsidR="006502FC" w:rsidRDefault="006502FC" w:rsidP="006502FC">
      <w:pPr>
        <w:pStyle w:val="Bibliography"/>
      </w:pPr>
      <w:r>
        <w:t>95.</w:t>
      </w:r>
      <w:r>
        <w:tab/>
        <w:t xml:space="preserve">American Joint Committee on Cancer. Chapter 20 - Colon and Rectum. In: AJCC Cancer Staging Manual. 8th ed. New York, NY: Springer; 2017. </w:t>
      </w:r>
    </w:p>
    <w:p w14:paraId="32E6DE66" w14:textId="77777777" w:rsidR="006502FC" w:rsidRDefault="006502FC" w:rsidP="006502FC">
      <w:pPr>
        <w:pStyle w:val="Bibliography"/>
      </w:pPr>
      <w:r>
        <w:lastRenderedPageBreak/>
        <w:t>96.</w:t>
      </w:r>
      <w:r>
        <w:tab/>
        <w:t>US Department of Commerce. National Technical Information Service [Internet]. [cited 2023 Sep 2]. Available from: https://dmf.ntis.gov/</w:t>
      </w:r>
    </w:p>
    <w:p w14:paraId="5DEEAE4B" w14:textId="77777777" w:rsidR="006502FC" w:rsidRDefault="006502FC" w:rsidP="006502FC">
      <w:pPr>
        <w:pStyle w:val="Bibliography"/>
      </w:pPr>
      <w:r>
        <w:t>97.</w:t>
      </w:r>
      <w:r>
        <w:tab/>
        <w:t>Prener C, Fox B. censusxy: Access the U.S. Census Bureau’s Geocoding A.P.I. System [Internet]. 2021 [cited 2021 Jul 7]. Available from: https://CRAN.R-project.org/package=censusxy</w:t>
      </w:r>
    </w:p>
    <w:p w14:paraId="28A158C7" w14:textId="77777777" w:rsidR="006502FC" w:rsidRDefault="006502FC" w:rsidP="006502FC">
      <w:pPr>
        <w:pStyle w:val="Bibliography"/>
      </w:pPr>
      <w:r>
        <w:t>98.</w:t>
      </w:r>
      <w:r>
        <w:tab/>
        <w:t xml:space="preserve">Surveillance Research Program, National Cancer Institute. ResHistGen Residential History Generation Programs. 2016. </w:t>
      </w:r>
    </w:p>
    <w:p w14:paraId="50D7827D" w14:textId="77777777" w:rsidR="006502FC" w:rsidRDefault="006502FC" w:rsidP="006502FC">
      <w:pPr>
        <w:pStyle w:val="Bibliography"/>
      </w:pPr>
      <w:r>
        <w:t>99.</w:t>
      </w:r>
      <w:r>
        <w:tab/>
        <w:t xml:space="preserve">McCollum AD, Catalano PJ, Haller DG, Mayer RJ, Macdonald JS, Benson AB, et al. Outcomes and toxicity in african-american and caucasian patients in a randomized adjuvant chemotherapy trial for colon cancer. J Natl Cancer Inst. 2002 Aug 7;94(15):1160–7. </w:t>
      </w:r>
    </w:p>
    <w:p w14:paraId="76B5D816" w14:textId="77777777" w:rsidR="006502FC" w:rsidRDefault="006502FC" w:rsidP="006502FC">
      <w:pPr>
        <w:pStyle w:val="Bibliography"/>
      </w:pPr>
      <w:r>
        <w:t>100.</w:t>
      </w:r>
      <w:r>
        <w:tab/>
        <w:t>Colorectal cancer mortality rate - Chicago Health Atlas [Internet]. [cited 2023 Sep 2]. Available from: https://chicagohealthatlas.org/indicators/VRCRR?topic=colorectal-cancer-mortality-rate</w:t>
      </w:r>
    </w:p>
    <w:p w14:paraId="392FCCAA" w14:textId="77777777" w:rsidR="006502FC" w:rsidRDefault="006502FC" w:rsidP="006502FC">
      <w:pPr>
        <w:pStyle w:val="Bibliography"/>
      </w:pPr>
      <w:r>
        <w:t>101.</w:t>
      </w:r>
      <w:r>
        <w:tab/>
        <w:t xml:space="preserve">Garner K. Colorectal Cancer in Illinois: An Overview of Key Statistics. Springfield, IL: Illinois Department of Public Health; 2011 Jun. (Epidemiologic Report Series). Report No.: 11:04. </w:t>
      </w:r>
    </w:p>
    <w:p w14:paraId="79CB5538" w14:textId="77777777" w:rsidR="006502FC" w:rsidRDefault="006502FC" w:rsidP="006502FC">
      <w:pPr>
        <w:pStyle w:val="Bibliography"/>
      </w:pPr>
      <w:r>
        <w:t>102.</w:t>
      </w:r>
      <w:r>
        <w:tab/>
        <w:t xml:space="preserve">Dolececk TA, Shen T. Cancers of the Colon and Rectum: Evidence of Disparities between Blacks and Whites in Illinois. Springfield, IL: Illinois Department of Public Health; 2000 Dec. (Epidemiologic Report Series). Report No.: 00:8. </w:t>
      </w:r>
    </w:p>
    <w:p w14:paraId="08913FC8" w14:textId="77777777" w:rsidR="006502FC" w:rsidRDefault="006502FC" w:rsidP="006502FC">
      <w:pPr>
        <w:pStyle w:val="Bibliography"/>
      </w:pPr>
      <w:r>
        <w:t>103.</w:t>
      </w:r>
      <w:r>
        <w:tab/>
        <w:t>American Cancer Society. Colorectal Cancer Facts &amp; Figures 2020-2022 [Internet]. Atlanta, GA: American Cancer Society; 2020 p. 48. Available from: https://www.cancer.org/research/cancer-facts-statistics.html</w:t>
      </w:r>
    </w:p>
    <w:p w14:paraId="474887A4" w14:textId="77777777" w:rsidR="006502FC" w:rsidRDefault="006502FC" w:rsidP="006502FC">
      <w:pPr>
        <w:pStyle w:val="Bibliography"/>
      </w:pPr>
      <w:r>
        <w:t>104.</w:t>
      </w:r>
      <w:r>
        <w:tab/>
        <w:t>American Cancer Society. Cancer Facts &amp; Figures 2023 [Internet]. Atlanta, GA: American Cancer Society; 2023. Available from: https://www.cancer.org/content/dam/cancer-org/research/cancer-facts-and-statistics/annual-cancer-facts-and-figures/2023/2023-cancer-facts-and-figures.pdf</w:t>
      </w:r>
    </w:p>
    <w:p w14:paraId="448869F5" w14:textId="77777777" w:rsidR="006502FC" w:rsidRDefault="006502FC" w:rsidP="006502FC">
      <w:pPr>
        <w:pStyle w:val="Bibliography"/>
      </w:pPr>
      <w:r>
        <w:t>105.</w:t>
      </w:r>
      <w:r>
        <w:tab/>
        <w:t xml:space="preserve">Lillard LA, Panis CWA. Panel Attrition from the Panel Study of Income Dynamics: Household Income, Marital Status, and Mortality. J Hum Resour. 1998;33(2):437–57. </w:t>
      </w:r>
    </w:p>
    <w:p w14:paraId="4055AB81" w14:textId="77777777" w:rsidR="006502FC" w:rsidRDefault="006502FC" w:rsidP="006502FC">
      <w:pPr>
        <w:pStyle w:val="Bibliography"/>
      </w:pPr>
      <w:r>
        <w:t>106.</w:t>
      </w:r>
      <w:r>
        <w:tab/>
        <w:t xml:space="preserve">PSID Help Desk. Re: Question about PSID mortality file. 2023. </w:t>
      </w:r>
    </w:p>
    <w:p w14:paraId="31A142FD" w14:textId="77777777" w:rsidR="006502FC" w:rsidRDefault="006502FC" w:rsidP="006502FC">
      <w:pPr>
        <w:pStyle w:val="Bibliography"/>
      </w:pPr>
      <w:r>
        <w:t>107.</w:t>
      </w:r>
      <w:r>
        <w:tab/>
        <w:t>University of Michigan Institute for Social Research. PSID News. [cited 2023 Sep 15]. Panel Study of Income Dynamics News - September 2023. Available from: https://psidonline.isr.umich.edu/Guide/News.aspx</w:t>
      </w:r>
    </w:p>
    <w:p w14:paraId="1293B68F" w14:textId="77777777" w:rsidR="006502FC" w:rsidRDefault="006502FC" w:rsidP="006502FC">
      <w:pPr>
        <w:pStyle w:val="Bibliography"/>
      </w:pPr>
      <w:r>
        <w:t>108.</w:t>
      </w:r>
      <w:r>
        <w:tab/>
        <w:t>Survey Research Center, Institute for Social Research. Panel Study of Income Dynamics: 1968-2017 Mortality File Documentation [Internet]. Ann Arbor, MI: The University of Michigan; 2019 Feb [cited 2019 Dec 10]. Report No.: Release 1. Available from: https://simba.isr.umich.edu/restricted/docs/Mortality/Mortality17_Introduction.pdf</w:t>
      </w:r>
    </w:p>
    <w:p w14:paraId="47CF4CD6" w14:textId="77777777" w:rsidR="006502FC" w:rsidRDefault="006502FC" w:rsidP="006502FC">
      <w:pPr>
        <w:pStyle w:val="Bibliography"/>
      </w:pPr>
      <w:r>
        <w:t>109.</w:t>
      </w:r>
      <w:r>
        <w:tab/>
        <w:t>University of Michigan Institute for Social Research. PSID Process &amp; Requirements for Obtaining Restricted Data [Internet]. [cited 2023 Sep 15]. Available from: https://simba.isr.umich.edu/restricted/ProcessReq.aspx</w:t>
      </w:r>
    </w:p>
    <w:p w14:paraId="76C3931E" w14:textId="77777777" w:rsidR="006502FC" w:rsidRDefault="006502FC" w:rsidP="006502FC">
      <w:pPr>
        <w:pStyle w:val="Bibliography"/>
      </w:pPr>
      <w:r>
        <w:lastRenderedPageBreak/>
        <w:t>110.</w:t>
      </w:r>
      <w:r>
        <w:tab/>
        <w:t xml:space="preserve">Herget K, Stroup A, Smith K, Wen M, Sweeney C. Unstaged cancer: Long-term decline in incidence by site and by demographic and socioeconomic characteristics. Cancer Causes Control. 2017 Apr 1;28(4):341–9. </w:t>
      </w:r>
    </w:p>
    <w:p w14:paraId="47EFDCE2" w14:textId="77777777" w:rsidR="006502FC" w:rsidRDefault="006502FC" w:rsidP="006502FC">
      <w:pPr>
        <w:pStyle w:val="Bibliography"/>
      </w:pPr>
      <w:r>
        <w:t>111.</w:t>
      </w:r>
      <w:r>
        <w:tab/>
        <w:t xml:space="preserve">Merrill RM, Sloan A, Anderson AE, Ryker K. Unstaged cancer in the United States: a population-based study. BMC Cancer. 2011 Sep 21;11(1):402. </w:t>
      </w:r>
    </w:p>
    <w:p w14:paraId="57F9B506" w14:textId="77777777" w:rsidR="006502FC" w:rsidRDefault="006502FC" w:rsidP="006502FC">
      <w:pPr>
        <w:pStyle w:val="Bibliography"/>
      </w:pPr>
      <w:r>
        <w:t>112.</w:t>
      </w:r>
      <w:r>
        <w:tab/>
        <w:t xml:space="preserve">Kang S. Severe and persistent housing instability: examining low-income households’ residential mobility trajectories in the United States. Hous Stud. 2021;1–26. </w:t>
      </w:r>
    </w:p>
    <w:p w14:paraId="21A288BD" w14:textId="77777777" w:rsidR="006502FC" w:rsidRDefault="006502FC" w:rsidP="006502FC">
      <w:pPr>
        <w:pStyle w:val="Bibliography"/>
      </w:pPr>
      <w:r>
        <w:t>113.</w:t>
      </w:r>
      <w:r>
        <w:tab/>
        <w:t xml:space="preserve">Hurley SE, Reynolds P, Goldberg DE, Hertz A, Anton-Culver H, Bernstein L, et al. Residential mobility in the California Teachers Study: implications for geographic differences in disease rates. Soc Sci Med. 2005 Apr 1;60(7):1547–55. </w:t>
      </w:r>
    </w:p>
    <w:p w14:paraId="7364812A" w14:textId="77777777" w:rsidR="006502FC" w:rsidRDefault="006502FC" w:rsidP="006502FC">
      <w:pPr>
        <w:pStyle w:val="Bibliography"/>
      </w:pPr>
      <w:r>
        <w:t>114.</w:t>
      </w:r>
      <w:r>
        <w:tab/>
        <w:t xml:space="preserve">Jacquez G, Barlow J, Rommel R, Kaufmann A, Rienti M, AvRuskin G, et al. Residential Mobility and Breast Cancer in Marin County, California, USA. Int J Environ Res Public Health. 2013 Dec 23;11(1):271–95. </w:t>
      </w:r>
    </w:p>
    <w:p w14:paraId="71BC2589" w14:textId="77777777" w:rsidR="006502FC" w:rsidRDefault="006502FC" w:rsidP="006502FC">
      <w:pPr>
        <w:pStyle w:val="Bibliography"/>
      </w:pPr>
      <w:r>
        <w:t>115.</w:t>
      </w:r>
      <w:r>
        <w:tab/>
        <w:t xml:space="preserve">Jacquez GM, Shi C, Meliker JR. Local Bladder Cancer Clusters in Southeastern Michigan Accounting for Risk Factors, Covariates and Residential Mobility. PLOS ONE. 2015 Apr 9;10(4):e0124516. </w:t>
      </w:r>
    </w:p>
    <w:p w14:paraId="59F8ED95" w14:textId="77777777" w:rsidR="006502FC" w:rsidRDefault="006502FC" w:rsidP="006502FC">
      <w:pPr>
        <w:pStyle w:val="Bibliography"/>
      </w:pPr>
      <w:r>
        <w:t>116.</w:t>
      </w:r>
      <w:r>
        <w:tab/>
        <w:t xml:space="preserve">Nordsborg RB, Meliker JR, Ersbøll AK, Jacquez GM, Raaschou-Nielsen O. Space-Time Clustering of Non-Hodgkin Lymphoma Using Residential Histories in a Danish Case-Control Study. PLOS ONE. 2013 Apr 1;8(4):e60800. </w:t>
      </w:r>
    </w:p>
    <w:p w14:paraId="3DBF4DDD" w14:textId="77777777" w:rsidR="006502FC" w:rsidRDefault="006502FC" w:rsidP="006502FC">
      <w:pPr>
        <w:pStyle w:val="Bibliography"/>
      </w:pPr>
      <w:r>
        <w:t>117.</w:t>
      </w:r>
      <w:r>
        <w:tab/>
        <w:t>Sloan CD, Nordsborg RB, Jacquez GM, Raaschou-Nielsen O, Meliker JR. Space-Time Analysis of Testicular Cancer Clusters Using Residential Histories: A Case-Control Study in Denmark. PLoS ONE [Internet]. 2015 Mar 10 [cited 2018 Oct 3];10(3). Available from: https://www.ncbi.nlm.nih.gov/pmc/articles/PMC4355495/</w:t>
      </w:r>
    </w:p>
    <w:p w14:paraId="5C130F16" w14:textId="74BE6B88" w:rsidR="001C596E" w:rsidRDefault="001C596E">
      <w:r>
        <w:fldChar w:fldCharType="end"/>
      </w:r>
    </w:p>
    <w:p w14:paraId="316407F7" w14:textId="015CB186" w:rsidR="00E64DCC" w:rsidRDefault="00E64DCC">
      <w:pPr>
        <w:sectPr w:rsidR="00E64DCC" w:rsidSect="00C270FD">
          <w:pgSz w:w="12240" w:h="15840"/>
          <w:pgMar w:top="1440" w:right="1440" w:bottom="1440" w:left="1440" w:header="720" w:footer="720" w:gutter="0"/>
          <w:cols w:space="720"/>
          <w:docGrid w:linePitch="360"/>
        </w:sectPr>
      </w:pPr>
      <w:r>
        <w:br w:type="page"/>
      </w:r>
    </w:p>
    <w:p w14:paraId="3E325D3E" w14:textId="5496B571" w:rsidR="00E64DCC" w:rsidRDefault="00E64DCC" w:rsidP="00E64DCC">
      <w:pPr>
        <w:pStyle w:val="Heading1"/>
        <w:numPr>
          <w:ilvl w:val="0"/>
          <w:numId w:val="0"/>
        </w:numPr>
      </w:pPr>
      <w:bookmarkStart w:id="264" w:name="_Toc145757082"/>
      <w:bookmarkStart w:id="265" w:name="_Toc145757319"/>
      <w:bookmarkStart w:id="266" w:name="_Toc145757526"/>
      <w:bookmarkStart w:id="267" w:name="_Toc145771911"/>
      <w:bookmarkStart w:id="268" w:name="_Toc148375812"/>
      <w:r>
        <w:lastRenderedPageBreak/>
        <w:t>Vita</w:t>
      </w:r>
      <w:bookmarkEnd w:id="264"/>
      <w:bookmarkEnd w:id="265"/>
      <w:bookmarkEnd w:id="266"/>
      <w:bookmarkEnd w:id="267"/>
      <w:bookmarkEnd w:id="268"/>
    </w:p>
    <w:tbl>
      <w:tblPr>
        <w:tblStyle w:val="PlainTable21"/>
        <w:tblW w:w="0" w:type="auto"/>
        <w:tblLook w:val="04A0" w:firstRow="1" w:lastRow="0" w:firstColumn="1" w:lastColumn="0" w:noHBand="0" w:noVBand="1"/>
      </w:tblPr>
      <w:tblGrid>
        <w:gridCol w:w="2604"/>
        <w:gridCol w:w="6756"/>
      </w:tblGrid>
      <w:tr w:rsidR="00F30067" w14:paraId="31312D40" w14:textId="77777777" w:rsidTr="00B459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14:paraId="321B08A4" w14:textId="77777777" w:rsidR="00F30067" w:rsidRDefault="00F30067" w:rsidP="00B4591A">
            <w:pPr>
              <w:pStyle w:val="NormalCambria"/>
              <w:spacing w:line="240" w:lineRule="auto"/>
              <w:ind w:firstLine="0"/>
            </w:pPr>
            <w:r>
              <w:t>NAME:</w:t>
            </w:r>
          </w:p>
        </w:tc>
        <w:tc>
          <w:tcPr>
            <w:tcW w:w="6948" w:type="dxa"/>
          </w:tcPr>
          <w:p w14:paraId="52273F3D" w14:textId="77777777" w:rsidR="00F30067" w:rsidRDefault="00F30067" w:rsidP="00B4591A">
            <w:pPr>
              <w:pStyle w:val="NormalCambria"/>
              <w:spacing w:line="240" w:lineRule="auto"/>
              <w:ind w:firstLine="0"/>
              <w:cnfStyle w:val="100000000000" w:firstRow="1" w:lastRow="0" w:firstColumn="0" w:lastColumn="0" w:oddVBand="0" w:evenVBand="0" w:oddHBand="0" w:evenHBand="0" w:firstRowFirstColumn="0" w:firstRowLastColumn="0" w:lastRowFirstColumn="0" w:lastRowLastColumn="0"/>
            </w:pPr>
            <w:r>
              <w:t>Emma Elizabeth Boylan</w:t>
            </w:r>
          </w:p>
          <w:p w14:paraId="46B1E1D3" w14:textId="77777777" w:rsidR="00F30067" w:rsidRDefault="00F30067" w:rsidP="00B4591A">
            <w:pPr>
              <w:pStyle w:val="NormalCambria"/>
              <w:spacing w:line="240" w:lineRule="auto"/>
              <w:ind w:firstLine="0"/>
              <w:cnfStyle w:val="100000000000" w:firstRow="1" w:lastRow="0" w:firstColumn="0" w:lastColumn="0" w:oddVBand="0" w:evenVBand="0" w:oddHBand="0" w:evenHBand="0" w:firstRowFirstColumn="0" w:firstRowLastColumn="0" w:lastRowFirstColumn="0" w:lastRowLastColumn="0"/>
            </w:pPr>
          </w:p>
        </w:tc>
      </w:tr>
      <w:tr w:rsidR="00F30067" w14:paraId="7BAA21F9" w14:textId="77777777" w:rsidTr="00B45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14:paraId="46A1C2AC" w14:textId="77777777" w:rsidR="00F30067" w:rsidRDefault="00F30067" w:rsidP="00B4591A">
            <w:pPr>
              <w:pStyle w:val="NormalCambria"/>
              <w:spacing w:line="240" w:lineRule="auto"/>
              <w:ind w:firstLine="0"/>
            </w:pPr>
            <w:r>
              <w:t>EDUCATION:</w:t>
            </w:r>
          </w:p>
        </w:tc>
        <w:tc>
          <w:tcPr>
            <w:tcW w:w="6948" w:type="dxa"/>
          </w:tcPr>
          <w:p w14:paraId="4D2ED8FC" w14:textId="36B89745"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M.S. Epidemiology, University of Illinois at Chicago, 2016</w:t>
            </w:r>
          </w:p>
          <w:p w14:paraId="46B612D5" w14:textId="493CEAF0"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B.A. History, University of Illinois at Urbana-Champaign, 2009</w:t>
            </w:r>
          </w:p>
          <w:p w14:paraId="51FD40C2"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p>
        </w:tc>
      </w:tr>
      <w:tr w:rsidR="00F30067" w14:paraId="0ED6AA14" w14:textId="77777777" w:rsidTr="00B4591A">
        <w:tc>
          <w:tcPr>
            <w:cnfStyle w:val="001000000000" w:firstRow="0" w:lastRow="0" w:firstColumn="1" w:lastColumn="0" w:oddVBand="0" w:evenVBand="0" w:oddHBand="0" w:evenHBand="0" w:firstRowFirstColumn="0" w:firstRowLastColumn="0" w:lastRowFirstColumn="0" w:lastRowLastColumn="0"/>
            <w:tcW w:w="2628" w:type="dxa"/>
          </w:tcPr>
          <w:p w14:paraId="48E642F2" w14:textId="420B0D68" w:rsidR="00F30067" w:rsidRDefault="00F30067" w:rsidP="00B4591A">
            <w:pPr>
              <w:pStyle w:val="NormalCambria"/>
              <w:spacing w:line="240" w:lineRule="auto"/>
              <w:ind w:firstLine="0"/>
            </w:pPr>
            <w:r w:rsidRPr="00F30067">
              <w:rPr>
                <w:caps/>
              </w:rPr>
              <w:t>RESEARCH and work EXPERIENCE</w:t>
            </w:r>
            <w:r>
              <w:t>:</w:t>
            </w:r>
          </w:p>
        </w:tc>
        <w:tc>
          <w:tcPr>
            <w:tcW w:w="6948" w:type="dxa"/>
          </w:tcPr>
          <w:p w14:paraId="6358CC02" w14:textId="5601EA05"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Office of Chronic Disease Prevention and Health Promotion, Bureau of Community Health, Chicago Department of Public Health, 2022-2023</w:t>
            </w:r>
          </w:p>
          <w:p w14:paraId="2A84B0F0"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7E0BEB4D" w14:textId="7394E502"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School of Public Health, University of Illinois at Chicago: Policy, Practice, and Prevention Research Center, 2019-2022</w:t>
            </w:r>
          </w:p>
          <w:p w14:paraId="2CF5DBE5"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44A3108F" w14:textId="60976182"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Division of Epidemiology and Biostatistics, University of Illinois at Chicago School of Public Health: Chicago Prostate and Colorectal Cancer Survival Study, 2015-2016</w:t>
            </w:r>
          </w:p>
          <w:p w14:paraId="3EBF2533"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4602FAE8" w14:textId="78013E38"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Institute for Health Research and Policy, University of Illinois at Chicago: Illinois Prevention Research Center, 2015-2019</w:t>
            </w:r>
          </w:p>
          <w:p w14:paraId="7B6066E7"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3C5896D7"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Institute for Health Research and Policy, University of Illinois at Chicago: We Choose Health Community Transformation Grant Evaluation, 2014</w:t>
            </w:r>
          </w:p>
          <w:p w14:paraId="2D9F97BD"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5E8CFB22"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Department of Medical Imaging, Ann &amp; Robert H. Lurie Children’s Hospital, Chicago, IL: 2009-2014</w:t>
            </w:r>
          </w:p>
          <w:p w14:paraId="618B4082"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3636B06A"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The Beckman Institute, University of Illinois at Urbana-Champaign: The Health Literacy Project, 2008-2009</w:t>
            </w:r>
          </w:p>
          <w:p w14:paraId="6B1AAFA4"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79D11E4F"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College of Education, University of Illinois at Urbana-Champaign: The Adult Learning Lab, 2007-2008</w:t>
            </w:r>
          </w:p>
          <w:p w14:paraId="6684C717"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tc>
      </w:tr>
      <w:tr w:rsidR="00F30067" w14:paraId="49EEDD81" w14:textId="77777777" w:rsidTr="00B45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14:paraId="5C478A3F" w14:textId="77777777" w:rsidR="00F30067" w:rsidRDefault="00F30067" w:rsidP="00B4591A">
            <w:pPr>
              <w:pStyle w:val="NormalCambria"/>
              <w:spacing w:line="240" w:lineRule="auto"/>
              <w:ind w:firstLine="0"/>
            </w:pPr>
            <w:r>
              <w:t>AWARDS:</w:t>
            </w:r>
          </w:p>
        </w:tc>
        <w:tc>
          <w:tcPr>
            <w:tcW w:w="6948" w:type="dxa"/>
          </w:tcPr>
          <w:p w14:paraId="702366C2" w14:textId="03841AF6"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Honorable Mention, Faculty-Student Collaboration, University of Illinois at Chicago School of Public Health Research Article Awards, 2021: for Freeman, et al.</w:t>
            </w:r>
          </w:p>
          <w:p w14:paraId="7D1848DA"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p>
          <w:p w14:paraId="3F8F6994" w14:textId="192A0BED"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Caffey Award for Best Educational Exhibit, International Pediatric Radiology, 2011: for Kappil, et al.</w:t>
            </w:r>
          </w:p>
          <w:p w14:paraId="7BD232AC"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p>
        </w:tc>
      </w:tr>
      <w:tr w:rsidR="00F30067" w14:paraId="70906C35" w14:textId="77777777" w:rsidTr="00B4591A">
        <w:tc>
          <w:tcPr>
            <w:cnfStyle w:val="001000000000" w:firstRow="0" w:lastRow="0" w:firstColumn="1" w:lastColumn="0" w:oddVBand="0" w:evenVBand="0" w:oddHBand="0" w:evenHBand="0" w:firstRowFirstColumn="0" w:firstRowLastColumn="0" w:lastRowFirstColumn="0" w:lastRowLastColumn="0"/>
            <w:tcW w:w="2628" w:type="dxa"/>
          </w:tcPr>
          <w:p w14:paraId="6BB482CA" w14:textId="77777777" w:rsidR="00F30067" w:rsidRDefault="00F30067" w:rsidP="00B4591A">
            <w:pPr>
              <w:pStyle w:val="NormalCambria"/>
              <w:spacing w:line="240" w:lineRule="auto"/>
              <w:ind w:firstLine="0"/>
            </w:pPr>
            <w:r>
              <w:t>PUBLICATIONS:</w:t>
            </w:r>
          </w:p>
        </w:tc>
        <w:tc>
          <w:tcPr>
            <w:tcW w:w="6948" w:type="dxa"/>
          </w:tcPr>
          <w:p w14:paraId="664FCF6C" w14:textId="459C9EE7" w:rsidR="00F85975" w:rsidRDefault="00F85975" w:rsidP="00F85975">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rsidRPr="00F85975">
              <w:t>Freeman VL, Boylan EE, Tilahun NY, Basu S, Kwan M-P. Sources of selection and information biases</w:t>
            </w:r>
            <w:r>
              <w:t xml:space="preserve"> </w:t>
            </w:r>
            <w:r w:rsidRPr="00F85975">
              <w:t>when using commercial database–derived residential histories for cancer research. Annals of</w:t>
            </w:r>
            <w:r>
              <w:t xml:space="preserve"> </w:t>
            </w:r>
            <w:r w:rsidRPr="00F85975">
              <w:t>Epidemiology. 2020 Nov 1;51:35-40.e1.</w:t>
            </w:r>
          </w:p>
          <w:p w14:paraId="7914AC8A" w14:textId="77777777" w:rsidR="00F85975" w:rsidRDefault="00F85975" w:rsidP="00F85975">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6563618F" w14:textId="1ED5546D" w:rsidR="00F30067" w:rsidRDefault="00F85975" w:rsidP="00F85975">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rsidRPr="00F85975">
              <w:t>Freeman VL, Naylor KB, Boylan EE, Booth BJ, Pugach O, Barrett RE, et al. Spatial access to primary</w:t>
            </w:r>
            <w:r>
              <w:t xml:space="preserve"> </w:t>
            </w:r>
            <w:r w:rsidRPr="00F85975">
              <w:t>care providers and colorectal cancer-</w:t>
            </w:r>
            <w:r w:rsidRPr="00F85975">
              <w:lastRenderedPageBreak/>
              <w:t>specific survival in Cook County, Illinois. Cancer Med. 2020</w:t>
            </w:r>
            <w:r>
              <w:t xml:space="preserve"> </w:t>
            </w:r>
            <w:r w:rsidRPr="00F85975">
              <w:t>May;9(9):3211–23.</w:t>
            </w:r>
          </w:p>
          <w:p w14:paraId="6A87349B"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408F2165" w14:textId="30A2A456"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rsidRPr="00F30067">
              <w:t xml:space="preserve">Freeman VL, Boylan EE, Pugach O, </w:t>
            </w:r>
            <w:proofErr w:type="spellStart"/>
            <w:r w:rsidRPr="00F30067">
              <w:t>Mclafferty</w:t>
            </w:r>
            <w:proofErr w:type="spellEnd"/>
            <w:r w:rsidRPr="00F30067">
              <w:t xml:space="preserve"> SL, Tossas-Milligan KY, Watson KS, et al. A geographic</w:t>
            </w:r>
            <w:r>
              <w:t xml:space="preserve"> </w:t>
            </w:r>
            <w:r w:rsidRPr="00F30067">
              <w:t>information system-based method for estimating cancer rates in non-census defined geographical</w:t>
            </w:r>
            <w:r>
              <w:t xml:space="preserve"> </w:t>
            </w:r>
            <w:r w:rsidRPr="00F30067">
              <w:t>areas. Cancer Causes &amp; Control. 2017 Aug 20;1–10.</w:t>
            </w:r>
          </w:p>
          <w:p w14:paraId="095824C0"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070A72ED" w14:textId="14920323"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 xml:space="preserve">Rigsby CK, Popescu AR, Nelson P, Orr RJ, Boylan EE, Schoeneman S, et al. Safety of Blood Pool Contrast Agent Administration in Children and Young Adults. AJR Am J </w:t>
            </w:r>
            <w:proofErr w:type="spellStart"/>
            <w:r>
              <w:t>Roentgenol</w:t>
            </w:r>
            <w:proofErr w:type="spellEnd"/>
            <w:r>
              <w:t xml:space="preserve">. 2015 Nov;205(5):1114–20. </w:t>
            </w:r>
          </w:p>
          <w:p w14:paraId="36E7A52C" w14:textId="77777777" w:rsidR="00F30067" w:rsidRDefault="00F30067" w:rsidP="00B4591A">
            <w:pPr>
              <w:pStyle w:val="NormalCambria"/>
              <w:spacing w:line="240" w:lineRule="auto"/>
              <w:cnfStyle w:val="000000000000" w:firstRow="0" w:lastRow="0" w:firstColumn="0" w:lastColumn="0" w:oddVBand="0" w:evenVBand="0" w:oddHBand="0" w:evenHBand="0" w:firstRowFirstColumn="0" w:firstRowLastColumn="0" w:lastRowFirstColumn="0" w:lastRowLastColumn="0"/>
            </w:pPr>
          </w:p>
          <w:p w14:paraId="6FB84FDD"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 xml:space="preserve">Rigsby CK, Hilpipre N, McNeal GR, Zhang G, Boylan EE, Popescu AR, et al. Analysis of an automated background correction method for cardiovascular MR phase contrast imaging in children and young adults. </w:t>
            </w:r>
            <w:proofErr w:type="spellStart"/>
            <w:r>
              <w:t>Pediatr</w:t>
            </w:r>
            <w:proofErr w:type="spellEnd"/>
            <w:r>
              <w:t xml:space="preserve"> </w:t>
            </w:r>
            <w:proofErr w:type="spellStart"/>
            <w:r>
              <w:t>Radiol</w:t>
            </w:r>
            <w:proofErr w:type="spellEnd"/>
            <w:r>
              <w:t xml:space="preserve">. 2014 Mar;44(3):265–73. </w:t>
            </w:r>
          </w:p>
          <w:p w14:paraId="0CDCCB0C" w14:textId="77777777" w:rsidR="00F30067" w:rsidRDefault="00F30067" w:rsidP="00B4591A">
            <w:pPr>
              <w:pStyle w:val="NormalCambria"/>
              <w:spacing w:line="240" w:lineRule="auto"/>
              <w:cnfStyle w:val="000000000000" w:firstRow="0" w:lastRow="0" w:firstColumn="0" w:lastColumn="0" w:oddVBand="0" w:evenVBand="0" w:oddHBand="0" w:evenHBand="0" w:firstRowFirstColumn="0" w:firstRowLastColumn="0" w:lastRowFirstColumn="0" w:lastRowLastColumn="0"/>
            </w:pPr>
          </w:p>
          <w:p w14:paraId="0D664548"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Popescu A, Thakrar D, Kim ST, Boylan EE, de Freitas RA, Rigsby C. Right Heart Lesions. In: Coley BD, editor. Caffey’s Pediatric Diagnostic Imaging, 2-Volume Set, 12e. 12th ed. Saunders; 2013.</w:t>
            </w:r>
          </w:p>
          <w:p w14:paraId="72D1737E" w14:textId="77777777" w:rsidR="00F30067" w:rsidRDefault="00F30067" w:rsidP="00B4591A">
            <w:pPr>
              <w:pStyle w:val="NormalCambria"/>
              <w:spacing w:line="240" w:lineRule="auto"/>
              <w:cnfStyle w:val="000000000000" w:firstRow="0" w:lastRow="0" w:firstColumn="0" w:lastColumn="0" w:oddVBand="0" w:evenVBand="0" w:oddHBand="0" w:evenHBand="0" w:firstRowFirstColumn="0" w:firstRowLastColumn="0" w:lastRowFirstColumn="0" w:lastRowLastColumn="0"/>
            </w:pPr>
          </w:p>
          <w:p w14:paraId="68489737"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 xml:space="preserve">Deng J, Rigsby CK, Schoeneman S, Boylan E. A semiautomatic postprocessing of liver R2* measurement for assessment of liver iron overload. Magn </w:t>
            </w:r>
            <w:proofErr w:type="spellStart"/>
            <w:r>
              <w:t>Reson</w:t>
            </w:r>
            <w:proofErr w:type="spellEnd"/>
            <w:r>
              <w:t xml:space="preserve"> Imaging. 2012 Jul;30(6):799–806.</w:t>
            </w:r>
          </w:p>
          <w:p w14:paraId="43DE0F4B" w14:textId="77777777" w:rsidR="00F30067" w:rsidRDefault="00F30067" w:rsidP="00B4591A">
            <w:pPr>
              <w:pStyle w:val="NormalCambria"/>
              <w:spacing w:line="240" w:lineRule="auto"/>
              <w:cnfStyle w:val="000000000000" w:firstRow="0" w:lastRow="0" w:firstColumn="0" w:lastColumn="0" w:oddVBand="0" w:evenVBand="0" w:oddHBand="0" w:evenHBand="0" w:firstRowFirstColumn="0" w:firstRowLastColumn="0" w:lastRowFirstColumn="0" w:lastRowLastColumn="0"/>
            </w:pPr>
          </w:p>
          <w:p w14:paraId="38FD82D1"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 xml:space="preserve">Boylan E, Wyers M, Jaffar R. A rare case of thymoma in a 15-month-old girl. </w:t>
            </w:r>
            <w:proofErr w:type="spellStart"/>
            <w:r>
              <w:t>Pediatr</w:t>
            </w:r>
            <w:proofErr w:type="spellEnd"/>
            <w:r>
              <w:t xml:space="preserve"> </w:t>
            </w:r>
            <w:proofErr w:type="spellStart"/>
            <w:r>
              <w:t>Radiol</w:t>
            </w:r>
            <w:proofErr w:type="spellEnd"/>
            <w:r>
              <w:t>. 2011 Nov;41(11):1469–71.</w:t>
            </w:r>
          </w:p>
        </w:tc>
      </w:tr>
      <w:tr w:rsidR="00F30067" w14:paraId="13E3FA9A" w14:textId="77777777" w:rsidTr="00B45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28" w:type="dxa"/>
          </w:tcPr>
          <w:p w14:paraId="6F9416C0" w14:textId="77777777" w:rsidR="00F30067" w:rsidRDefault="00F30067" w:rsidP="00B4591A">
            <w:pPr>
              <w:pStyle w:val="NormalCambria"/>
              <w:spacing w:line="240" w:lineRule="auto"/>
              <w:ind w:firstLine="0"/>
            </w:pPr>
            <w:r>
              <w:lastRenderedPageBreak/>
              <w:t>PRESENTATIONS:</w:t>
            </w:r>
          </w:p>
        </w:tc>
        <w:tc>
          <w:tcPr>
            <w:tcW w:w="6948" w:type="dxa"/>
          </w:tcPr>
          <w:p w14:paraId="1F39BA5D"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Rigsby C, Popescu A, Boylan E, Schoeneman S, Orr J, de Freitas RA. Safety of a blood pool contrast agent in children and young adults. Society for Pediatric Radiology; 2014; Washington, DC.</w:t>
            </w:r>
          </w:p>
          <w:p w14:paraId="04AF49F2" w14:textId="77777777" w:rsidR="00F30067" w:rsidRDefault="00F30067" w:rsidP="00B4591A">
            <w:pPr>
              <w:pStyle w:val="NormalCambria"/>
              <w:spacing w:line="240" w:lineRule="auto"/>
              <w:cnfStyle w:val="000000100000" w:firstRow="0" w:lastRow="0" w:firstColumn="0" w:lastColumn="0" w:oddVBand="0" w:evenVBand="0" w:oddHBand="1" w:evenHBand="0" w:firstRowFirstColumn="0" w:firstRowLastColumn="0" w:lastRowFirstColumn="0" w:lastRowLastColumn="0"/>
            </w:pPr>
          </w:p>
          <w:p w14:paraId="53B47951"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Popescu A, Rigsby C, Boylan E, de Freitas RA, Bi X. Assessment of two different MRA techniques: Standard dynamic gradient echo with extracellular contrast agent versus gradient echo with blood pool contrast agent. Society for Pediatric Radiology; 2014; Washington, DC.</w:t>
            </w:r>
          </w:p>
          <w:p w14:paraId="4D9EFF4D" w14:textId="77777777" w:rsidR="00F30067" w:rsidRDefault="00F30067" w:rsidP="00B4591A">
            <w:pPr>
              <w:pStyle w:val="NormalCambria"/>
              <w:spacing w:line="240" w:lineRule="auto"/>
              <w:cnfStyle w:val="000000100000" w:firstRow="0" w:lastRow="0" w:firstColumn="0" w:lastColumn="0" w:oddVBand="0" w:evenVBand="0" w:oddHBand="1" w:evenHBand="0" w:firstRowFirstColumn="0" w:firstRowLastColumn="0" w:lastRowFirstColumn="0" w:lastRowLastColumn="0"/>
            </w:pPr>
          </w:p>
          <w:p w14:paraId="67B515DF"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Deng J, Burrowes D, Goldman S, Boylan E. Advanced diffusion-weighted MRI analysis for brain tumor tissue characterization in pediatric patients. American Society of Neuroradiology; 2014; Montreal, Quebec, Canada.</w:t>
            </w:r>
          </w:p>
          <w:p w14:paraId="2914F13E" w14:textId="77777777" w:rsidR="00F30067" w:rsidRDefault="00F30067" w:rsidP="00B4591A">
            <w:pPr>
              <w:pStyle w:val="NormalCambria"/>
              <w:spacing w:line="240" w:lineRule="auto"/>
              <w:cnfStyle w:val="000000100000" w:firstRow="0" w:lastRow="0" w:firstColumn="0" w:lastColumn="0" w:oddVBand="0" w:evenVBand="0" w:oddHBand="1" w:evenHBand="0" w:firstRowFirstColumn="0" w:firstRowLastColumn="0" w:lastRowFirstColumn="0" w:lastRowLastColumn="0"/>
            </w:pPr>
          </w:p>
          <w:p w14:paraId="23779A36"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Popescu A, Rigsby CK, Boylan EE, Bi X, de Freitas RA. Comparison of three coronary artery imaging techniques in children. Radiological Society of North America; 2012; Chicago, IL.</w:t>
            </w:r>
          </w:p>
          <w:p w14:paraId="3E63D66B" w14:textId="77777777" w:rsidR="00F30067" w:rsidRDefault="00F30067" w:rsidP="00B4591A">
            <w:pPr>
              <w:pStyle w:val="NormalCambria"/>
              <w:spacing w:line="240" w:lineRule="auto"/>
              <w:cnfStyle w:val="000000100000" w:firstRow="0" w:lastRow="0" w:firstColumn="0" w:lastColumn="0" w:oddVBand="0" w:evenVBand="0" w:oddHBand="1" w:evenHBand="0" w:firstRowFirstColumn="0" w:firstRowLastColumn="0" w:lastRowFirstColumn="0" w:lastRowLastColumn="0"/>
            </w:pPr>
          </w:p>
          <w:p w14:paraId="1725A7AE"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Hilpipre N, Rigsby C, Boylan E, Zhang G, Greiser A, McNeal GR, et al. Analysis of a simple automated background correction method for cardiac MR phase contrast imaging. Society for Pediatric Radiology; 2012; San Francisco, CA.</w:t>
            </w:r>
          </w:p>
          <w:p w14:paraId="1A9E8BC4" w14:textId="77777777" w:rsidR="00F30067" w:rsidRDefault="00F30067" w:rsidP="00B4591A">
            <w:pPr>
              <w:pStyle w:val="NormalCambria"/>
              <w:spacing w:line="240" w:lineRule="auto"/>
              <w:cnfStyle w:val="000000100000" w:firstRow="0" w:lastRow="0" w:firstColumn="0" w:lastColumn="0" w:oddVBand="0" w:evenVBand="0" w:oddHBand="1" w:evenHBand="0" w:firstRowFirstColumn="0" w:firstRowLastColumn="0" w:lastRowFirstColumn="0" w:lastRowLastColumn="0"/>
            </w:pPr>
          </w:p>
          <w:p w14:paraId="4F64919A"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r>
              <w:t xml:space="preserve">Aw J, Boylan E, Schoeneman S, Alden T, Burrowes D. Applications for fast brain MR in children with </w:t>
            </w:r>
            <w:proofErr w:type="spellStart"/>
            <w:r>
              <w:t>intrachranial</w:t>
            </w:r>
            <w:proofErr w:type="spellEnd"/>
            <w:r>
              <w:t xml:space="preserve"> arachnoid cysts. Society for Pediatric Radiology; 2012; San Francisco, CA.</w:t>
            </w:r>
          </w:p>
          <w:p w14:paraId="6032B203" w14:textId="77777777" w:rsidR="00F30067" w:rsidRDefault="00F30067" w:rsidP="00B4591A">
            <w:pPr>
              <w:pStyle w:val="NormalCambria"/>
              <w:spacing w:line="240" w:lineRule="auto"/>
              <w:ind w:firstLine="0"/>
              <w:cnfStyle w:val="000000100000" w:firstRow="0" w:lastRow="0" w:firstColumn="0" w:lastColumn="0" w:oddVBand="0" w:evenVBand="0" w:oddHBand="1" w:evenHBand="0" w:firstRowFirstColumn="0" w:firstRowLastColumn="0" w:lastRowFirstColumn="0" w:lastRowLastColumn="0"/>
            </w:pPr>
          </w:p>
        </w:tc>
      </w:tr>
      <w:tr w:rsidR="00F30067" w14:paraId="0B8E4617" w14:textId="77777777" w:rsidTr="00B4591A">
        <w:tc>
          <w:tcPr>
            <w:cnfStyle w:val="001000000000" w:firstRow="0" w:lastRow="0" w:firstColumn="1" w:lastColumn="0" w:oddVBand="0" w:evenVBand="0" w:oddHBand="0" w:evenHBand="0" w:firstRowFirstColumn="0" w:firstRowLastColumn="0" w:lastRowFirstColumn="0" w:lastRowLastColumn="0"/>
            <w:tcW w:w="2628" w:type="dxa"/>
          </w:tcPr>
          <w:p w14:paraId="2C11B3CC" w14:textId="77777777" w:rsidR="00F30067" w:rsidRDefault="00F30067" w:rsidP="00B4591A">
            <w:pPr>
              <w:pStyle w:val="NormalCambria"/>
              <w:spacing w:line="240" w:lineRule="auto"/>
              <w:ind w:firstLine="0"/>
            </w:pPr>
            <w:r>
              <w:lastRenderedPageBreak/>
              <w:t>POSTERS:</w:t>
            </w:r>
          </w:p>
        </w:tc>
        <w:tc>
          <w:tcPr>
            <w:tcW w:w="6948" w:type="dxa"/>
          </w:tcPr>
          <w:p w14:paraId="42C570DD" w14:textId="10AC32B1" w:rsidR="00F85975" w:rsidRDefault="00F85975" w:rsidP="00F85975">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rsidRPr="00F85975">
              <w:t>Boylan E, Pugach O, Sharp L, Freeman VL. Impact of Driving and Public Transit Travel Burden on</w:t>
            </w:r>
            <w:r>
              <w:t xml:space="preserve"> </w:t>
            </w:r>
            <w:r w:rsidRPr="00F85975">
              <w:t>Colorectal Cancer Prognosis. Poster presented at: American Public Health Association; 2017 Nov 6;</w:t>
            </w:r>
            <w:r>
              <w:t xml:space="preserve"> </w:t>
            </w:r>
            <w:r w:rsidRPr="00F85975">
              <w:t>Atlanta, GA.</w:t>
            </w:r>
          </w:p>
          <w:p w14:paraId="0F075CC4" w14:textId="77777777" w:rsidR="00F85975" w:rsidRDefault="00F85975" w:rsidP="00F85975">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3390378D" w14:textId="2B87AD12" w:rsidR="00F85975" w:rsidRDefault="00F85975" w:rsidP="00F85975">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rsidRPr="00F85975">
              <w:t>Tossas-Milligan KY, Boylan E, Pugach O, Watson KS, Freeman V, Winn RA. From Active Surveillance to</w:t>
            </w:r>
            <w:r>
              <w:t xml:space="preserve"> </w:t>
            </w:r>
            <w:r w:rsidRPr="00F85975">
              <w:t>Activism with Surveillance: Cancer Rates for Politically-Designated Areas. Poster presented at: UI</w:t>
            </w:r>
            <w:r>
              <w:t xml:space="preserve"> </w:t>
            </w:r>
            <w:r w:rsidRPr="00F85975">
              <w:t>Cancer Center Research Forum; 2016 Oct 18; Chicago, IL.</w:t>
            </w:r>
          </w:p>
          <w:p w14:paraId="7FC7723F" w14:textId="77777777" w:rsidR="00F85975" w:rsidRDefault="00F85975"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p w14:paraId="3E2B6862" w14:textId="3EAFF7EF"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Deng J, Burrowes D, Boylan E. Multi-compartment diffusion analysis for differentiation of malignant and benign brain tumors in pediatric patients. International Society for Magnetic Resonance in Medicine; 2013; Salt Lake City, UT.</w:t>
            </w:r>
          </w:p>
          <w:p w14:paraId="22505830" w14:textId="77777777" w:rsidR="00F30067" w:rsidRDefault="00F30067" w:rsidP="00B4591A">
            <w:pPr>
              <w:pStyle w:val="NormalCambria"/>
              <w:spacing w:line="240" w:lineRule="auto"/>
              <w:cnfStyle w:val="000000000000" w:firstRow="0" w:lastRow="0" w:firstColumn="0" w:lastColumn="0" w:oddVBand="0" w:evenVBand="0" w:oddHBand="0" w:evenHBand="0" w:firstRowFirstColumn="0" w:firstRowLastColumn="0" w:lastRowFirstColumn="0" w:lastRowLastColumn="0"/>
            </w:pPr>
          </w:p>
          <w:p w14:paraId="7F53E214"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Kappil M, Saker M, Boylan E, Rigsby C. Button battery ingestion in children: What the radiologist should know. International Pediatric Radiology; 2011; London.</w:t>
            </w:r>
          </w:p>
          <w:p w14:paraId="501525C1" w14:textId="77777777" w:rsidR="00F30067" w:rsidRDefault="00F30067" w:rsidP="00B4591A">
            <w:pPr>
              <w:pStyle w:val="NormalCambria"/>
              <w:spacing w:line="240" w:lineRule="auto"/>
              <w:cnfStyle w:val="000000000000" w:firstRow="0" w:lastRow="0" w:firstColumn="0" w:lastColumn="0" w:oddVBand="0" w:evenVBand="0" w:oddHBand="0" w:evenHBand="0" w:firstRowFirstColumn="0" w:firstRowLastColumn="0" w:lastRowFirstColumn="0" w:lastRowLastColumn="0"/>
            </w:pPr>
          </w:p>
          <w:p w14:paraId="56564D21"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r>
              <w:t xml:space="preserve">Aw J, </w:t>
            </w:r>
            <w:proofErr w:type="spellStart"/>
            <w:r>
              <w:t>Maddalozzo</w:t>
            </w:r>
            <w:proofErr w:type="spellEnd"/>
            <w:r>
              <w:t xml:space="preserve"> J, Schoeneman S, Boylan E, Kanbur V, Burrowes D. Imaging of the Posterior Hyoid Space. American Society of Head and Neck Radiology; 2011; San Diego, CA.</w:t>
            </w:r>
          </w:p>
          <w:p w14:paraId="47D9DA08" w14:textId="77777777" w:rsidR="00F30067" w:rsidRDefault="00F30067" w:rsidP="00B4591A">
            <w:pPr>
              <w:pStyle w:val="NormalCambria"/>
              <w:spacing w:line="240" w:lineRule="auto"/>
              <w:ind w:firstLine="0"/>
              <w:cnfStyle w:val="000000000000" w:firstRow="0" w:lastRow="0" w:firstColumn="0" w:lastColumn="0" w:oddVBand="0" w:evenVBand="0" w:oddHBand="0" w:evenHBand="0" w:firstRowFirstColumn="0" w:firstRowLastColumn="0" w:lastRowFirstColumn="0" w:lastRowLastColumn="0"/>
            </w:pPr>
          </w:p>
        </w:tc>
      </w:tr>
    </w:tbl>
    <w:p w14:paraId="3883C4A0" w14:textId="77777777" w:rsidR="00F30067" w:rsidRPr="00F30067" w:rsidRDefault="00F30067" w:rsidP="00F30067"/>
    <w:sectPr w:rsidR="00F30067" w:rsidRPr="00F30067" w:rsidSect="00C270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C3229" w14:textId="77777777" w:rsidR="00C8248F" w:rsidRDefault="00C8248F" w:rsidP="00F310B6">
      <w:pPr>
        <w:spacing w:line="240" w:lineRule="auto"/>
      </w:pPr>
      <w:r>
        <w:separator/>
      </w:r>
    </w:p>
  </w:endnote>
  <w:endnote w:type="continuationSeparator" w:id="0">
    <w:p w14:paraId="17E67D87" w14:textId="77777777" w:rsidR="00C8248F" w:rsidRDefault="00C8248F" w:rsidP="00F31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FB9C0" w14:textId="4CDBEB82" w:rsidR="00856FAD" w:rsidRDefault="00856FAD">
    <w:pPr>
      <w:pStyle w:val="Footer"/>
      <w:jc w:val="center"/>
    </w:pPr>
  </w:p>
  <w:p w14:paraId="32CB7E55" w14:textId="77777777" w:rsidR="00A12FA2" w:rsidRDefault="00A12F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4939"/>
      <w:docPartObj>
        <w:docPartGallery w:val="Page Numbers (Bottom of Page)"/>
        <w:docPartUnique/>
      </w:docPartObj>
    </w:sdtPr>
    <w:sdtEndPr>
      <w:rPr>
        <w:noProof/>
      </w:rPr>
    </w:sdtEndPr>
    <w:sdtContent>
      <w:p w14:paraId="3E55E84C" w14:textId="181BDCF0" w:rsidR="00A12FA2" w:rsidRDefault="00A12F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33F139" w14:textId="77777777" w:rsidR="00A12FA2" w:rsidRDefault="00A12F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610979"/>
      <w:docPartObj>
        <w:docPartGallery w:val="Page Numbers (Bottom of Page)"/>
        <w:docPartUnique/>
      </w:docPartObj>
    </w:sdtPr>
    <w:sdtEndPr>
      <w:rPr>
        <w:noProof/>
      </w:rPr>
    </w:sdtEndPr>
    <w:sdtContent>
      <w:p w14:paraId="2BE6B677" w14:textId="45E542A7" w:rsidR="00856FAD" w:rsidRDefault="00856FA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ED6A89" w14:textId="77777777" w:rsidR="00856FAD" w:rsidRDefault="00856F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3682440"/>
      <w:docPartObj>
        <w:docPartGallery w:val="Page Numbers (Bottom of Page)"/>
        <w:docPartUnique/>
      </w:docPartObj>
    </w:sdtPr>
    <w:sdtEndPr>
      <w:rPr>
        <w:noProof/>
      </w:rPr>
    </w:sdtEndPr>
    <w:sdtContent>
      <w:p w14:paraId="57E2C488" w14:textId="77777777" w:rsidR="00A12FA2" w:rsidRDefault="00A12F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9A8952" w14:textId="77777777" w:rsidR="00A12FA2" w:rsidRDefault="00A12FA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1C74" w14:textId="3BDE6DC1" w:rsidR="00C270FD" w:rsidRPr="00B10135" w:rsidRDefault="00C270FD" w:rsidP="00B101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58EAE" w14:textId="77777777" w:rsidR="00C8248F" w:rsidRDefault="00C8248F" w:rsidP="00F310B6">
      <w:pPr>
        <w:spacing w:line="240" w:lineRule="auto"/>
      </w:pPr>
      <w:r>
        <w:separator/>
      </w:r>
    </w:p>
  </w:footnote>
  <w:footnote w:type="continuationSeparator" w:id="0">
    <w:p w14:paraId="7B2E077A" w14:textId="77777777" w:rsidR="00C8248F" w:rsidRDefault="00C8248F" w:rsidP="00F310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1B96B" w14:textId="4B843E8C" w:rsidR="00960B7A" w:rsidRDefault="006C3811" w:rsidP="006C3811">
    <w:pPr>
      <w:pStyle w:val="PreliminaryHeading1"/>
    </w:pPr>
    <w:r>
      <w:t>Table of Contents</w:t>
    </w:r>
  </w:p>
  <w:p w14:paraId="28E0A995" w14:textId="4316BD2D" w:rsidR="006C3811" w:rsidRPr="006C3811" w:rsidRDefault="006C3811" w:rsidP="006C3811">
    <w:pPr>
      <w:pStyle w:val="Header"/>
      <w:tabs>
        <w:tab w:val="clear" w:pos="4680"/>
      </w:tabs>
      <w:ind w:firstLine="0"/>
      <w:rPr>
        <w:sz w:val="24"/>
        <w:szCs w:val="24"/>
        <w:u w:val="single"/>
      </w:rPr>
    </w:pPr>
    <w:r w:rsidRPr="00650324">
      <w:rPr>
        <w:sz w:val="24"/>
        <w:szCs w:val="24"/>
        <w:u w:val="single"/>
      </w:rPr>
      <w:t>CHAPTER</w:t>
    </w:r>
    <w:r w:rsidRPr="00650324">
      <w:rPr>
        <w:sz w:val="24"/>
        <w:szCs w:val="24"/>
      </w:rPr>
      <w:tab/>
    </w:r>
    <w:r w:rsidRPr="00650324">
      <w:rPr>
        <w:sz w:val="24"/>
        <w:szCs w:val="24"/>
        <w:u w:val="single"/>
      </w:rPr>
      <w:t>PAGE</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5637D" w14:textId="21D6BCCE" w:rsidR="006C3811" w:rsidRPr="006C3811" w:rsidRDefault="006C3811" w:rsidP="006C381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241E" w14:textId="624B00CF" w:rsidR="00B10135" w:rsidRDefault="00B10135">
    <w:pPr>
      <w:pStyle w:val="Header"/>
      <w:jc w:val="right"/>
    </w:pPr>
    <w:r>
      <w:fldChar w:fldCharType="begin"/>
    </w:r>
    <w:r>
      <w:instrText xml:space="preserve"> PAGE   \* MERGEFORMAT </w:instrText>
    </w:r>
    <w:r>
      <w:fldChar w:fldCharType="separate"/>
    </w:r>
    <w:r>
      <w:rPr>
        <w:noProof/>
      </w:rPr>
      <w:t>1</w:t>
    </w:r>
    <w:r>
      <w:rPr>
        <w:noProof/>
      </w:rPr>
      <w:fldChar w:fldCharType="end"/>
    </w:r>
  </w:p>
  <w:p w14:paraId="416F34D7" w14:textId="77777777" w:rsidR="00B10135" w:rsidRDefault="00B10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66D99" w14:textId="77777777" w:rsidR="006C3811" w:rsidRDefault="006C3811" w:rsidP="00C26451">
    <w:pPr>
      <w:pStyle w:val="PreliminaryHeading1"/>
    </w:pPr>
    <w:r>
      <w:t>acknowledgments (continued)</w:t>
    </w:r>
  </w:p>
  <w:p w14:paraId="1DD74E97" w14:textId="77777777" w:rsidR="006C3811" w:rsidRDefault="006C38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5E4" w14:textId="4F048E08" w:rsidR="006C3811" w:rsidRPr="006C3811" w:rsidRDefault="006C3811" w:rsidP="006C38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4229D" w14:textId="726BC06C" w:rsidR="00A30422" w:rsidRPr="00650324" w:rsidRDefault="00F734B0" w:rsidP="00A30422">
    <w:pPr>
      <w:pStyle w:val="PreliminaryHeading1"/>
      <w:rPr>
        <w:szCs w:val="24"/>
      </w:rPr>
    </w:pPr>
    <w:r w:rsidRPr="00650324">
      <w:rPr>
        <w:szCs w:val="24"/>
      </w:rPr>
      <w:t>table of contents (</w:t>
    </w:r>
    <w:r w:rsidR="00230217" w:rsidRPr="00650324">
      <w:rPr>
        <w:caps w:val="0"/>
        <w:szCs w:val="24"/>
      </w:rPr>
      <w:t>continued</w:t>
    </w:r>
    <w:r w:rsidRPr="00650324">
      <w:rPr>
        <w:szCs w:val="24"/>
      </w:rPr>
      <w:t>)</w:t>
    </w:r>
  </w:p>
  <w:p w14:paraId="2D3A39F2" w14:textId="7427D4B2" w:rsidR="00F734B0" w:rsidRPr="00650324" w:rsidRDefault="00230217" w:rsidP="00202E2C">
    <w:pPr>
      <w:pStyle w:val="Header"/>
      <w:tabs>
        <w:tab w:val="clear" w:pos="4680"/>
      </w:tabs>
      <w:ind w:firstLine="0"/>
      <w:rPr>
        <w:sz w:val="24"/>
        <w:szCs w:val="24"/>
        <w:u w:val="single"/>
      </w:rPr>
    </w:pPr>
    <w:r w:rsidRPr="00650324">
      <w:rPr>
        <w:sz w:val="24"/>
        <w:szCs w:val="24"/>
        <w:u w:val="single"/>
      </w:rPr>
      <w:t>CHAPTER</w:t>
    </w:r>
    <w:r w:rsidRPr="00650324">
      <w:rPr>
        <w:sz w:val="24"/>
        <w:szCs w:val="24"/>
      </w:rPr>
      <w:tab/>
    </w:r>
    <w:r w:rsidRPr="00650324">
      <w:rPr>
        <w:sz w:val="24"/>
        <w:szCs w:val="24"/>
        <w:u w:val="single"/>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D410C" w14:textId="77777777" w:rsidR="006C3811" w:rsidRDefault="006C3811" w:rsidP="006C3811">
    <w:pPr>
      <w:pStyle w:val="PreliminaryHeading1"/>
    </w:pPr>
    <w:r>
      <w:t>Table of Contents</w:t>
    </w:r>
  </w:p>
  <w:p w14:paraId="4EE55541" w14:textId="77777777" w:rsidR="006C3811" w:rsidRPr="006C3811" w:rsidRDefault="006C3811" w:rsidP="006C3811">
    <w:pPr>
      <w:pStyle w:val="Header"/>
      <w:tabs>
        <w:tab w:val="clear" w:pos="4680"/>
      </w:tabs>
      <w:ind w:firstLine="0"/>
      <w:rPr>
        <w:sz w:val="24"/>
        <w:szCs w:val="24"/>
        <w:u w:val="single"/>
      </w:rPr>
    </w:pPr>
    <w:r w:rsidRPr="00650324">
      <w:rPr>
        <w:sz w:val="24"/>
        <w:szCs w:val="24"/>
        <w:u w:val="single"/>
      </w:rPr>
      <w:t>CHAPTER</w:t>
    </w:r>
    <w:r w:rsidRPr="00650324">
      <w:rPr>
        <w:sz w:val="24"/>
        <w:szCs w:val="24"/>
      </w:rPr>
      <w:tab/>
    </w:r>
    <w:r w:rsidRPr="00650324">
      <w:rPr>
        <w:sz w:val="24"/>
        <w:szCs w:val="24"/>
        <w:u w:val="single"/>
      </w:rPr>
      <w:t>PAGE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0FA7C" w14:textId="327EA2ED" w:rsidR="00C26451" w:rsidRPr="00650324" w:rsidRDefault="000363E5" w:rsidP="000363E5">
    <w:pPr>
      <w:pStyle w:val="PreliminaryHeading1"/>
      <w:rPr>
        <w:szCs w:val="24"/>
      </w:rPr>
    </w:pPr>
    <w:r w:rsidRPr="00650324">
      <w:rPr>
        <w:szCs w:val="24"/>
      </w:rPr>
      <w:t>List of TAbles</w:t>
    </w:r>
  </w:p>
  <w:p w14:paraId="254B7C98" w14:textId="09CAC15D" w:rsidR="000363E5" w:rsidRPr="00650324" w:rsidRDefault="000363E5" w:rsidP="000363E5">
    <w:pPr>
      <w:tabs>
        <w:tab w:val="left" w:pos="8172"/>
      </w:tabs>
      <w:spacing w:line="240" w:lineRule="auto"/>
      <w:ind w:firstLine="0"/>
      <w:jc w:val="center"/>
      <w:rPr>
        <w:sz w:val="24"/>
        <w:szCs w:val="24"/>
        <w:u w:val="single"/>
      </w:rPr>
    </w:pPr>
    <w:r w:rsidRPr="00650324">
      <w:rPr>
        <w:sz w:val="24"/>
        <w:szCs w:val="24"/>
        <w:u w:val="single"/>
      </w:rPr>
      <w:t>TABLE</w:t>
    </w:r>
    <w:r w:rsidRPr="00650324">
      <w:rPr>
        <w:sz w:val="24"/>
        <w:szCs w:val="24"/>
      </w:rPr>
      <w:tab/>
    </w:r>
    <w:r w:rsidRPr="00650324">
      <w:rPr>
        <w:sz w:val="24"/>
        <w:szCs w:val="24"/>
      </w:rPr>
      <w:tab/>
    </w:r>
    <w:r w:rsidRPr="00650324">
      <w:rPr>
        <w:sz w:val="24"/>
        <w:szCs w:val="24"/>
        <w:u w:val="single"/>
      </w:rPr>
      <w:t>PAGE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24EC3" w14:textId="0AD4705A" w:rsidR="000363E5" w:rsidRPr="00650324" w:rsidRDefault="000363E5" w:rsidP="000363E5">
    <w:pPr>
      <w:pStyle w:val="PreliminaryHeading1"/>
      <w:rPr>
        <w:szCs w:val="24"/>
      </w:rPr>
    </w:pPr>
    <w:r w:rsidRPr="00650324">
      <w:rPr>
        <w:szCs w:val="24"/>
      </w:rPr>
      <w:t>List of figures</w:t>
    </w:r>
  </w:p>
  <w:p w14:paraId="12DB0E26" w14:textId="28E42DA6" w:rsidR="00650324" w:rsidRPr="00650324" w:rsidRDefault="00650324" w:rsidP="00650324">
    <w:pPr>
      <w:tabs>
        <w:tab w:val="left" w:pos="8640"/>
      </w:tabs>
      <w:spacing w:line="240" w:lineRule="auto"/>
      <w:ind w:firstLine="0"/>
      <w:rPr>
        <w:sz w:val="24"/>
        <w:szCs w:val="24"/>
        <w:u w:val="single"/>
      </w:rPr>
    </w:pPr>
    <w:r w:rsidRPr="00650324">
      <w:rPr>
        <w:sz w:val="24"/>
        <w:szCs w:val="24"/>
        <w:u w:val="single"/>
      </w:rPr>
      <w:t>FIGURE</w:t>
    </w:r>
    <w:r w:rsidRPr="00650324">
      <w:rPr>
        <w:sz w:val="24"/>
        <w:szCs w:val="24"/>
      </w:rPr>
      <w:tab/>
    </w:r>
    <w:r w:rsidRPr="00650324">
      <w:rPr>
        <w:sz w:val="24"/>
        <w:szCs w:val="24"/>
        <w:u w:val="single"/>
      </w:rPr>
      <w:t>PAGE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66AB" w14:textId="53B1A4CE" w:rsidR="00650324" w:rsidRPr="00650324" w:rsidRDefault="00650324" w:rsidP="0065032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7A48" w14:textId="60F723BE" w:rsidR="0042460C" w:rsidRDefault="0042460C" w:rsidP="0042460C">
    <w:pPr>
      <w:pStyle w:val="PreliminaryHeading1"/>
    </w:pPr>
    <w:r>
      <w:t>Summary (continued)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1369"/>
    <w:multiLevelType w:val="hybridMultilevel"/>
    <w:tmpl w:val="61C67C1E"/>
    <w:lvl w:ilvl="0" w:tplc="07022522">
      <w:start w:val="1"/>
      <w:numFmt w:val="lowerRoman"/>
      <w:pStyle w:val="Heading4"/>
      <w:lvlText w:val="%1."/>
      <w:lvlJc w:val="righ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 w15:restartNumberingAfterBreak="0">
    <w:nsid w:val="1FF520F9"/>
    <w:multiLevelType w:val="hybridMultilevel"/>
    <w:tmpl w:val="3FF2B790"/>
    <w:lvl w:ilvl="0" w:tplc="9A066214">
      <w:start w:val="1"/>
      <w:numFmt w:val="decimal"/>
      <w:pStyle w:val="Heading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2D5FD8"/>
    <w:multiLevelType w:val="hybridMultilevel"/>
    <w:tmpl w:val="792893CA"/>
    <w:lvl w:ilvl="0" w:tplc="01348B48">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E65916"/>
    <w:multiLevelType w:val="hybridMultilevel"/>
    <w:tmpl w:val="E12A8ADA"/>
    <w:lvl w:ilvl="0" w:tplc="2D48720E">
      <w:start w:val="1"/>
      <w:numFmt w:val="decimal"/>
      <w:lvlText w:val="%1."/>
      <w:lvlJc w:val="left"/>
      <w:pPr>
        <w:ind w:left="720" w:hanging="360"/>
      </w:pPr>
      <w:rPr>
        <w:rFonts w:ascii="Cambria" w:eastAsiaTheme="minorHAnsi" w:hAnsi="Cambria"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9F42EB"/>
    <w:multiLevelType w:val="hybridMultilevel"/>
    <w:tmpl w:val="CE88E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7B117F"/>
    <w:multiLevelType w:val="hybridMultilevel"/>
    <w:tmpl w:val="DE9CA100"/>
    <w:lvl w:ilvl="0" w:tplc="1A28D8F4">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2273237">
    <w:abstractNumId w:val="2"/>
  </w:num>
  <w:num w:numId="2" w16cid:durableId="831218649">
    <w:abstractNumId w:val="2"/>
    <w:lvlOverride w:ilvl="0">
      <w:startOverride w:val="1"/>
    </w:lvlOverride>
  </w:num>
  <w:num w:numId="3" w16cid:durableId="1282766621">
    <w:abstractNumId w:val="5"/>
  </w:num>
  <w:num w:numId="4" w16cid:durableId="116948690">
    <w:abstractNumId w:val="1"/>
  </w:num>
  <w:num w:numId="5" w16cid:durableId="1539123256">
    <w:abstractNumId w:val="5"/>
    <w:lvlOverride w:ilvl="0">
      <w:startOverride w:val="1"/>
    </w:lvlOverride>
  </w:num>
  <w:num w:numId="6" w16cid:durableId="1581787976">
    <w:abstractNumId w:val="1"/>
    <w:lvlOverride w:ilvl="0">
      <w:startOverride w:val="1"/>
    </w:lvlOverride>
  </w:num>
  <w:num w:numId="7" w16cid:durableId="1405949115">
    <w:abstractNumId w:val="0"/>
  </w:num>
  <w:num w:numId="8" w16cid:durableId="392778680">
    <w:abstractNumId w:val="5"/>
    <w:lvlOverride w:ilvl="0">
      <w:startOverride w:val="1"/>
    </w:lvlOverride>
  </w:num>
  <w:num w:numId="9" w16cid:durableId="1068571813">
    <w:abstractNumId w:val="1"/>
    <w:lvlOverride w:ilvl="0">
      <w:startOverride w:val="1"/>
    </w:lvlOverride>
  </w:num>
  <w:num w:numId="10" w16cid:durableId="806552723">
    <w:abstractNumId w:val="1"/>
    <w:lvlOverride w:ilvl="0">
      <w:startOverride w:val="1"/>
    </w:lvlOverride>
  </w:num>
  <w:num w:numId="11" w16cid:durableId="406851533">
    <w:abstractNumId w:val="5"/>
    <w:lvlOverride w:ilvl="0">
      <w:startOverride w:val="1"/>
    </w:lvlOverride>
  </w:num>
  <w:num w:numId="12" w16cid:durableId="630132395">
    <w:abstractNumId w:val="1"/>
    <w:lvlOverride w:ilvl="0">
      <w:startOverride w:val="1"/>
    </w:lvlOverride>
  </w:num>
  <w:num w:numId="13" w16cid:durableId="74397604">
    <w:abstractNumId w:val="1"/>
    <w:lvlOverride w:ilvl="0">
      <w:startOverride w:val="1"/>
    </w:lvlOverride>
  </w:num>
  <w:num w:numId="14" w16cid:durableId="1747459686">
    <w:abstractNumId w:val="1"/>
    <w:lvlOverride w:ilvl="0">
      <w:startOverride w:val="1"/>
    </w:lvlOverride>
  </w:num>
  <w:num w:numId="15" w16cid:durableId="1817067228">
    <w:abstractNumId w:val="5"/>
    <w:lvlOverride w:ilvl="0">
      <w:startOverride w:val="1"/>
    </w:lvlOverride>
  </w:num>
  <w:num w:numId="16" w16cid:durableId="1636566435">
    <w:abstractNumId w:val="1"/>
    <w:lvlOverride w:ilvl="0">
      <w:startOverride w:val="1"/>
    </w:lvlOverride>
  </w:num>
  <w:num w:numId="17" w16cid:durableId="1766926209">
    <w:abstractNumId w:val="1"/>
    <w:lvlOverride w:ilvl="0">
      <w:startOverride w:val="1"/>
    </w:lvlOverride>
  </w:num>
  <w:num w:numId="18" w16cid:durableId="660620385">
    <w:abstractNumId w:val="0"/>
    <w:lvlOverride w:ilvl="0">
      <w:startOverride w:val="1"/>
    </w:lvlOverride>
  </w:num>
  <w:num w:numId="19" w16cid:durableId="174850737">
    <w:abstractNumId w:val="1"/>
    <w:lvlOverride w:ilvl="0">
      <w:startOverride w:val="1"/>
    </w:lvlOverride>
  </w:num>
  <w:num w:numId="20" w16cid:durableId="1219777150">
    <w:abstractNumId w:val="3"/>
  </w:num>
  <w:num w:numId="21" w16cid:durableId="3723422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activeWritingStyle w:appName="MSWord" w:lang="en-US" w:vendorID="64" w:dllVersion="0" w:nlCheck="1" w:checkStyle="1"/>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B3F"/>
    <w:rsid w:val="00006898"/>
    <w:rsid w:val="00010886"/>
    <w:rsid w:val="00011DC0"/>
    <w:rsid w:val="00014BA8"/>
    <w:rsid w:val="00016892"/>
    <w:rsid w:val="00026DE1"/>
    <w:rsid w:val="00033020"/>
    <w:rsid w:val="0003457B"/>
    <w:rsid w:val="000363E5"/>
    <w:rsid w:val="000373CF"/>
    <w:rsid w:val="00037AC3"/>
    <w:rsid w:val="000512BE"/>
    <w:rsid w:val="00052AFE"/>
    <w:rsid w:val="0006120D"/>
    <w:rsid w:val="00063082"/>
    <w:rsid w:val="0008331C"/>
    <w:rsid w:val="0009418E"/>
    <w:rsid w:val="000960AC"/>
    <w:rsid w:val="000B6733"/>
    <w:rsid w:val="000C53F0"/>
    <w:rsid w:val="000C590F"/>
    <w:rsid w:val="000C67E3"/>
    <w:rsid w:val="000D2B62"/>
    <w:rsid w:val="000D454A"/>
    <w:rsid w:val="000F0881"/>
    <w:rsid w:val="000F135F"/>
    <w:rsid w:val="00107BD0"/>
    <w:rsid w:val="00110782"/>
    <w:rsid w:val="00114DB9"/>
    <w:rsid w:val="00121836"/>
    <w:rsid w:val="00126349"/>
    <w:rsid w:val="00135D75"/>
    <w:rsid w:val="001366E9"/>
    <w:rsid w:val="00146D91"/>
    <w:rsid w:val="001545CE"/>
    <w:rsid w:val="00167234"/>
    <w:rsid w:val="00171A7B"/>
    <w:rsid w:val="001765F0"/>
    <w:rsid w:val="00186F49"/>
    <w:rsid w:val="001873CF"/>
    <w:rsid w:val="0019655E"/>
    <w:rsid w:val="001C596E"/>
    <w:rsid w:val="001D14F2"/>
    <w:rsid w:val="001D3D23"/>
    <w:rsid w:val="001F2B9D"/>
    <w:rsid w:val="001F5890"/>
    <w:rsid w:val="001F794F"/>
    <w:rsid w:val="00202E2C"/>
    <w:rsid w:val="00204BD7"/>
    <w:rsid w:val="0022344A"/>
    <w:rsid w:val="00226FC6"/>
    <w:rsid w:val="00230217"/>
    <w:rsid w:val="002372E4"/>
    <w:rsid w:val="0024069A"/>
    <w:rsid w:val="00257A28"/>
    <w:rsid w:val="00265937"/>
    <w:rsid w:val="00271BBA"/>
    <w:rsid w:val="0027332B"/>
    <w:rsid w:val="00274AB8"/>
    <w:rsid w:val="00290DC3"/>
    <w:rsid w:val="00295674"/>
    <w:rsid w:val="002B092E"/>
    <w:rsid w:val="002C409F"/>
    <w:rsid w:val="002E7B76"/>
    <w:rsid w:val="00300BD9"/>
    <w:rsid w:val="0030103C"/>
    <w:rsid w:val="00303E56"/>
    <w:rsid w:val="00306809"/>
    <w:rsid w:val="00321573"/>
    <w:rsid w:val="00327942"/>
    <w:rsid w:val="0033712B"/>
    <w:rsid w:val="00343F20"/>
    <w:rsid w:val="003503F6"/>
    <w:rsid w:val="0035177D"/>
    <w:rsid w:val="003563C9"/>
    <w:rsid w:val="00360E7B"/>
    <w:rsid w:val="003666DB"/>
    <w:rsid w:val="003831EF"/>
    <w:rsid w:val="00383BF6"/>
    <w:rsid w:val="003926EE"/>
    <w:rsid w:val="003B0604"/>
    <w:rsid w:val="003C23DA"/>
    <w:rsid w:val="003C3BC7"/>
    <w:rsid w:val="003D195B"/>
    <w:rsid w:val="003F0681"/>
    <w:rsid w:val="0042460C"/>
    <w:rsid w:val="004336CA"/>
    <w:rsid w:val="00473ADA"/>
    <w:rsid w:val="004768D7"/>
    <w:rsid w:val="004815EF"/>
    <w:rsid w:val="00486159"/>
    <w:rsid w:val="004A0A8F"/>
    <w:rsid w:val="004B3933"/>
    <w:rsid w:val="004C22EC"/>
    <w:rsid w:val="004D0A7C"/>
    <w:rsid w:val="004E611B"/>
    <w:rsid w:val="00533835"/>
    <w:rsid w:val="00542259"/>
    <w:rsid w:val="00553ECA"/>
    <w:rsid w:val="0056243A"/>
    <w:rsid w:val="005740A4"/>
    <w:rsid w:val="0058162B"/>
    <w:rsid w:val="005A03FF"/>
    <w:rsid w:val="005B131F"/>
    <w:rsid w:val="005B23BD"/>
    <w:rsid w:val="005B74C7"/>
    <w:rsid w:val="005E377F"/>
    <w:rsid w:val="005F1125"/>
    <w:rsid w:val="00600838"/>
    <w:rsid w:val="00607735"/>
    <w:rsid w:val="0061517E"/>
    <w:rsid w:val="00626F20"/>
    <w:rsid w:val="00631AE3"/>
    <w:rsid w:val="006502FC"/>
    <w:rsid w:val="00650324"/>
    <w:rsid w:val="00651F7E"/>
    <w:rsid w:val="006532CF"/>
    <w:rsid w:val="0066124A"/>
    <w:rsid w:val="00665B3F"/>
    <w:rsid w:val="00671E68"/>
    <w:rsid w:val="00690E13"/>
    <w:rsid w:val="006A219A"/>
    <w:rsid w:val="006A2744"/>
    <w:rsid w:val="006B21F1"/>
    <w:rsid w:val="006C3811"/>
    <w:rsid w:val="006C52C1"/>
    <w:rsid w:val="006C7DE0"/>
    <w:rsid w:val="006F21EE"/>
    <w:rsid w:val="00700089"/>
    <w:rsid w:val="00703898"/>
    <w:rsid w:val="00733779"/>
    <w:rsid w:val="00761E36"/>
    <w:rsid w:val="00770B11"/>
    <w:rsid w:val="00774924"/>
    <w:rsid w:val="0078039E"/>
    <w:rsid w:val="00784AC3"/>
    <w:rsid w:val="007D45E4"/>
    <w:rsid w:val="007E3C49"/>
    <w:rsid w:val="007F1C7D"/>
    <w:rsid w:val="00811292"/>
    <w:rsid w:val="00814622"/>
    <w:rsid w:val="0082211E"/>
    <w:rsid w:val="00836198"/>
    <w:rsid w:val="00843CCF"/>
    <w:rsid w:val="00856FAD"/>
    <w:rsid w:val="008625BF"/>
    <w:rsid w:val="00866BC3"/>
    <w:rsid w:val="00866E61"/>
    <w:rsid w:val="008726B9"/>
    <w:rsid w:val="008740F0"/>
    <w:rsid w:val="008749FD"/>
    <w:rsid w:val="00881335"/>
    <w:rsid w:val="00884642"/>
    <w:rsid w:val="00896B01"/>
    <w:rsid w:val="008A043B"/>
    <w:rsid w:val="008A42EA"/>
    <w:rsid w:val="008A528E"/>
    <w:rsid w:val="008B287B"/>
    <w:rsid w:val="008C66CD"/>
    <w:rsid w:val="008E6A8D"/>
    <w:rsid w:val="008E6DB6"/>
    <w:rsid w:val="008F4DD5"/>
    <w:rsid w:val="009077BF"/>
    <w:rsid w:val="00917CFA"/>
    <w:rsid w:val="00931E6A"/>
    <w:rsid w:val="00933A45"/>
    <w:rsid w:val="009369E0"/>
    <w:rsid w:val="00941212"/>
    <w:rsid w:val="00947B73"/>
    <w:rsid w:val="009514A0"/>
    <w:rsid w:val="00960B7A"/>
    <w:rsid w:val="009639BB"/>
    <w:rsid w:val="00971D21"/>
    <w:rsid w:val="0097227E"/>
    <w:rsid w:val="00972DF8"/>
    <w:rsid w:val="009903A9"/>
    <w:rsid w:val="009A2D69"/>
    <w:rsid w:val="009A5CF8"/>
    <w:rsid w:val="009C74E5"/>
    <w:rsid w:val="009E577E"/>
    <w:rsid w:val="009E65D1"/>
    <w:rsid w:val="009F0408"/>
    <w:rsid w:val="009F4144"/>
    <w:rsid w:val="009F58E2"/>
    <w:rsid w:val="00A12FA2"/>
    <w:rsid w:val="00A15A41"/>
    <w:rsid w:val="00A27058"/>
    <w:rsid w:val="00A30422"/>
    <w:rsid w:val="00A3094C"/>
    <w:rsid w:val="00A32767"/>
    <w:rsid w:val="00A336DE"/>
    <w:rsid w:val="00A35234"/>
    <w:rsid w:val="00A52D81"/>
    <w:rsid w:val="00A67E93"/>
    <w:rsid w:val="00A710CF"/>
    <w:rsid w:val="00A71E1E"/>
    <w:rsid w:val="00A767B3"/>
    <w:rsid w:val="00A82CC7"/>
    <w:rsid w:val="00A84F4B"/>
    <w:rsid w:val="00A85903"/>
    <w:rsid w:val="00A9340A"/>
    <w:rsid w:val="00AB11E1"/>
    <w:rsid w:val="00AC3B19"/>
    <w:rsid w:val="00AE6831"/>
    <w:rsid w:val="00AF19E4"/>
    <w:rsid w:val="00AF2625"/>
    <w:rsid w:val="00AF3C73"/>
    <w:rsid w:val="00B000AC"/>
    <w:rsid w:val="00B00AC8"/>
    <w:rsid w:val="00B069DD"/>
    <w:rsid w:val="00B10135"/>
    <w:rsid w:val="00B142E8"/>
    <w:rsid w:val="00B152BE"/>
    <w:rsid w:val="00B20B5A"/>
    <w:rsid w:val="00B222AB"/>
    <w:rsid w:val="00B27A9C"/>
    <w:rsid w:val="00B31DBF"/>
    <w:rsid w:val="00B35E6C"/>
    <w:rsid w:val="00B42E10"/>
    <w:rsid w:val="00B547C4"/>
    <w:rsid w:val="00B571AB"/>
    <w:rsid w:val="00B75174"/>
    <w:rsid w:val="00B80BAB"/>
    <w:rsid w:val="00B82009"/>
    <w:rsid w:val="00B9088A"/>
    <w:rsid w:val="00B90D19"/>
    <w:rsid w:val="00B91550"/>
    <w:rsid w:val="00BB5ABC"/>
    <w:rsid w:val="00BB7208"/>
    <w:rsid w:val="00BC63F0"/>
    <w:rsid w:val="00BE19DE"/>
    <w:rsid w:val="00BE3CC7"/>
    <w:rsid w:val="00C01FFA"/>
    <w:rsid w:val="00C176D5"/>
    <w:rsid w:val="00C26451"/>
    <w:rsid w:val="00C270FD"/>
    <w:rsid w:val="00C3549A"/>
    <w:rsid w:val="00C463C1"/>
    <w:rsid w:val="00C4758E"/>
    <w:rsid w:val="00C51B76"/>
    <w:rsid w:val="00C52BB0"/>
    <w:rsid w:val="00C66C1C"/>
    <w:rsid w:val="00C723CE"/>
    <w:rsid w:val="00C752A8"/>
    <w:rsid w:val="00C755A0"/>
    <w:rsid w:val="00C80331"/>
    <w:rsid w:val="00C8248F"/>
    <w:rsid w:val="00C90945"/>
    <w:rsid w:val="00CB3AB5"/>
    <w:rsid w:val="00CB4711"/>
    <w:rsid w:val="00CC2690"/>
    <w:rsid w:val="00CC647D"/>
    <w:rsid w:val="00CD43D2"/>
    <w:rsid w:val="00CD7BAE"/>
    <w:rsid w:val="00CD7BFC"/>
    <w:rsid w:val="00CE0C16"/>
    <w:rsid w:val="00D039D1"/>
    <w:rsid w:val="00D10B2B"/>
    <w:rsid w:val="00D15B91"/>
    <w:rsid w:val="00D3015B"/>
    <w:rsid w:val="00D45C1D"/>
    <w:rsid w:val="00D609C5"/>
    <w:rsid w:val="00D61ADE"/>
    <w:rsid w:val="00D728FD"/>
    <w:rsid w:val="00D731AA"/>
    <w:rsid w:val="00D7621D"/>
    <w:rsid w:val="00D82BD4"/>
    <w:rsid w:val="00D83E9C"/>
    <w:rsid w:val="00D8753C"/>
    <w:rsid w:val="00D92FBC"/>
    <w:rsid w:val="00DA419B"/>
    <w:rsid w:val="00DA59B7"/>
    <w:rsid w:val="00DA6AE5"/>
    <w:rsid w:val="00DB5540"/>
    <w:rsid w:val="00DC2361"/>
    <w:rsid w:val="00DC41CD"/>
    <w:rsid w:val="00DC515D"/>
    <w:rsid w:val="00DD6AD4"/>
    <w:rsid w:val="00DF0905"/>
    <w:rsid w:val="00E064EA"/>
    <w:rsid w:val="00E26AA2"/>
    <w:rsid w:val="00E31492"/>
    <w:rsid w:val="00E3688E"/>
    <w:rsid w:val="00E54B19"/>
    <w:rsid w:val="00E6240B"/>
    <w:rsid w:val="00E64DCC"/>
    <w:rsid w:val="00E7070E"/>
    <w:rsid w:val="00E70737"/>
    <w:rsid w:val="00E71E36"/>
    <w:rsid w:val="00E7422E"/>
    <w:rsid w:val="00E91F70"/>
    <w:rsid w:val="00E9604D"/>
    <w:rsid w:val="00EA1B32"/>
    <w:rsid w:val="00EA1EA3"/>
    <w:rsid w:val="00EB53EB"/>
    <w:rsid w:val="00EE0B61"/>
    <w:rsid w:val="00EE4C2B"/>
    <w:rsid w:val="00EE54C1"/>
    <w:rsid w:val="00EF2DA8"/>
    <w:rsid w:val="00F07D29"/>
    <w:rsid w:val="00F116E1"/>
    <w:rsid w:val="00F22E53"/>
    <w:rsid w:val="00F266A8"/>
    <w:rsid w:val="00F2682F"/>
    <w:rsid w:val="00F30067"/>
    <w:rsid w:val="00F30151"/>
    <w:rsid w:val="00F310B6"/>
    <w:rsid w:val="00F340C5"/>
    <w:rsid w:val="00F350B7"/>
    <w:rsid w:val="00F419F6"/>
    <w:rsid w:val="00F60E03"/>
    <w:rsid w:val="00F6420E"/>
    <w:rsid w:val="00F734B0"/>
    <w:rsid w:val="00F7463C"/>
    <w:rsid w:val="00F771A2"/>
    <w:rsid w:val="00F85975"/>
    <w:rsid w:val="00F860C1"/>
    <w:rsid w:val="00FB01CE"/>
    <w:rsid w:val="00FB0F34"/>
    <w:rsid w:val="00FE66A9"/>
    <w:rsid w:val="00FF1507"/>
    <w:rsid w:val="00FF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4D4D5"/>
  <w15:chartTrackingRefBased/>
  <w15:docId w15:val="{8FF124AE-3F68-40FF-8B19-9CAB6C218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9BB"/>
    <w:pPr>
      <w:spacing w:after="0" w:line="480" w:lineRule="auto"/>
      <w:ind w:firstLine="720"/>
    </w:pPr>
  </w:style>
  <w:style w:type="paragraph" w:styleId="Heading1">
    <w:name w:val="heading 1"/>
    <w:basedOn w:val="Normal"/>
    <w:next w:val="Normal"/>
    <w:link w:val="Heading1Char"/>
    <w:uiPriority w:val="9"/>
    <w:qFormat/>
    <w:rsid w:val="00126349"/>
    <w:pPr>
      <w:keepNext/>
      <w:keepLines/>
      <w:numPr>
        <w:numId w:val="1"/>
      </w:numPr>
      <w:spacing w:before="240"/>
      <w:jc w:val="center"/>
      <w:outlineLvl w:val="0"/>
    </w:pPr>
    <w:rPr>
      <w:rFonts w:asciiTheme="majorHAnsi" w:eastAsiaTheme="majorEastAsia" w:hAnsiTheme="majorHAnsi" w:cstheme="majorBidi"/>
      <w:b/>
      <w:caps/>
      <w:sz w:val="24"/>
      <w:szCs w:val="32"/>
    </w:rPr>
  </w:style>
  <w:style w:type="paragraph" w:styleId="Heading2">
    <w:name w:val="heading 2"/>
    <w:basedOn w:val="Normal"/>
    <w:next w:val="Normal"/>
    <w:link w:val="Heading2Char"/>
    <w:uiPriority w:val="9"/>
    <w:unhideWhenUsed/>
    <w:qFormat/>
    <w:rsid w:val="00C270FD"/>
    <w:pPr>
      <w:keepNext/>
      <w:keepLines/>
      <w:numPr>
        <w:numId w:val="3"/>
      </w:numPr>
      <w:spacing w:before="40"/>
      <w:outlineLvl w:val="1"/>
    </w:pPr>
    <w:rPr>
      <w:rFonts w:asciiTheme="majorHAnsi" w:eastAsiaTheme="majorEastAsia" w:hAnsiTheme="majorHAnsi" w:cstheme="majorBidi"/>
      <w:b/>
      <w:sz w:val="24"/>
      <w:szCs w:val="26"/>
      <w:u w:val="single"/>
    </w:rPr>
  </w:style>
  <w:style w:type="paragraph" w:styleId="Heading3">
    <w:name w:val="heading 3"/>
    <w:basedOn w:val="Normal"/>
    <w:next w:val="Normal"/>
    <w:link w:val="Heading3Char"/>
    <w:uiPriority w:val="9"/>
    <w:unhideWhenUsed/>
    <w:qFormat/>
    <w:rsid w:val="00300BD9"/>
    <w:pPr>
      <w:keepNext/>
      <w:keepLines/>
      <w:numPr>
        <w:numId w:val="4"/>
      </w:numPr>
      <w:spacing w:before="40"/>
      <w:outlineLvl w:val="2"/>
    </w:pPr>
    <w:rPr>
      <w:rFonts w:asciiTheme="majorHAnsi" w:eastAsiaTheme="majorEastAsia" w:hAnsiTheme="majorHAnsi" w:cstheme="majorBidi"/>
      <w:b/>
      <w:sz w:val="24"/>
      <w:szCs w:val="24"/>
      <w:u w:val="single"/>
    </w:rPr>
  </w:style>
  <w:style w:type="paragraph" w:styleId="Heading4">
    <w:name w:val="heading 4"/>
    <w:basedOn w:val="Normal"/>
    <w:next w:val="Normal"/>
    <w:link w:val="Heading4Char"/>
    <w:uiPriority w:val="9"/>
    <w:unhideWhenUsed/>
    <w:qFormat/>
    <w:rsid w:val="00300BD9"/>
    <w:pPr>
      <w:keepNext/>
      <w:keepLines/>
      <w:numPr>
        <w:numId w:val="7"/>
      </w:numPr>
      <w:spacing w:before="40"/>
      <w:ind w:left="1530"/>
      <w:outlineLvl w:val="3"/>
    </w:pPr>
    <w:rPr>
      <w:rFonts w:asciiTheme="majorHAnsi" w:eastAsiaTheme="majorEastAsia" w:hAnsiTheme="majorHAnsi" w:cstheme="majorBidi"/>
      <w:b/>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349"/>
    <w:rPr>
      <w:rFonts w:asciiTheme="majorHAnsi" w:eastAsiaTheme="majorEastAsia" w:hAnsiTheme="majorHAnsi" w:cstheme="majorBidi"/>
      <w:b/>
      <w:caps/>
      <w:sz w:val="24"/>
      <w:szCs w:val="32"/>
    </w:rPr>
  </w:style>
  <w:style w:type="character" w:customStyle="1" w:styleId="Heading2Char">
    <w:name w:val="Heading 2 Char"/>
    <w:basedOn w:val="DefaultParagraphFont"/>
    <w:link w:val="Heading2"/>
    <w:uiPriority w:val="9"/>
    <w:rsid w:val="00C270FD"/>
    <w:rPr>
      <w:rFonts w:asciiTheme="majorHAnsi" w:eastAsiaTheme="majorEastAsia" w:hAnsiTheme="majorHAnsi" w:cstheme="majorBidi"/>
      <w:b/>
      <w:sz w:val="24"/>
      <w:szCs w:val="26"/>
      <w:u w:val="single"/>
    </w:rPr>
  </w:style>
  <w:style w:type="character" w:styleId="IntenseEmphasis">
    <w:name w:val="Intense Emphasis"/>
    <w:basedOn w:val="DefaultParagraphFont"/>
    <w:uiPriority w:val="21"/>
    <w:qFormat/>
    <w:rsid w:val="00665B3F"/>
    <w:rPr>
      <w:i/>
      <w:iCs/>
      <w:color w:val="auto"/>
    </w:rPr>
  </w:style>
  <w:style w:type="paragraph" w:styleId="IntenseQuote">
    <w:name w:val="Intense Quote"/>
    <w:basedOn w:val="Normal"/>
    <w:next w:val="Normal"/>
    <w:link w:val="IntenseQuoteChar"/>
    <w:uiPriority w:val="30"/>
    <w:qFormat/>
    <w:rsid w:val="00665B3F"/>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665B3F"/>
    <w:rPr>
      <w:i/>
      <w:iCs/>
    </w:rPr>
  </w:style>
  <w:style w:type="character" w:styleId="IntenseReference">
    <w:name w:val="Intense Reference"/>
    <w:basedOn w:val="DefaultParagraphFont"/>
    <w:uiPriority w:val="32"/>
    <w:qFormat/>
    <w:rsid w:val="00665B3F"/>
    <w:rPr>
      <w:b/>
      <w:bCs/>
      <w:smallCaps/>
      <w:color w:val="auto"/>
      <w:spacing w:val="5"/>
    </w:rPr>
  </w:style>
  <w:style w:type="paragraph" w:styleId="Header">
    <w:name w:val="header"/>
    <w:basedOn w:val="Normal"/>
    <w:link w:val="HeaderChar"/>
    <w:uiPriority w:val="99"/>
    <w:unhideWhenUsed/>
    <w:rsid w:val="00F310B6"/>
    <w:pPr>
      <w:tabs>
        <w:tab w:val="center" w:pos="4680"/>
        <w:tab w:val="right" w:pos="9360"/>
      </w:tabs>
      <w:spacing w:line="240" w:lineRule="auto"/>
    </w:pPr>
  </w:style>
  <w:style w:type="character" w:customStyle="1" w:styleId="HeaderChar">
    <w:name w:val="Header Char"/>
    <w:basedOn w:val="DefaultParagraphFont"/>
    <w:link w:val="Header"/>
    <w:uiPriority w:val="99"/>
    <w:rsid w:val="00F310B6"/>
  </w:style>
  <w:style w:type="paragraph" w:styleId="Footer">
    <w:name w:val="footer"/>
    <w:basedOn w:val="Normal"/>
    <w:link w:val="FooterChar"/>
    <w:uiPriority w:val="99"/>
    <w:unhideWhenUsed/>
    <w:rsid w:val="00F310B6"/>
    <w:pPr>
      <w:tabs>
        <w:tab w:val="center" w:pos="4680"/>
        <w:tab w:val="right" w:pos="9360"/>
      </w:tabs>
      <w:spacing w:line="240" w:lineRule="auto"/>
    </w:pPr>
  </w:style>
  <w:style w:type="character" w:customStyle="1" w:styleId="FooterChar">
    <w:name w:val="Footer Char"/>
    <w:basedOn w:val="DefaultParagraphFont"/>
    <w:link w:val="Footer"/>
    <w:uiPriority w:val="99"/>
    <w:rsid w:val="00F310B6"/>
  </w:style>
  <w:style w:type="paragraph" w:styleId="TOCHeading">
    <w:name w:val="TOC Heading"/>
    <w:basedOn w:val="Heading1"/>
    <w:next w:val="Normal"/>
    <w:uiPriority w:val="39"/>
    <w:unhideWhenUsed/>
    <w:qFormat/>
    <w:rsid w:val="00631AE3"/>
    <w:pPr>
      <w:jc w:val="left"/>
      <w:outlineLvl w:val="9"/>
    </w:pPr>
    <w:rPr>
      <w:b w:val="0"/>
      <w:caps w:val="0"/>
      <w:color w:val="2F5496" w:themeColor="accent1" w:themeShade="BF"/>
      <w:sz w:val="32"/>
    </w:rPr>
  </w:style>
  <w:style w:type="paragraph" w:styleId="TOC1">
    <w:name w:val="toc 1"/>
    <w:basedOn w:val="Normal"/>
    <w:next w:val="Normal"/>
    <w:link w:val="TOC1Char"/>
    <w:autoRedefine/>
    <w:uiPriority w:val="39"/>
    <w:unhideWhenUsed/>
    <w:rsid w:val="00010886"/>
    <w:pPr>
      <w:tabs>
        <w:tab w:val="left" w:pos="1100"/>
        <w:tab w:val="right" w:leader="dot" w:pos="9350"/>
      </w:tabs>
      <w:spacing w:before="240" w:line="240" w:lineRule="auto"/>
      <w:ind w:left="994" w:hanging="634"/>
    </w:pPr>
    <w:rPr>
      <w:rFonts w:asciiTheme="majorHAnsi" w:hAnsiTheme="majorHAnsi"/>
      <w:b/>
      <w:bCs/>
      <w:caps/>
      <w:sz w:val="24"/>
      <w:szCs w:val="24"/>
    </w:rPr>
  </w:style>
  <w:style w:type="character" w:styleId="Hyperlink">
    <w:name w:val="Hyperlink"/>
    <w:basedOn w:val="DefaultParagraphFont"/>
    <w:uiPriority w:val="99"/>
    <w:unhideWhenUsed/>
    <w:rsid w:val="00631AE3"/>
    <w:rPr>
      <w:color w:val="0563C1" w:themeColor="hyperlink"/>
      <w:u w:val="single"/>
    </w:rPr>
  </w:style>
  <w:style w:type="paragraph" w:styleId="TOC2">
    <w:name w:val="toc 2"/>
    <w:basedOn w:val="Normal"/>
    <w:next w:val="Normal"/>
    <w:link w:val="TOC2Char"/>
    <w:autoRedefine/>
    <w:uiPriority w:val="39"/>
    <w:unhideWhenUsed/>
    <w:rsid w:val="00E91F70"/>
    <w:pPr>
      <w:tabs>
        <w:tab w:val="left" w:pos="1530"/>
        <w:tab w:val="right" w:leader="dot" w:pos="9350"/>
      </w:tabs>
      <w:spacing w:line="240" w:lineRule="auto"/>
      <w:ind w:left="990" w:firstLine="0"/>
    </w:pPr>
    <w:rPr>
      <w:rFonts w:asciiTheme="minorHAnsi" w:hAnsiTheme="minorHAnsi"/>
      <w:b/>
      <w:bCs/>
      <w:sz w:val="24"/>
      <w:szCs w:val="20"/>
    </w:rPr>
  </w:style>
  <w:style w:type="paragraph" w:styleId="TOC3">
    <w:name w:val="toc 3"/>
    <w:basedOn w:val="Normal"/>
    <w:next w:val="Normal"/>
    <w:link w:val="TOC3Char"/>
    <w:autoRedefine/>
    <w:uiPriority w:val="39"/>
    <w:unhideWhenUsed/>
    <w:rsid w:val="00A30422"/>
    <w:pPr>
      <w:tabs>
        <w:tab w:val="right" w:leader="dot" w:pos="9350"/>
      </w:tabs>
      <w:spacing w:line="240" w:lineRule="auto"/>
      <w:ind w:left="1973" w:hanging="533"/>
    </w:pPr>
    <w:rPr>
      <w:rFonts w:asciiTheme="minorHAnsi" w:hAnsiTheme="minorHAnsi"/>
      <w:sz w:val="24"/>
      <w:szCs w:val="20"/>
    </w:rPr>
  </w:style>
  <w:style w:type="paragraph" w:styleId="TOC4">
    <w:name w:val="toc 4"/>
    <w:basedOn w:val="Normal"/>
    <w:next w:val="Normal"/>
    <w:autoRedefine/>
    <w:uiPriority w:val="39"/>
    <w:unhideWhenUsed/>
    <w:rsid w:val="008A42EA"/>
    <w:pPr>
      <w:ind w:left="440"/>
    </w:pPr>
    <w:rPr>
      <w:rFonts w:asciiTheme="minorHAnsi" w:hAnsiTheme="minorHAnsi"/>
      <w:sz w:val="24"/>
      <w:szCs w:val="20"/>
    </w:rPr>
  </w:style>
  <w:style w:type="paragraph" w:styleId="TOC5">
    <w:name w:val="toc 5"/>
    <w:basedOn w:val="Normal"/>
    <w:next w:val="Normal"/>
    <w:autoRedefine/>
    <w:uiPriority w:val="39"/>
    <w:unhideWhenUsed/>
    <w:rsid w:val="008A42EA"/>
    <w:pPr>
      <w:ind w:left="660"/>
    </w:pPr>
    <w:rPr>
      <w:rFonts w:asciiTheme="minorHAnsi" w:hAnsiTheme="minorHAnsi"/>
      <w:sz w:val="24"/>
      <w:szCs w:val="20"/>
    </w:rPr>
  </w:style>
  <w:style w:type="paragraph" w:styleId="TOC6">
    <w:name w:val="toc 6"/>
    <w:basedOn w:val="Normal"/>
    <w:next w:val="Normal"/>
    <w:autoRedefine/>
    <w:uiPriority w:val="39"/>
    <w:unhideWhenUsed/>
    <w:rsid w:val="008A42EA"/>
    <w:pPr>
      <w:ind w:left="880"/>
    </w:pPr>
    <w:rPr>
      <w:rFonts w:asciiTheme="minorHAnsi" w:hAnsiTheme="minorHAnsi"/>
      <w:sz w:val="24"/>
      <w:szCs w:val="20"/>
    </w:rPr>
  </w:style>
  <w:style w:type="paragraph" w:styleId="TOC7">
    <w:name w:val="toc 7"/>
    <w:basedOn w:val="Normal"/>
    <w:next w:val="Normal"/>
    <w:autoRedefine/>
    <w:uiPriority w:val="39"/>
    <w:unhideWhenUsed/>
    <w:rsid w:val="008A42EA"/>
    <w:pPr>
      <w:ind w:left="1100"/>
    </w:pPr>
    <w:rPr>
      <w:rFonts w:asciiTheme="minorHAnsi" w:hAnsiTheme="minorHAnsi"/>
      <w:sz w:val="24"/>
      <w:szCs w:val="20"/>
    </w:rPr>
  </w:style>
  <w:style w:type="paragraph" w:styleId="TOC8">
    <w:name w:val="toc 8"/>
    <w:basedOn w:val="Normal"/>
    <w:next w:val="Normal"/>
    <w:autoRedefine/>
    <w:uiPriority w:val="39"/>
    <w:unhideWhenUsed/>
    <w:rsid w:val="00631AE3"/>
    <w:pPr>
      <w:ind w:left="1320"/>
    </w:pPr>
    <w:rPr>
      <w:rFonts w:asciiTheme="minorHAnsi" w:hAnsiTheme="minorHAnsi"/>
      <w:sz w:val="20"/>
      <w:szCs w:val="20"/>
    </w:rPr>
  </w:style>
  <w:style w:type="paragraph" w:styleId="TOC9">
    <w:name w:val="toc 9"/>
    <w:basedOn w:val="Normal"/>
    <w:next w:val="Normal"/>
    <w:autoRedefine/>
    <w:uiPriority w:val="39"/>
    <w:unhideWhenUsed/>
    <w:rsid w:val="00631AE3"/>
    <w:pPr>
      <w:ind w:left="1540"/>
    </w:pPr>
    <w:rPr>
      <w:rFonts w:asciiTheme="minorHAnsi" w:hAnsiTheme="minorHAnsi"/>
      <w:sz w:val="20"/>
      <w:szCs w:val="20"/>
    </w:rPr>
  </w:style>
  <w:style w:type="paragraph" w:customStyle="1" w:styleId="PreliminaryHeading1">
    <w:name w:val="Preliminary Heading 1"/>
    <w:next w:val="Normal"/>
    <w:link w:val="PreliminaryHeading1Char"/>
    <w:qFormat/>
    <w:rsid w:val="008A42EA"/>
    <w:pPr>
      <w:jc w:val="center"/>
    </w:pPr>
    <w:rPr>
      <w:rFonts w:asciiTheme="majorHAnsi" w:eastAsiaTheme="majorEastAsia" w:hAnsiTheme="majorHAnsi" w:cstheme="majorBidi"/>
      <w:b/>
      <w:caps/>
      <w:sz w:val="24"/>
      <w:szCs w:val="32"/>
    </w:rPr>
  </w:style>
  <w:style w:type="table" w:styleId="TableGrid">
    <w:name w:val="Table Grid"/>
    <w:basedOn w:val="TableNormal"/>
    <w:uiPriority w:val="39"/>
    <w:rsid w:val="00126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liminaryHeading1Char">
    <w:name w:val="Preliminary Heading 1 Char"/>
    <w:basedOn w:val="Heading1Char"/>
    <w:link w:val="PreliminaryHeading1"/>
    <w:rsid w:val="008A42EA"/>
    <w:rPr>
      <w:rFonts w:asciiTheme="majorHAnsi" w:eastAsiaTheme="majorEastAsia" w:hAnsiTheme="majorHAnsi" w:cstheme="majorBidi"/>
      <w:b/>
      <w:caps/>
      <w:sz w:val="24"/>
      <w:szCs w:val="32"/>
    </w:rPr>
  </w:style>
  <w:style w:type="character" w:customStyle="1" w:styleId="Heading3Char">
    <w:name w:val="Heading 3 Char"/>
    <w:basedOn w:val="DefaultParagraphFont"/>
    <w:link w:val="Heading3"/>
    <w:uiPriority w:val="9"/>
    <w:rsid w:val="00300BD9"/>
    <w:rPr>
      <w:rFonts w:asciiTheme="majorHAnsi" w:eastAsiaTheme="majorEastAsia" w:hAnsiTheme="majorHAnsi" w:cstheme="majorBidi"/>
      <w:b/>
      <w:sz w:val="24"/>
      <w:szCs w:val="24"/>
      <w:u w:val="single"/>
    </w:rPr>
  </w:style>
  <w:style w:type="paragraph" w:styleId="Bibliography">
    <w:name w:val="Bibliography"/>
    <w:basedOn w:val="Normal"/>
    <w:next w:val="Normal"/>
    <w:uiPriority w:val="37"/>
    <w:unhideWhenUsed/>
    <w:rsid w:val="001C596E"/>
    <w:pPr>
      <w:tabs>
        <w:tab w:val="left" w:pos="384"/>
      </w:tabs>
      <w:spacing w:after="240" w:line="240" w:lineRule="auto"/>
      <w:ind w:left="384" w:hanging="384"/>
    </w:pPr>
  </w:style>
  <w:style w:type="character" w:styleId="CommentReference">
    <w:name w:val="annotation reference"/>
    <w:basedOn w:val="DefaultParagraphFont"/>
    <w:uiPriority w:val="99"/>
    <w:semiHidden/>
    <w:unhideWhenUsed/>
    <w:rsid w:val="00F860C1"/>
    <w:rPr>
      <w:sz w:val="16"/>
      <w:szCs w:val="16"/>
    </w:rPr>
  </w:style>
  <w:style w:type="paragraph" w:styleId="CommentText">
    <w:name w:val="annotation text"/>
    <w:basedOn w:val="Normal"/>
    <w:link w:val="CommentTextChar"/>
    <w:uiPriority w:val="99"/>
    <w:unhideWhenUsed/>
    <w:rsid w:val="00F860C1"/>
    <w:pPr>
      <w:spacing w:line="240" w:lineRule="auto"/>
    </w:pPr>
    <w:rPr>
      <w:sz w:val="20"/>
      <w:szCs w:val="20"/>
    </w:rPr>
  </w:style>
  <w:style w:type="character" w:customStyle="1" w:styleId="CommentTextChar">
    <w:name w:val="Comment Text Char"/>
    <w:basedOn w:val="DefaultParagraphFont"/>
    <w:link w:val="CommentText"/>
    <w:uiPriority w:val="99"/>
    <w:rsid w:val="00F860C1"/>
    <w:rPr>
      <w:sz w:val="20"/>
      <w:szCs w:val="20"/>
    </w:rPr>
  </w:style>
  <w:style w:type="paragraph" w:styleId="CommentSubject">
    <w:name w:val="annotation subject"/>
    <w:basedOn w:val="CommentText"/>
    <w:next w:val="CommentText"/>
    <w:link w:val="CommentSubjectChar"/>
    <w:uiPriority w:val="99"/>
    <w:semiHidden/>
    <w:unhideWhenUsed/>
    <w:rsid w:val="00F860C1"/>
    <w:rPr>
      <w:b/>
      <w:bCs/>
    </w:rPr>
  </w:style>
  <w:style w:type="character" w:customStyle="1" w:styleId="CommentSubjectChar">
    <w:name w:val="Comment Subject Char"/>
    <w:basedOn w:val="CommentTextChar"/>
    <w:link w:val="CommentSubject"/>
    <w:uiPriority w:val="99"/>
    <w:semiHidden/>
    <w:rsid w:val="00F860C1"/>
    <w:rPr>
      <w:b/>
      <w:bCs/>
      <w:sz w:val="20"/>
      <w:szCs w:val="20"/>
    </w:rPr>
  </w:style>
  <w:style w:type="character" w:customStyle="1" w:styleId="Heading4Char">
    <w:name w:val="Heading 4 Char"/>
    <w:basedOn w:val="DefaultParagraphFont"/>
    <w:link w:val="Heading4"/>
    <w:uiPriority w:val="9"/>
    <w:rsid w:val="00300BD9"/>
    <w:rPr>
      <w:rFonts w:asciiTheme="majorHAnsi" w:eastAsiaTheme="majorEastAsia" w:hAnsiTheme="majorHAnsi" w:cstheme="majorBidi"/>
      <w:b/>
      <w:iCs/>
      <w:u w:val="single"/>
    </w:rPr>
  </w:style>
  <w:style w:type="paragraph" w:customStyle="1" w:styleId="TableName">
    <w:name w:val="Table Name"/>
    <w:basedOn w:val="Heading1"/>
    <w:link w:val="TableNameChar"/>
    <w:qFormat/>
    <w:rsid w:val="00AB11E1"/>
    <w:pPr>
      <w:numPr>
        <w:numId w:val="0"/>
      </w:numPr>
      <w:spacing w:before="0" w:line="240" w:lineRule="auto"/>
      <w:jc w:val="left"/>
      <w:outlineLvl w:val="9"/>
    </w:pPr>
  </w:style>
  <w:style w:type="table" w:styleId="GridTable1Light">
    <w:name w:val="Grid Table 1 Light"/>
    <w:basedOn w:val="TableNormal"/>
    <w:uiPriority w:val="46"/>
    <w:rsid w:val="00AB11E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ableNameChar">
    <w:name w:val="Table Name Char"/>
    <w:basedOn w:val="DefaultParagraphFont"/>
    <w:link w:val="TableName"/>
    <w:rsid w:val="00AB11E1"/>
    <w:rPr>
      <w:rFonts w:asciiTheme="majorHAnsi" w:eastAsiaTheme="majorEastAsia" w:hAnsiTheme="majorHAnsi" w:cstheme="majorBidi"/>
      <w:b/>
      <w:caps/>
      <w:sz w:val="24"/>
      <w:szCs w:val="32"/>
    </w:rPr>
  </w:style>
  <w:style w:type="table" w:styleId="PlainTable2">
    <w:name w:val="Plain Table 2"/>
    <w:basedOn w:val="TableNormal"/>
    <w:uiPriority w:val="42"/>
    <w:rsid w:val="00AB11E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26F20"/>
    <w:pPr>
      <w:spacing w:after="0" w:line="240" w:lineRule="auto"/>
    </w:pPr>
    <w:rPr>
      <w:rFonts w:asciiTheme="minorHAnsi" w:hAnsiTheme="minorHAnsi"/>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Spacing">
    <w:name w:val="No Spacing"/>
    <w:uiPriority w:val="1"/>
    <w:qFormat/>
    <w:rsid w:val="00626F20"/>
    <w:pPr>
      <w:spacing w:after="0" w:line="240" w:lineRule="auto"/>
      <w:ind w:firstLine="720"/>
    </w:pPr>
  </w:style>
  <w:style w:type="character" w:styleId="UnresolvedMention">
    <w:name w:val="Unresolved Mention"/>
    <w:basedOn w:val="DefaultParagraphFont"/>
    <w:uiPriority w:val="99"/>
    <w:semiHidden/>
    <w:unhideWhenUsed/>
    <w:rsid w:val="00D731AA"/>
    <w:rPr>
      <w:color w:val="605E5C"/>
      <w:shd w:val="clear" w:color="auto" w:fill="E1DFDD"/>
    </w:rPr>
  </w:style>
  <w:style w:type="paragraph" w:styleId="Title">
    <w:name w:val="Title"/>
    <w:basedOn w:val="Normal"/>
    <w:next w:val="Normal"/>
    <w:link w:val="TitleChar"/>
    <w:uiPriority w:val="10"/>
    <w:qFormat/>
    <w:rsid w:val="00C755A0"/>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C755A0"/>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C755A0"/>
    <w:pPr>
      <w:numPr>
        <w:ilvl w:val="1"/>
      </w:numPr>
      <w:ind w:firstLine="72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55A0"/>
    <w:rPr>
      <w:rFonts w:eastAsiaTheme="minorEastAsia"/>
      <w:color w:val="5A5A5A" w:themeColor="text1" w:themeTint="A5"/>
      <w:spacing w:val="15"/>
    </w:rPr>
  </w:style>
  <w:style w:type="character" w:styleId="SubtleEmphasis">
    <w:name w:val="Subtle Emphasis"/>
    <w:basedOn w:val="DefaultParagraphFont"/>
    <w:uiPriority w:val="19"/>
    <w:qFormat/>
    <w:rsid w:val="00C755A0"/>
    <w:rPr>
      <w:rFonts w:ascii="Cambria" w:hAnsi="Cambria"/>
      <w:i/>
      <w:iCs/>
      <w:color w:val="404040" w:themeColor="text1" w:themeTint="BF"/>
    </w:rPr>
  </w:style>
  <w:style w:type="character" w:styleId="Emphasis">
    <w:name w:val="Emphasis"/>
    <w:basedOn w:val="DefaultParagraphFont"/>
    <w:uiPriority w:val="20"/>
    <w:qFormat/>
    <w:rsid w:val="00C755A0"/>
    <w:rPr>
      <w:rFonts w:ascii="Cambria" w:hAnsi="Cambria"/>
      <w:i/>
      <w:iCs/>
    </w:rPr>
  </w:style>
  <w:style w:type="character" w:styleId="Strong">
    <w:name w:val="Strong"/>
    <w:basedOn w:val="DefaultParagraphFont"/>
    <w:uiPriority w:val="22"/>
    <w:qFormat/>
    <w:rsid w:val="00C755A0"/>
    <w:rPr>
      <w:rFonts w:ascii="Cambria" w:hAnsi="Cambria"/>
      <w:b/>
      <w:bCs/>
    </w:rPr>
  </w:style>
  <w:style w:type="character" w:styleId="SubtleReference">
    <w:name w:val="Subtle Reference"/>
    <w:basedOn w:val="DefaultParagraphFont"/>
    <w:uiPriority w:val="31"/>
    <w:qFormat/>
    <w:rsid w:val="00C755A0"/>
    <w:rPr>
      <w:rFonts w:ascii="Cambria" w:hAnsi="Cambria"/>
      <w:smallCaps/>
      <w:color w:val="5A5A5A" w:themeColor="text1" w:themeTint="A5"/>
    </w:rPr>
  </w:style>
  <w:style w:type="character" w:styleId="BookTitle">
    <w:name w:val="Book Title"/>
    <w:basedOn w:val="DefaultParagraphFont"/>
    <w:uiPriority w:val="33"/>
    <w:qFormat/>
    <w:rsid w:val="00C755A0"/>
    <w:rPr>
      <w:rFonts w:ascii="Cambria" w:hAnsi="Cambria"/>
      <w:b/>
      <w:bCs/>
      <w:i/>
      <w:iCs/>
      <w:spacing w:val="5"/>
    </w:rPr>
  </w:style>
  <w:style w:type="paragraph" w:styleId="Caption">
    <w:name w:val="caption"/>
    <w:basedOn w:val="Normal"/>
    <w:next w:val="Normal"/>
    <w:link w:val="CaptionChar"/>
    <w:uiPriority w:val="35"/>
    <w:unhideWhenUsed/>
    <w:qFormat/>
    <w:rsid w:val="00C755A0"/>
    <w:pPr>
      <w:spacing w:after="200" w:line="240" w:lineRule="auto"/>
    </w:pPr>
    <w:rPr>
      <w:i/>
      <w:iCs/>
      <w:color w:val="44546A" w:themeColor="text2"/>
      <w:sz w:val="18"/>
      <w:szCs w:val="18"/>
    </w:rPr>
  </w:style>
  <w:style w:type="paragraph" w:styleId="ListParagraph">
    <w:name w:val="List Paragraph"/>
    <w:basedOn w:val="Normal"/>
    <w:uiPriority w:val="34"/>
    <w:qFormat/>
    <w:rsid w:val="00C755A0"/>
    <w:pPr>
      <w:ind w:left="720"/>
      <w:contextualSpacing/>
    </w:pPr>
  </w:style>
  <w:style w:type="paragraph" w:styleId="Revision">
    <w:name w:val="Revision"/>
    <w:hidden/>
    <w:uiPriority w:val="99"/>
    <w:semiHidden/>
    <w:rsid w:val="00C723CE"/>
    <w:pPr>
      <w:spacing w:after="0" w:line="240" w:lineRule="auto"/>
    </w:pPr>
  </w:style>
  <w:style w:type="paragraph" w:customStyle="1" w:styleId="NormalCambria">
    <w:name w:val="Normal Cambria"/>
    <w:basedOn w:val="Normal"/>
    <w:link w:val="NormalCambriaChar"/>
    <w:qFormat/>
    <w:rsid w:val="00F30067"/>
    <w:pPr>
      <w:ind w:firstLine="360"/>
    </w:pPr>
  </w:style>
  <w:style w:type="character" w:customStyle="1" w:styleId="NormalCambriaChar">
    <w:name w:val="Normal Cambria Char"/>
    <w:basedOn w:val="DefaultParagraphFont"/>
    <w:link w:val="NormalCambria"/>
    <w:rsid w:val="00F30067"/>
  </w:style>
  <w:style w:type="table" w:customStyle="1" w:styleId="PlainTable21">
    <w:name w:val="Plain Table 21"/>
    <w:basedOn w:val="TableNormal"/>
    <w:uiPriority w:val="42"/>
    <w:rsid w:val="00F30067"/>
    <w:pPr>
      <w:spacing w:after="0" w:line="240" w:lineRule="auto"/>
    </w:pPr>
    <w:rPr>
      <w:rFonts w:asciiTheme="minorHAnsi" w:hAnsi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OC1Char">
    <w:name w:val="TOC 1 Char"/>
    <w:basedOn w:val="DefaultParagraphFont"/>
    <w:link w:val="TOC1"/>
    <w:uiPriority w:val="39"/>
    <w:rsid w:val="00010886"/>
    <w:rPr>
      <w:rFonts w:asciiTheme="majorHAnsi" w:hAnsiTheme="majorHAnsi"/>
      <w:b/>
      <w:bCs/>
      <w:caps/>
      <w:sz w:val="24"/>
      <w:szCs w:val="24"/>
    </w:rPr>
  </w:style>
  <w:style w:type="character" w:customStyle="1" w:styleId="TOC2Char">
    <w:name w:val="TOC 2 Char"/>
    <w:basedOn w:val="DefaultParagraphFont"/>
    <w:link w:val="TOC2"/>
    <w:uiPriority w:val="39"/>
    <w:rsid w:val="00E91F70"/>
    <w:rPr>
      <w:rFonts w:asciiTheme="minorHAnsi" w:hAnsiTheme="minorHAnsi"/>
      <w:b/>
      <w:bCs/>
      <w:sz w:val="24"/>
      <w:szCs w:val="20"/>
    </w:rPr>
  </w:style>
  <w:style w:type="character" w:customStyle="1" w:styleId="TOC3Char">
    <w:name w:val="TOC 3 Char"/>
    <w:basedOn w:val="DefaultParagraphFont"/>
    <w:link w:val="TOC3"/>
    <w:uiPriority w:val="39"/>
    <w:rsid w:val="00A30422"/>
    <w:rPr>
      <w:rFonts w:asciiTheme="minorHAnsi" w:hAnsiTheme="minorHAnsi"/>
      <w:sz w:val="24"/>
      <w:szCs w:val="20"/>
    </w:rPr>
  </w:style>
  <w:style w:type="paragraph" w:customStyle="1" w:styleId="FigureLegend">
    <w:name w:val="Figure Legend"/>
    <w:basedOn w:val="Caption"/>
    <w:link w:val="FigureLegendChar"/>
    <w:qFormat/>
    <w:rsid w:val="001545CE"/>
    <w:pPr>
      <w:ind w:firstLine="0"/>
    </w:pPr>
    <w:rPr>
      <w:i w:val="0"/>
      <w:iCs w:val="0"/>
      <w:color w:val="auto"/>
      <w:sz w:val="22"/>
      <w:szCs w:val="24"/>
    </w:rPr>
  </w:style>
  <w:style w:type="character" w:customStyle="1" w:styleId="CaptionChar">
    <w:name w:val="Caption Char"/>
    <w:basedOn w:val="DefaultParagraphFont"/>
    <w:link w:val="Caption"/>
    <w:uiPriority w:val="35"/>
    <w:rsid w:val="00C4758E"/>
    <w:rPr>
      <w:i/>
      <w:iCs/>
      <w:color w:val="44546A" w:themeColor="text2"/>
      <w:sz w:val="18"/>
      <w:szCs w:val="18"/>
    </w:rPr>
  </w:style>
  <w:style w:type="character" w:customStyle="1" w:styleId="FigureLegendChar">
    <w:name w:val="Figure Legend Char"/>
    <w:basedOn w:val="CaptionChar"/>
    <w:link w:val="FigureLegend"/>
    <w:rsid w:val="001545CE"/>
    <w:rPr>
      <w:i w:val="0"/>
      <w:iCs w:val="0"/>
      <w:color w:val="44546A" w:themeColor="text2"/>
      <w:sz w:val="18"/>
      <w:szCs w:val="24"/>
    </w:rPr>
  </w:style>
  <w:style w:type="paragraph" w:styleId="TableofFigures">
    <w:name w:val="table of figures"/>
    <w:basedOn w:val="Normal"/>
    <w:next w:val="Normal"/>
    <w:uiPriority w:val="99"/>
    <w:unhideWhenUsed/>
    <w:rsid w:val="00C4758E"/>
  </w:style>
  <w:style w:type="table" w:styleId="PlainTable1">
    <w:name w:val="Plain Table 1"/>
    <w:basedOn w:val="TableNormal"/>
    <w:uiPriority w:val="41"/>
    <w:rsid w:val="0001689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NameContinued">
    <w:name w:val="Table Name Continued"/>
    <w:basedOn w:val="TableName"/>
    <w:link w:val="TableNameContinuedChar"/>
    <w:qFormat/>
    <w:rsid w:val="00016892"/>
    <w:pPr>
      <w:spacing w:after="160" w:line="259" w:lineRule="auto"/>
    </w:pPr>
  </w:style>
  <w:style w:type="character" w:customStyle="1" w:styleId="TableNameContinuedChar">
    <w:name w:val="Table Name Continued Char"/>
    <w:basedOn w:val="TableNameChar"/>
    <w:link w:val="TableNameContinued"/>
    <w:rsid w:val="00016892"/>
    <w:rPr>
      <w:rFonts w:asciiTheme="majorHAnsi" w:eastAsiaTheme="majorEastAsia" w:hAnsiTheme="majorHAnsi" w:cstheme="majorBidi"/>
      <w:b/>
      <w:cap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460202">
      <w:bodyDiv w:val="1"/>
      <w:marLeft w:val="0"/>
      <w:marRight w:val="0"/>
      <w:marTop w:val="0"/>
      <w:marBottom w:val="0"/>
      <w:divBdr>
        <w:top w:val="none" w:sz="0" w:space="0" w:color="auto"/>
        <w:left w:val="none" w:sz="0" w:space="0" w:color="auto"/>
        <w:bottom w:val="none" w:sz="0" w:space="0" w:color="auto"/>
        <w:right w:val="none" w:sz="0" w:space="0" w:color="auto"/>
      </w:divBdr>
    </w:div>
    <w:div w:id="516385235">
      <w:bodyDiv w:val="1"/>
      <w:marLeft w:val="0"/>
      <w:marRight w:val="0"/>
      <w:marTop w:val="0"/>
      <w:marBottom w:val="0"/>
      <w:divBdr>
        <w:top w:val="none" w:sz="0" w:space="0" w:color="auto"/>
        <w:left w:val="none" w:sz="0" w:space="0" w:color="auto"/>
        <w:bottom w:val="none" w:sz="0" w:space="0" w:color="auto"/>
        <w:right w:val="none" w:sz="0" w:space="0" w:color="auto"/>
      </w:divBdr>
    </w:div>
    <w:div w:id="549925543">
      <w:bodyDiv w:val="1"/>
      <w:marLeft w:val="0"/>
      <w:marRight w:val="0"/>
      <w:marTop w:val="0"/>
      <w:marBottom w:val="0"/>
      <w:divBdr>
        <w:top w:val="none" w:sz="0" w:space="0" w:color="auto"/>
        <w:left w:val="none" w:sz="0" w:space="0" w:color="auto"/>
        <w:bottom w:val="none" w:sz="0" w:space="0" w:color="auto"/>
        <w:right w:val="none" w:sz="0" w:space="0" w:color="auto"/>
      </w:divBdr>
    </w:div>
    <w:div w:id="888960920">
      <w:bodyDiv w:val="1"/>
      <w:marLeft w:val="0"/>
      <w:marRight w:val="0"/>
      <w:marTop w:val="0"/>
      <w:marBottom w:val="0"/>
      <w:divBdr>
        <w:top w:val="none" w:sz="0" w:space="0" w:color="auto"/>
        <w:left w:val="none" w:sz="0" w:space="0" w:color="auto"/>
        <w:bottom w:val="none" w:sz="0" w:space="0" w:color="auto"/>
        <w:right w:val="none" w:sz="0" w:space="0" w:color="auto"/>
      </w:divBdr>
    </w:div>
    <w:div w:id="1353411299">
      <w:bodyDiv w:val="1"/>
      <w:marLeft w:val="0"/>
      <w:marRight w:val="0"/>
      <w:marTop w:val="0"/>
      <w:marBottom w:val="0"/>
      <w:divBdr>
        <w:top w:val="none" w:sz="0" w:space="0" w:color="auto"/>
        <w:left w:val="none" w:sz="0" w:space="0" w:color="auto"/>
        <w:bottom w:val="none" w:sz="0" w:space="0" w:color="auto"/>
        <w:right w:val="none" w:sz="0" w:space="0" w:color="auto"/>
      </w:divBdr>
    </w:div>
    <w:div w:id="1942370029">
      <w:bodyDiv w:val="1"/>
      <w:marLeft w:val="0"/>
      <w:marRight w:val="0"/>
      <w:marTop w:val="0"/>
      <w:marBottom w:val="0"/>
      <w:divBdr>
        <w:top w:val="none" w:sz="0" w:space="0" w:color="auto"/>
        <w:left w:val="none" w:sz="0" w:space="0" w:color="auto"/>
        <w:bottom w:val="none" w:sz="0" w:space="0" w:color="auto"/>
        <w:right w:val="none" w:sz="0" w:space="0" w:color="auto"/>
      </w:divBdr>
    </w:div>
    <w:div w:id="196839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chart" Target="charts/chart2.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11.xml"/><Relationship Id="rId27" Type="http://schemas.openxmlformats.org/officeDocument/2006/relationships/image" Target="media/image3.png"/><Relationship Id="rId30"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Sheet1!$B$1</c:f>
              <c:strCache>
                <c:ptCount val="1"/>
                <c:pt idx="0">
                  <c:v>Breast</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Sheet1!$A$2:$A$6</c:f>
              <c:strCache>
                <c:ptCount val="5"/>
                <c:pt idx="0">
                  <c:v>CD-20</c:v>
                </c:pt>
                <c:pt idx="1">
                  <c:v>CD-15</c:v>
                </c:pt>
                <c:pt idx="2">
                  <c:v>CD-10</c:v>
                </c:pt>
                <c:pt idx="3">
                  <c:v>CD-5</c:v>
                </c:pt>
                <c:pt idx="4">
                  <c:v>CD-0</c:v>
                </c:pt>
              </c:strCache>
            </c:strRef>
          </c:cat>
          <c:val>
            <c:numRef>
              <c:f>Sheet1!$B$2:$B$6</c:f>
              <c:numCache>
                <c:formatCode>General</c:formatCode>
                <c:ptCount val="5"/>
                <c:pt idx="0">
                  <c:v>0.79</c:v>
                </c:pt>
                <c:pt idx="1">
                  <c:v>1.18</c:v>
                </c:pt>
                <c:pt idx="2">
                  <c:v>1.18</c:v>
                </c:pt>
                <c:pt idx="3">
                  <c:v>1.86</c:v>
                </c:pt>
                <c:pt idx="4">
                  <c:v>1.31</c:v>
                </c:pt>
              </c:numCache>
            </c:numRef>
          </c:val>
          <c:smooth val="0"/>
          <c:extLst>
            <c:ext xmlns:c16="http://schemas.microsoft.com/office/drawing/2014/chart" uri="{C3380CC4-5D6E-409C-BE32-E72D297353CC}">
              <c16:uniqueId val="{00000000-A654-402B-9AF2-1E604D8C38F1}"/>
            </c:ext>
          </c:extLst>
        </c:ser>
        <c:ser>
          <c:idx val="1"/>
          <c:order val="1"/>
          <c:tx>
            <c:strRef>
              <c:f>Sheet1!$C$1</c:f>
              <c:strCache>
                <c:ptCount val="1"/>
                <c:pt idx="0">
                  <c:v>Colorectal</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Sheet1!$A$2:$A$6</c:f>
              <c:strCache>
                <c:ptCount val="5"/>
                <c:pt idx="0">
                  <c:v>CD-20</c:v>
                </c:pt>
                <c:pt idx="1">
                  <c:v>CD-15</c:v>
                </c:pt>
                <c:pt idx="2">
                  <c:v>CD-10</c:v>
                </c:pt>
                <c:pt idx="3">
                  <c:v>CD-5</c:v>
                </c:pt>
                <c:pt idx="4">
                  <c:v>CD-0</c:v>
                </c:pt>
              </c:strCache>
            </c:strRef>
          </c:cat>
          <c:val>
            <c:numRef>
              <c:f>Sheet1!$C$2:$C$6</c:f>
              <c:numCache>
                <c:formatCode>General</c:formatCode>
                <c:ptCount val="5"/>
                <c:pt idx="0">
                  <c:v>2.0099999999999998</c:v>
                </c:pt>
                <c:pt idx="1">
                  <c:v>0.75</c:v>
                </c:pt>
                <c:pt idx="2">
                  <c:v>0.55000000000000004</c:v>
                </c:pt>
                <c:pt idx="3">
                  <c:v>0.35</c:v>
                </c:pt>
                <c:pt idx="4">
                  <c:v>1.6</c:v>
                </c:pt>
              </c:numCache>
            </c:numRef>
          </c:val>
          <c:smooth val="0"/>
          <c:extLst>
            <c:ext xmlns:c16="http://schemas.microsoft.com/office/drawing/2014/chart" uri="{C3380CC4-5D6E-409C-BE32-E72D297353CC}">
              <c16:uniqueId val="{00000001-A654-402B-9AF2-1E604D8C38F1}"/>
            </c:ext>
          </c:extLst>
        </c:ser>
        <c:ser>
          <c:idx val="2"/>
          <c:order val="2"/>
          <c:tx>
            <c:strRef>
              <c:f>Sheet1!$D$1</c:f>
              <c:strCache>
                <c:ptCount val="1"/>
                <c:pt idx="0">
                  <c:v>Lung</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Sheet1!$A$2:$A$6</c:f>
              <c:strCache>
                <c:ptCount val="5"/>
                <c:pt idx="0">
                  <c:v>CD-20</c:v>
                </c:pt>
                <c:pt idx="1">
                  <c:v>CD-15</c:v>
                </c:pt>
                <c:pt idx="2">
                  <c:v>CD-10</c:v>
                </c:pt>
                <c:pt idx="3">
                  <c:v>CD-5</c:v>
                </c:pt>
                <c:pt idx="4">
                  <c:v>CD-0</c:v>
                </c:pt>
              </c:strCache>
            </c:strRef>
          </c:cat>
          <c:val>
            <c:numRef>
              <c:f>Sheet1!$D$2:$D$6</c:f>
              <c:numCache>
                <c:formatCode>General</c:formatCode>
                <c:ptCount val="5"/>
                <c:pt idx="0">
                  <c:v>1.6</c:v>
                </c:pt>
                <c:pt idx="1">
                  <c:v>0.68</c:v>
                </c:pt>
                <c:pt idx="2">
                  <c:v>0.25</c:v>
                </c:pt>
                <c:pt idx="3">
                  <c:v>1.74</c:v>
                </c:pt>
                <c:pt idx="4">
                  <c:v>0.99</c:v>
                </c:pt>
              </c:numCache>
            </c:numRef>
          </c:val>
          <c:smooth val="0"/>
          <c:extLst>
            <c:ext xmlns:c16="http://schemas.microsoft.com/office/drawing/2014/chart" uri="{C3380CC4-5D6E-409C-BE32-E72D297353CC}">
              <c16:uniqueId val="{00000002-A654-402B-9AF2-1E604D8C38F1}"/>
            </c:ext>
          </c:extLst>
        </c:ser>
        <c:ser>
          <c:idx val="3"/>
          <c:order val="3"/>
          <c:tx>
            <c:strRef>
              <c:f>Sheet1!$E$1</c:f>
              <c:strCache>
                <c:ptCount val="1"/>
                <c:pt idx="0">
                  <c:v>Prostate</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Sheet1!$A$2:$A$6</c:f>
              <c:strCache>
                <c:ptCount val="5"/>
                <c:pt idx="0">
                  <c:v>CD-20</c:v>
                </c:pt>
                <c:pt idx="1">
                  <c:v>CD-15</c:v>
                </c:pt>
                <c:pt idx="2">
                  <c:v>CD-10</c:v>
                </c:pt>
                <c:pt idx="3">
                  <c:v>CD-5</c:v>
                </c:pt>
                <c:pt idx="4">
                  <c:v>CD-0</c:v>
                </c:pt>
              </c:strCache>
            </c:strRef>
          </c:cat>
          <c:val>
            <c:numRef>
              <c:f>Sheet1!$E$2:$E$6</c:f>
              <c:numCache>
                <c:formatCode>General</c:formatCode>
                <c:ptCount val="5"/>
                <c:pt idx="0">
                  <c:v>1.41</c:v>
                </c:pt>
                <c:pt idx="1">
                  <c:v>1.81</c:v>
                </c:pt>
                <c:pt idx="2">
                  <c:v>1.22</c:v>
                </c:pt>
                <c:pt idx="3">
                  <c:v>0.97</c:v>
                </c:pt>
                <c:pt idx="4">
                  <c:v>1.1399999999999999</c:v>
                </c:pt>
              </c:numCache>
            </c:numRef>
          </c:val>
          <c:smooth val="0"/>
          <c:extLst>
            <c:ext xmlns:c16="http://schemas.microsoft.com/office/drawing/2014/chart" uri="{C3380CC4-5D6E-409C-BE32-E72D297353CC}">
              <c16:uniqueId val="{00000003-A654-402B-9AF2-1E604D8C38F1}"/>
            </c:ext>
          </c:extLst>
        </c:ser>
        <c:dLbls>
          <c:showLegendKey val="0"/>
          <c:showVal val="0"/>
          <c:showCatName val="0"/>
          <c:showSerName val="0"/>
          <c:showPercent val="0"/>
          <c:showBubbleSize val="0"/>
        </c:dLbls>
        <c:marker val="1"/>
        <c:smooth val="0"/>
        <c:axId val="7210223"/>
        <c:axId val="2089368768"/>
      </c:lineChart>
      <c:catAx>
        <c:axId val="7210223"/>
        <c:scaling>
          <c:orientation val="minMax"/>
        </c:scaling>
        <c:delete val="0"/>
        <c:axPos val="b"/>
        <c:numFmt formatCode="General" sourceLinked="1"/>
        <c:majorTickMark val="none"/>
        <c:minorTickMark val="none"/>
        <c:tickLblPos val="low"/>
        <c:spPr>
          <a:noFill/>
          <a:ln w="19050" cap="flat" cmpd="sng" algn="ctr">
            <a:solidFill>
              <a:schemeClr val="tx2"/>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2089368768"/>
        <c:crossesAt val="1"/>
        <c:auto val="1"/>
        <c:lblAlgn val="ctr"/>
        <c:lblOffset val="100"/>
        <c:noMultiLvlLbl val="0"/>
      </c:catAx>
      <c:valAx>
        <c:axId val="20893687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330" b="0" i="0" u="none" strike="noStrike" kern="1200" baseline="0">
                    <a:solidFill>
                      <a:schemeClr val="tx1">
                        <a:lumMod val="65000"/>
                        <a:lumOff val="35000"/>
                      </a:schemeClr>
                    </a:solidFill>
                    <a:latin typeface="+mn-lt"/>
                    <a:ea typeface="+mn-ea"/>
                    <a:cs typeface="+mn-cs"/>
                  </a:defRPr>
                </a:pPr>
                <a:r>
                  <a:rPr lang="en-US" dirty="0"/>
                  <a:t>Adjusted Hazard Ratio</a:t>
                </a:r>
              </a:p>
            </c:rich>
          </c:tx>
          <c:overlay val="0"/>
          <c:spPr>
            <a:noFill/>
            <a:ln>
              <a:noFill/>
            </a:ln>
            <a:effectLst/>
          </c:spPr>
          <c:txPr>
            <a:bodyPr rot="-5400000" spcFirstLastPara="1" vertOverflow="ellipsis" vert="horz" wrap="square" anchor="ctr" anchorCtr="1"/>
            <a:lstStyle/>
            <a:p>
              <a:pPr>
                <a:defRPr sz="133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2102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Sheet2!$A$2</c:f>
              <c:strCache>
                <c:ptCount val="1"/>
                <c:pt idx="0">
                  <c:v>in situ</c:v>
                </c:pt>
              </c:strCache>
            </c:strRef>
          </c:tx>
          <c:spPr>
            <a:solidFill>
              <a:schemeClr val="accent1"/>
            </a:solidFill>
            <a:ln>
              <a:noFill/>
            </a:ln>
            <a:effectLst/>
          </c:spPr>
          <c:invertIfNegative val="0"/>
          <c:cat>
            <c:strRef>
              <c:f>Sheet2!$B$1:$E$1</c:f>
              <c:strCache>
                <c:ptCount val="4"/>
                <c:pt idx="0">
                  <c:v>NHW</c:v>
                </c:pt>
                <c:pt idx="1">
                  <c:v>NHB</c:v>
                </c:pt>
                <c:pt idx="2">
                  <c:v>Hispanic</c:v>
                </c:pt>
                <c:pt idx="3">
                  <c:v>Other</c:v>
                </c:pt>
              </c:strCache>
            </c:strRef>
          </c:cat>
          <c:val>
            <c:numRef>
              <c:f>Sheet2!$B$2:$E$2</c:f>
              <c:numCache>
                <c:formatCode>General</c:formatCode>
                <c:ptCount val="4"/>
                <c:pt idx="0">
                  <c:v>4.9000000000000004</c:v>
                </c:pt>
                <c:pt idx="1">
                  <c:v>4.1500000000000004</c:v>
                </c:pt>
                <c:pt idx="2">
                  <c:v>3.13</c:v>
                </c:pt>
                <c:pt idx="3">
                  <c:v>5</c:v>
                </c:pt>
              </c:numCache>
            </c:numRef>
          </c:val>
          <c:extLst>
            <c:ext xmlns:c16="http://schemas.microsoft.com/office/drawing/2014/chart" uri="{C3380CC4-5D6E-409C-BE32-E72D297353CC}">
              <c16:uniqueId val="{00000000-BCB7-41EA-8D93-BBF627B99853}"/>
            </c:ext>
          </c:extLst>
        </c:ser>
        <c:ser>
          <c:idx val="1"/>
          <c:order val="1"/>
          <c:tx>
            <c:strRef>
              <c:f>Sheet2!$A$3</c:f>
              <c:strCache>
                <c:ptCount val="1"/>
                <c:pt idx="0">
                  <c:v>Stage I</c:v>
                </c:pt>
              </c:strCache>
            </c:strRef>
          </c:tx>
          <c:spPr>
            <a:solidFill>
              <a:schemeClr val="accent2"/>
            </a:solidFill>
            <a:ln>
              <a:noFill/>
            </a:ln>
            <a:effectLst/>
          </c:spPr>
          <c:invertIfNegative val="0"/>
          <c:cat>
            <c:strRef>
              <c:f>Sheet2!$B$1:$E$1</c:f>
              <c:strCache>
                <c:ptCount val="4"/>
                <c:pt idx="0">
                  <c:v>NHW</c:v>
                </c:pt>
                <c:pt idx="1">
                  <c:v>NHB</c:v>
                </c:pt>
                <c:pt idx="2">
                  <c:v>Hispanic</c:v>
                </c:pt>
                <c:pt idx="3">
                  <c:v>Other</c:v>
                </c:pt>
              </c:strCache>
            </c:strRef>
          </c:cat>
          <c:val>
            <c:numRef>
              <c:f>Sheet2!$B$3:$E$3</c:f>
              <c:numCache>
                <c:formatCode>General</c:formatCode>
                <c:ptCount val="4"/>
                <c:pt idx="0">
                  <c:v>12.59</c:v>
                </c:pt>
                <c:pt idx="1">
                  <c:v>14.29</c:v>
                </c:pt>
                <c:pt idx="2">
                  <c:v>14.06</c:v>
                </c:pt>
                <c:pt idx="3">
                  <c:v>20</c:v>
                </c:pt>
              </c:numCache>
            </c:numRef>
          </c:val>
          <c:extLst>
            <c:ext xmlns:c16="http://schemas.microsoft.com/office/drawing/2014/chart" uri="{C3380CC4-5D6E-409C-BE32-E72D297353CC}">
              <c16:uniqueId val="{00000001-BCB7-41EA-8D93-BBF627B99853}"/>
            </c:ext>
          </c:extLst>
        </c:ser>
        <c:ser>
          <c:idx val="2"/>
          <c:order val="2"/>
          <c:tx>
            <c:strRef>
              <c:f>Sheet2!$A$4</c:f>
              <c:strCache>
                <c:ptCount val="1"/>
                <c:pt idx="0">
                  <c:v>Stage II</c:v>
                </c:pt>
              </c:strCache>
            </c:strRef>
          </c:tx>
          <c:spPr>
            <a:solidFill>
              <a:schemeClr val="accent3"/>
            </a:solidFill>
            <a:ln>
              <a:noFill/>
            </a:ln>
            <a:effectLst/>
          </c:spPr>
          <c:invertIfNegative val="0"/>
          <c:cat>
            <c:strRef>
              <c:f>Sheet2!$B$1:$E$1</c:f>
              <c:strCache>
                <c:ptCount val="4"/>
                <c:pt idx="0">
                  <c:v>NHW</c:v>
                </c:pt>
                <c:pt idx="1">
                  <c:v>NHB</c:v>
                </c:pt>
                <c:pt idx="2">
                  <c:v>Hispanic</c:v>
                </c:pt>
                <c:pt idx="3">
                  <c:v>Other</c:v>
                </c:pt>
              </c:strCache>
            </c:strRef>
          </c:cat>
          <c:val>
            <c:numRef>
              <c:f>Sheet2!$B$4:$E$4</c:f>
              <c:numCache>
                <c:formatCode>General</c:formatCode>
                <c:ptCount val="4"/>
                <c:pt idx="0">
                  <c:v>14.69</c:v>
                </c:pt>
                <c:pt idx="1">
                  <c:v>11.98</c:v>
                </c:pt>
                <c:pt idx="2">
                  <c:v>9.3800000000000008</c:v>
                </c:pt>
                <c:pt idx="3">
                  <c:v>10</c:v>
                </c:pt>
              </c:numCache>
            </c:numRef>
          </c:val>
          <c:extLst>
            <c:ext xmlns:c16="http://schemas.microsoft.com/office/drawing/2014/chart" uri="{C3380CC4-5D6E-409C-BE32-E72D297353CC}">
              <c16:uniqueId val="{00000002-BCB7-41EA-8D93-BBF627B99853}"/>
            </c:ext>
          </c:extLst>
        </c:ser>
        <c:ser>
          <c:idx val="3"/>
          <c:order val="3"/>
          <c:tx>
            <c:strRef>
              <c:f>Sheet2!$A$5</c:f>
              <c:strCache>
                <c:ptCount val="1"/>
                <c:pt idx="0">
                  <c:v>Stage III</c:v>
                </c:pt>
              </c:strCache>
            </c:strRef>
          </c:tx>
          <c:spPr>
            <a:solidFill>
              <a:schemeClr val="accent4"/>
            </a:solidFill>
            <a:ln>
              <a:noFill/>
            </a:ln>
            <a:effectLst/>
          </c:spPr>
          <c:invertIfNegative val="0"/>
          <c:cat>
            <c:strRef>
              <c:f>Sheet2!$B$1:$E$1</c:f>
              <c:strCache>
                <c:ptCount val="4"/>
                <c:pt idx="0">
                  <c:v>NHW</c:v>
                </c:pt>
                <c:pt idx="1">
                  <c:v>NHB</c:v>
                </c:pt>
                <c:pt idx="2">
                  <c:v>Hispanic</c:v>
                </c:pt>
                <c:pt idx="3">
                  <c:v>Other</c:v>
                </c:pt>
              </c:strCache>
            </c:strRef>
          </c:cat>
          <c:val>
            <c:numRef>
              <c:f>Sheet2!$B$5:$E$5</c:f>
              <c:numCache>
                <c:formatCode>General</c:formatCode>
                <c:ptCount val="4"/>
                <c:pt idx="0">
                  <c:v>9.09</c:v>
                </c:pt>
                <c:pt idx="1">
                  <c:v>16.59</c:v>
                </c:pt>
                <c:pt idx="2">
                  <c:v>12.5</c:v>
                </c:pt>
                <c:pt idx="3">
                  <c:v>5</c:v>
                </c:pt>
              </c:numCache>
            </c:numRef>
          </c:val>
          <c:extLst>
            <c:ext xmlns:c16="http://schemas.microsoft.com/office/drawing/2014/chart" uri="{C3380CC4-5D6E-409C-BE32-E72D297353CC}">
              <c16:uniqueId val="{00000003-BCB7-41EA-8D93-BBF627B99853}"/>
            </c:ext>
          </c:extLst>
        </c:ser>
        <c:ser>
          <c:idx val="4"/>
          <c:order val="4"/>
          <c:tx>
            <c:strRef>
              <c:f>Sheet2!$A$6</c:f>
              <c:strCache>
                <c:ptCount val="1"/>
                <c:pt idx="0">
                  <c:v>Stage IV</c:v>
                </c:pt>
              </c:strCache>
            </c:strRef>
          </c:tx>
          <c:spPr>
            <a:solidFill>
              <a:schemeClr val="accent5"/>
            </a:solidFill>
            <a:ln>
              <a:noFill/>
            </a:ln>
            <a:effectLst/>
          </c:spPr>
          <c:invertIfNegative val="0"/>
          <c:cat>
            <c:strRef>
              <c:f>Sheet2!$B$1:$E$1</c:f>
              <c:strCache>
                <c:ptCount val="4"/>
                <c:pt idx="0">
                  <c:v>NHW</c:v>
                </c:pt>
                <c:pt idx="1">
                  <c:v>NHB</c:v>
                </c:pt>
                <c:pt idx="2">
                  <c:v>Hispanic</c:v>
                </c:pt>
                <c:pt idx="3">
                  <c:v>Other</c:v>
                </c:pt>
              </c:strCache>
            </c:strRef>
          </c:cat>
          <c:val>
            <c:numRef>
              <c:f>Sheet2!$B$6:$E$6</c:f>
              <c:numCache>
                <c:formatCode>General</c:formatCode>
                <c:ptCount val="4"/>
                <c:pt idx="0">
                  <c:v>11.19</c:v>
                </c:pt>
                <c:pt idx="1">
                  <c:v>12.44</c:v>
                </c:pt>
                <c:pt idx="2">
                  <c:v>21.88</c:v>
                </c:pt>
                <c:pt idx="3">
                  <c:v>5</c:v>
                </c:pt>
              </c:numCache>
            </c:numRef>
          </c:val>
          <c:extLst>
            <c:ext xmlns:c16="http://schemas.microsoft.com/office/drawing/2014/chart" uri="{C3380CC4-5D6E-409C-BE32-E72D297353CC}">
              <c16:uniqueId val="{00000004-BCB7-41EA-8D93-BBF627B99853}"/>
            </c:ext>
          </c:extLst>
        </c:ser>
        <c:ser>
          <c:idx val="5"/>
          <c:order val="5"/>
          <c:tx>
            <c:strRef>
              <c:f>Sheet2!$A$7</c:f>
              <c:strCache>
                <c:ptCount val="1"/>
                <c:pt idx="0">
                  <c:v>Unstaged/Missing</c:v>
                </c:pt>
              </c:strCache>
            </c:strRef>
          </c:tx>
          <c:spPr>
            <a:solidFill>
              <a:srgbClr val="CC6600"/>
            </a:solidFill>
            <a:ln>
              <a:noFill/>
            </a:ln>
            <a:effectLst/>
          </c:spPr>
          <c:invertIfNegative val="0"/>
          <c:cat>
            <c:strRef>
              <c:f>Sheet2!$B$1:$E$1</c:f>
              <c:strCache>
                <c:ptCount val="4"/>
                <c:pt idx="0">
                  <c:v>NHW</c:v>
                </c:pt>
                <c:pt idx="1">
                  <c:v>NHB</c:v>
                </c:pt>
                <c:pt idx="2">
                  <c:v>Hispanic</c:v>
                </c:pt>
                <c:pt idx="3">
                  <c:v>Other</c:v>
                </c:pt>
              </c:strCache>
            </c:strRef>
          </c:cat>
          <c:val>
            <c:numRef>
              <c:f>Sheet2!$B$7:$E$7</c:f>
              <c:numCache>
                <c:formatCode>General</c:formatCode>
                <c:ptCount val="4"/>
                <c:pt idx="0">
                  <c:v>47.55</c:v>
                </c:pt>
                <c:pt idx="1">
                  <c:v>40.549999999999997</c:v>
                </c:pt>
                <c:pt idx="2">
                  <c:v>39.06</c:v>
                </c:pt>
                <c:pt idx="3">
                  <c:v>55</c:v>
                </c:pt>
              </c:numCache>
            </c:numRef>
          </c:val>
          <c:extLst>
            <c:ext xmlns:c16="http://schemas.microsoft.com/office/drawing/2014/chart" uri="{C3380CC4-5D6E-409C-BE32-E72D297353CC}">
              <c16:uniqueId val="{00000005-BCB7-41EA-8D93-BBF627B99853}"/>
            </c:ext>
          </c:extLst>
        </c:ser>
        <c:dLbls>
          <c:showLegendKey val="0"/>
          <c:showVal val="0"/>
          <c:showCatName val="0"/>
          <c:showSerName val="0"/>
          <c:showPercent val="0"/>
          <c:showBubbleSize val="0"/>
        </c:dLbls>
        <c:gapWidth val="219"/>
        <c:overlap val="-27"/>
        <c:axId val="828419487"/>
        <c:axId val="836274367"/>
      </c:barChart>
      <c:catAx>
        <c:axId val="8284194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36274367"/>
        <c:crosses val="autoZero"/>
        <c:auto val="1"/>
        <c:lblAlgn val="ctr"/>
        <c:lblOffset val="100"/>
        <c:noMultiLvlLbl val="0"/>
      </c:catAx>
      <c:valAx>
        <c:axId val="83627436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dirty="0"/>
                  <a:t>Percent of Group with Stage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2841948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Sheet1!$B$1</c:f>
              <c:strCache>
                <c:ptCount val="1"/>
                <c:pt idx="0">
                  <c:v>Survival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Sheet1!$A$2:$A$5</c:f>
              <c:strCache>
                <c:ptCount val="4"/>
                <c:pt idx="0">
                  <c:v>CD-15</c:v>
                </c:pt>
                <c:pt idx="1">
                  <c:v>CD-10</c:v>
                </c:pt>
                <c:pt idx="2">
                  <c:v>CD-5</c:v>
                </c:pt>
                <c:pt idx="3">
                  <c:v>CD-0</c:v>
                </c:pt>
              </c:strCache>
            </c:strRef>
          </c:cat>
          <c:val>
            <c:numRef>
              <c:f>Sheet1!$B$2:$B$5</c:f>
              <c:numCache>
                <c:formatCode>General</c:formatCode>
                <c:ptCount val="4"/>
                <c:pt idx="0">
                  <c:v>1.466</c:v>
                </c:pt>
                <c:pt idx="1">
                  <c:v>1.5940000000000001</c:v>
                </c:pt>
                <c:pt idx="2">
                  <c:v>1.59</c:v>
                </c:pt>
                <c:pt idx="3">
                  <c:v>1.802</c:v>
                </c:pt>
              </c:numCache>
            </c:numRef>
          </c:val>
          <c:smooth val="0"/>
          <c:extLst>
            <c:ext xmlns:c16="http://schemas.microsoft.com/office/drawing/2014/chart" uri="{C3380CC4-5D6E-409C-BE32-E72D297353CC}">
              <c16:uniqueId val="{00000000-274E-405B-91C5-38161A170599}"/>
            </c:ext>
          </c:extLst>
        </c:ser>
        <c:dLbls>
          <c:showLegendKey val="0"/>
          <c:showVal val="0"/>
          <c:showCatName val="0"/>
          <c:showSerName val="0"/>
          <c:showPercent val="0"/>
          <c:showBubbleSize val="0"/>
        </c:dLbls>
        <c:marker val="1"/>
        <c:smooth val="0"/>
        <c:axId val="7210223"/>
        <c:axId val="2089368768"/>
      </c:lineChart>
      <c:catAx>
        <c:axId val="7210223"/>
        <c:scaling>
          <c:orientation val="minMax"/>
        </c:scaling>
        <c:delete val="0"/>
        <c:axPos val="b"/>
        <c:numFmt formatCode="General" sourceLinked="1"/>
        <c:majorTickMark val="none"/>
        <c:minorTickMark val="none"/>
        <c:tickLblPos val="low"/>
        <c:spPr>
          <a:noFill/>
          <a:ln w="19050" cap="flat" cmpd="sng" algn="ctr">
            <a:solidFill>
              <a:schemeClr val="tx2"/>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2089368768"/>
        <c:crossesAt val="1"/>
        <c:auto val="1"/>
        <c:lblAlgn val="ctr"/>
        <c:lblOffset val="100"/>
        <c:noMultiLvlLbl val="0"/>
      </c:catAx>
      <c:valAx>
        <c:axId val="20893687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330" b="0" i="0" u="none" strike="noStrike" kern="1200" baseline="0">
                    <a:solidFill>
                      <a:schemeClr val="tx1">
                        <a:lumMod val="65000"/>
                        <a:lumOff val="35000"/>
                      </a:schemeClr>
                    </a:solidFill>
                    <a:latin typeface="+mn-lt"/>
                    <a:ea typeface="+mn-ea"/>
                    <a:cs typeface="+mn-cs"/>
                  </a:defRPr>
                </a:pPr>
                <a:r>
                  <a:rPr lang="en-US" dirty="0"/>
                  <a:t>Adjusted Hazard Ratio</a:t>
                </a:r>
              </a:p>
            </c:rich>
          </c:tx>
          <c:overlay val="0"/>
          <c:spPr>
            <a:noFill/>
            <a:ln>
              <a:noFill/>
            </a:ln>
            <a:effectLst/>
          </c:spPr>
          <c:txPr>
            <a:bodyPr rot="-5400000" spcFirstLastPara="1" vertOverflow="ellipsis" vert="horz" wrap="square" anchor="ctr" anchorCtr="1"/>
            <a:lstStyle/>
            <a:p>
              <a:pPr>
                <a:defRPr sz="133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72102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Override>
</file>

<file path=word/theme/themeOverride2.xml><?xml version="1.0" encoding="utf-8"?>
<a:themeOverride xmlns:a="http://schemas.openxmlformats.org/drawingml/2006/main">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Override>
</file>

<file path=word/theme/themeOverride3.xml><?xml version="1.0" encoding="utf-8"?>
<a:themeOverride xmlns:a="http://schemas.openxmlformats.org/drawingml/2006/main">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7FA0-13CE-422F-A0B0-5CC025970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97612</Words>
  <Characters>556390</Characters>
  <Application>Microsoft Office Word</Application>
  <DocSecurity>0</DocSecurity>
  <Lines>4636</Lines>
  <Paragraphs>1305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Boylan, Emma</dc:creator>
  <cp:keywords/>
  <dc:description/>
  <cp:lastModifiedBy>Boylan, Emma</cp:lastModifiedBy>
  <cp:revision>4</cp:revision>
  <cp:lastPrinted>2023-10-31T00:11:00Z</cp:lastPrinted>
  <dcterms:created xsi:type="dcterms:W3CDTF">2023-10-31T00:10:00Z</dcterms:created>
  <dcterms:modified xsi:type="dcterms:W3CDTF">2023-10-31T00:12:00Z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id="sJKJZtAT"/&gt;&lt;style id="http://www.zotero.org/styles/vancouver" locale="en-US" hasBibliography="1" bibliographyStyleHasBeenSet="1"/&gt;&lt;prefs&gt;&lt;pref name="fieldType" value="Field"/&gt;&lt;pref name="automati</vt:lpwstr>
  </property>
  <property fmtid="{D5CDD505-2E9C-101B-9397-08002B2CF9AE}" pid="3" name="ZOTERO_PREF_2">
    <vt:lpwstr>cJournalAbbreviations" value="true"/&gt;&lt;/prefs&gt;&lt;/data&gt;</vt:lpwstr>
  </property>
</Properties>
</file>