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B61C" w14:textId="77777777" w:rsidR="00C3495D" w:rsidRDefault="00C3495D" w:rsidP="00C3495D">
      <w:pPr>
        <w:spacing w:line="480" w:lineRule="auto"/>
        <w:jc w:val="center"/>
        <w:outlineLvl w:val="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Considerations When Designing a Microbiome Study</w:t>
      </w:r>
      <w:r>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 Implications for Nursing Science</w:t>
      </w:r>
    </w:p>
    <w:p w14:paraId="55D71CF9" w14:textId="77777777" w:rsidR="00C3495D" w:rsidRPr="004C20BC" w:rsidRDefault="00C3495D" w:rsidP="00C3495D">
      <w:pPr>
        <w:spacing w:line="48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Title: </w:t>
      </w:r>
      <w:r w:rsidRPr="004C20BC">
        <w:rPr>
          <w:rFonts w:ascii="Times New Roman" w:eastAsia="Times New Roman" w:hAnsi="Times New Roman" w:cs="Times New Roman"/>
          <w:sz w:val="24"/>
          <w:szCs w:val="24"/>
        </w:rPr>
        <w:t>Microbiome Study</w:t>
      </w:r>
      <w:r>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for Nursing Science</w:t>
      </w:r>
    </w:p>
    <w:p w14:paraId="0929C742" w14:textId="41FA6232" w:rsidR="00C3495D" w:rsidRPr="00D45DE4" w:rsidRDefault="00C3495D" w:rsidP="00C3495D">
      <w:pPr>
        <w:rPr>
          <w:rFonts w:ascii="Helvetica Neue" w:hAnsi="Helvetica Neue"/>
          <w:color w:val="363636"/>
          <w:sz w:val="30"/>
          <w:szCs w:val="30"/>
          <w:shd w:val="clear" w:color="auto" w:fill="F8F8F8"/>
        </w:rPr>
      </w:pPr>
      <w:r w:rsidRPr="004C20BC">
        <w:rPr>
          <w:rFonts w:ascii="Times New Roman" w:eastAsia="Times New Roman" w:hAnsi="Times New Roman" w:cs="Times New Roman"/>
          <w:sz w:val="24"/>
          <w:szCs w:val="24"/>
        </w:rPr>
        <w:t>Katherine A. Maki</w:t>
      </w:r>
      <w:r w:rsidRPr="004C20BC">
        <w:rPr>
          <w:rFonts w:ascii="Times New Roman" w:eastAsia="Times New Roman" w:hAnsi="Times New Roman" w:cs="Times New Roman"/>
          <w:sz w:val="24"/>
          <w:szCs w:val="24"/>
          <w:vertAlign w:val="superscript"/>
        </w:rPr>
        <w:t>1</w:t>
      </w:r>
      <w:r w:rsidRPr="004C20BC">
        <w:rPr>
          <w:rFonts w:ascii="Times New Roman" w:eastAsia="Times New Roman" w:hAnsi="Times New Roman" w:cs="Times New Roman"/>
          <w:sz w:val="24"/>
          <w:szCs w:val="24"/>
        </w:rPr>
        <w:t>, MS, AGNP-BC</w:t>
      </w:r>
      <w:r>
        <w:rPr>
          <w:rFonts w:ascii="Times New Roman" w:eastAsia="Times New Roman" w:hAnsi="Times New Roman" w:cs="Times New Roman"/>
          <w:sz w:val="24"/>
          <w:szCs w:val="24"/>
        </w:rPr>
        <w:t xml:space="preserve">, PhD Student, </w:t>
      </w:r>
      <w:r w:rsidRPr="00CC2ABD">
        <w:rPr>
          <w:rStyle w:val="Hyperlink"/>
          <w:rFonts w:ascii="Times New Roman" w:hAnsi="Times New Roman" w:cs="Times New Roman"/>
          <w:color w:val="auto"/>
          <w:sz w:val="24"/>
          <w:szCs w:val="24"/>
          <w:u w:val="none"/>
        </w:rPr>
        <w:t>kdurha2@uic.edu</w:t>
      </w:r>
      <w:r w:rsidRPr="004C20BC">
        <w:rPr>
          <w:rFonts w:ascii="Times New Roman" w:eastAsia="Times New Roman" w:hAnsi="Times New Roman" w:cs="Times New Roman"/>
          <w:sz w:val="24"/>
          <w:szCs w:val="24"/>
        </w:rPr>
        <w:t>; Ana F. Diallo</w:t>
      </w:r>
      <w:r w:rsidRPr="004C20BC">
        <w:rPr>
          <w:rFonts w:ascii="Times New Roman" w:eastAsia="Times New Roman" w:hAnsi="Times New Roman" w:cs="Times New Roman"/>
          <w:sz w:val="24"/>
          <w:szCs w:val="24"/>
          <w:vertAlign w:val="superscript"/>
        </w:rPr>
        <w:t>2</w:t>
      </w:r>
      <w:r w:rsidRPr="00967C61">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 </w:t>
      </w:r>
      <w:r w:rsidRPr="004C20BC">
        <w:rPr>
          <w:rFonts w:ascii="Times New Roman" w:eastAsia="Times New Roman" w:hAnsi="Times New Roman" w:cs="Times New Roman"/>
          <w:noProof/>
          <w:sz w:val="24"/>
          <w:szCs w:val="24"/>
        </w:rPr>
        <w:t>PhD</w:t>
      </w:r>
      <w:r w:rsidRPr="004C20BC">
        <w:rPr>
          <w:rFonts w:ascii="Times New Roman" w:eastAsia="Times New Roman" w:hAnsi="Times New Roman" w:cs="Times New Roman"/>
          <w:sz w:val="24"/>
          <w:szCs w:val="24"/>
        </w:rPr>
        <w:t xml:space="preserve">, MPH, </w:t>
      </w:r>
      <w:r>
        <w:rPr>
          <w:rFonts w:ascii="Times New Roman" w:eastAsia="Times New Roman" w:hAnsi="Times New Roman" w:cs="Times New Roman"/>
          <w:sz w:val="24"/>
          <w:szCs w:val="24"/>
        </w:rPr>
        <w:t xml:space="preserve">MSN, RN, Assistant Professor, </w:t>
      </w:r>
      <w:r w:rsidRPr="00B87EF1">
        <w:rPr>
          <w:rFonts w:ascii="Times New Roman" w:eastAsia="Times New Roman" w:hAnsi="Times New Roman" w:cs="Times New Roman"/>
          <w:sz w:val="24"/>
          <w:szCs w:val="24"/>
        </w:rPr>
        <w:t>dialloa@vcu.edu</w:t>
      </w:r>
      <w:r w:rsidRPr="004C20BC">
        <w:rPr>
          <w:rFonts w:ascii="Times New Roman" w:eastAsia="Times New Roman" w:hAnsi="Times New Roman" w:cs="Times New Roman"/>
          <w:sz w:val="24"/>
          <w:szCs w:val="24"/>
        </w:rPr>
        <w:t>; Mark B. Lockwood</w:t>
      </w:r>
      <w:r w:rsidRPr="004C20BC">
        <w:rPr>
          <w:rFonts w:ascii="Times New Roman" w:eastAsia="Times New Roman" w:hAnsi="Times New Roman" w:cs="Times New Roman"/>
          <w:sz w:val="24"/>
          <w:szCs w:val="24"/>
          <w:vertAlign w:val="superscript"/>
        </w:rPr>
        <w:t>1</w:t>
      </w:r>
      <w:r w:rsidRPr="004C20BC">
        <w:rPr>
          <w:rFonts w:ascii="Times New Roman" w:eastAsia="Times New Roman" w:hAnsi="Times New Roman" w:cs="Times New Roman"/>
          <w:sz w:val="24"/>
          <w:szCs w:val="24"/>
        </w:rPr>
        <w:t xml:space="preserve">, </w:t>
      </w:r>
      <w:r w:rsidRPr="004C20BC">
        <w:rPr>
          <w:rFonts w:ascii="Times New Roman" w:eastAsia="Times New Roman" w:hAnsi="Times New Roman" w:cs="Times New Roman"/>
          <w:noProof/>
          <w:sz w:val="24"/>
          <w:szCs w:val="24"/>
        </w:rPr>
        <w:t>PhD</w:t>
      </w:r>
      <w:r w:rsidRPr="004C20BC">
        <w:rPr>
          <w:rFonts w:ascii="Times New Roman" w:eastAsia="Times New Roman" w:hAnsi="Times New Roman" w:cs="Times New Roman"/>
          <w:sz w:val="24"/>
          <w:szCs w:val="24"/>
        </w:rPr>
        <w:t>, RN</w:t>
      </w:r>
      <w:r>
        <w:rPr>
          <w:rFonts w:ascii="Times New Roman" w:eastAsia="Times New Roman" w:hAnsi="Times New Roman" w:cs="Times New Roman"/>
          <w:sz w:val="24"/>
          <w:szCs w:val="24"/>
        </w:rPr>
        <w:t xml:space="preserve">, </w:t>
      </w:r>
      <w:r w:rsidRPr="00E2381E">
        <w:rPr>
          <w:rFonts w:ascii="Times New Roman" w:eastAsia="Times New Roman" w:hAnsi="Times New Roman" w:cs="Times New Roman"/>
          <w:sz w:val="24"/>
          <w:szCs w:val="24"/>
        </w:rPr>
        <w:t>Assistant Professor</w:t>
      </w:r>
      <w:r>
        <w:rPr>
          <w:rFonts w:ascii="Times New Roman" w:eastAsia="Times New Roman" w:hAnsi="Times New Roman" w:cs="Times New Roman"/>
          <w:sz w:val="24"/>
          <w:szCs w:val="24"/>
        </w:rPr>
        <w:t xml:space="preserve">, </w:t>
      </w:r>
      <w:r w:rsidRPr="00CC2ABD">
        <w:rPr>
          <w:rStyle w:val="Hyperlink"/>
          <w:rFonts w:ascii="Times New Roman" w:hAnsi="Times New Roman" w:cs="Times New Roman"/>
          <w:color w:val="auto"/>
          <w:sz w:val="24"/>
          <w:szCs w:val="24"/>
          <w:u w:val="none"/>
        </w:rPr>
        <w:t>lockmar@uic.edu</w:t>
      </w:r>
      <w:r w:rsidRPr="004C20BC">
        <w:rPr>
          <w:rFonts w:ascii="Times New Roman" w:eastAsia="Times New Roman" w:hAnsi="Times New Roman" w:cs="Times New Roman"/>
          <w:sz w:val="24"/>
          <w:szCs w:val="24"/>
        </w:rPr>
        <w:t>; Alexis T. Franks</w:t>
      </w:r>
      <w:r w:rsidRPr="004C20BC">
        <w:rPr>
          <w:rFonts w:ascii="Times New Roman" w:eastAsia="Times New Roman" w:hAnsi="Times New Roman" w:cs="Times New Roman"/>
          <w:sz w:val="24"/>
          <w:szCs w:val="24"/>
          <w:vertAlign w:val="superscript"/>
        </w:rPr>
        <w:t>3</w:t>
      </w:r>
      <w:r w:rsidRPr="004C20BC">
        <w:rPr>
          <w:rFonts w:ascii="Times New Roman" w:eastAsia="Times New Roman" w:hAnsi="Times New Roman" w:cs="Times New Roman"/>
          <w:sz w:val="24"/>
          <w:szCs w:val="24"/>
        </w:rPr>
        <w:t>, BS</w:t>
      </w:r>
      <w:r>
        <w:rPr>
          <w:rFonts w:ascii="Times New Roman" w:eastAsia="Times New Roman" w:hAnsi="Times New Roman" w:cs="Times New Roman"/>
          <w:sz w:val="24"/>
          <w:szCs w:val="24"/>
        </w:rPr>
        <w:t xml:space="preserve">, Post-baccalaureate Fellow, </w:t>
      </w:r>
      <w:r w:rsidRPr="00A41794">
        <w:rPr>
          <w:rFonts w:ascii="Times New Roman" w:hAnsi="Times New Roman" w:cs="Times New Roman"/>
          <w:sz w:val="24"/>
          <w:szCs w:val="24"/>
        </w:rPr>
        <w:t>alexis.franks@nih.gov</w:t>
      </w:r>
      <w:r w:rsidRPr="00967C61">
        <w:rPr>
          <w:rFonts w:ascii="Times New Roman" w:hAnsi="Times New Roman" w:cs="Times New Roman"/>
          <w:sz w:val="24"/>
          <w:szCs w:val="24"/>
        </w:rPr>
        <w:t>;</w:t>
      </w:r>
      <w:r w:rsidRPr="004C20BC">
        <w:rPr>
          <w:rFonts w:ascii="Times New Roman" w:eastAsia="Times New Roman" w:hAnsi="Times New Roman" w:cs="Times New Roman"/>
          <w:sz w:val="24"/>
          <w:szCs w:val="24"/>
        </w:rPr>
        <w:t xml:space="preserve"> Stefan J. Green</w:t>
      </w:r>
      <w:r w:rsidRPr="004C20BC">
        <w:rPr>
          <w:rFonts w:ascii="Times New Roman" w:eastAsia="Times New Roman" w:hAnsi="Times New Roman" w:cs="Times New Roman"/>
          <w:sz w:val="24"/>
          <w:szCs w:val="24"/>
          <w:vertAlign w:val="superscript"/>
        </w:rPr>
        <w:t>4</w:t>
      </w:r>
      <w:r w:rsidRPr="004C20BC">
        <w:rPr>
          <w:rFonts w:ascii="Times New Roman" w:eastAsia="Times New Roman" w:hAnsi="Times New Roman" w:cs="Times New Roman"/>
          <w:sz w:val="24"/>
          <w:szCs w:val="24"/>
        </w:rPr>
        <w:t xml:space="preserve">, </w:t>
      </w:r>
      <w:r w:rsidRPr="004C20BC">
        <w:rPr>
          <w:rFonts w:ascii="Times New Roman" w:eastAsia="Times New Roman" w:hAnsi="Times New Roman" w:cs="Times New Roman"/>
          <w:noProof/>
          <w:sz w:val="24"/>
          <w:szCs w:val="24"/>
        </w:rPr>
        <w:t>PhD</w:t>
      </w:r>
      <w:r>
        <w:rPr>
          <w:rFonts w:ascii="Times New Roman" w:eastAsia="Times New Roman" w:hAnsi="Times New Roman" w:cs="Times New Roman"/>
          <w:sz w:val="24"/>
          <w:szCs w:val="24"/>
        </w:rPr>
        <w:t xml:space="preserve">, Director, Sequencing Core, </w:t>
      </w:r>
      <w:r w:rsidRPr="00A41794">
        <w:rPr>
          <w:rStyle w:val="Hyperlink"/>
          <w:rFonts w:ascii="Times New Roman" w:hAnsi="Times New Roman" w:cs="Times New Roman"/>
          <w:color w:val="auto"/>
          <w:sz w:val="24"/>
          <w:szCs w:val="24"/>
          <w:u w:val="none"/>
        </w:rPr>
        <w:t>greendna@uic.edu</w:t>
      </w:r>
      <w:r w:rsidRPr="004C20BC">
        <w:rPr>
          <w:rFonts w:ascii="Times New Roman" w:eastAsia="Times New Roman" w:hAnsi="Times New Roman" w:cs="Times New Roman"/>
          <w:sz w:val="24"/>
          <w:szCs w:val="24"/>
        </w:rPr>
        <w:t>; Paule V. Joseph</w:t>
      </w:r>
      <w:r w:rsidRPr="004C20BC">
        <w:rPr>
          <w:rFonts w:ascii="Times New Roman" w:eastAsia="Times New Roman" w:hAnsi="Times New Roman" w:cs="Times New Roman"/>
          <w:sz w:val="24"/>
          <w:szCs w:val="24"/>
          <w:vertAlign w:val="superscript"/>
        </w:rPr>
        <w:t>3</w:t>
      </w:r>
      <w:r w:rsidRPr="004C20BC">
        <w:rPr>
          <w:rFonts w:ascii="Times New Roman" w:eastAsia="Times New Roman" w:hAnsi="Times New Roman" w:cs="Times New Roman"/>
          <w:sz w:val="24"/>
          <w:szCs w:val="24"/>
        </w:rPr>
        <w:t xml:space="preserve">, </w:t>
      </w:r>
      <w:r w:rsidRPr="00967C61">
        <w:rPr>
          <w:rFonts w:ascii="Times New Roman" w:hAnsi="Times New Roman" w:cs="Times New Roman"/>
          <w:noProof/>
          <w:sz w:val="24"/>
          <w:szCs w:val="24"/>
        </w:rPr>
        <w:t>PhD</w:t>
      </w:r>
      <w:r w:rsidRPr="00967C61">
        <w:rPr>
          <w:rFonts w:ascii="Times New Roman" w:hAnsi="Times New Roman" w:cs="Times New Roman"/>
          <w:sz w:val="24"/>
          <w:szCs w:val="24"/>
        </w:rPr>
        <w:t xml:space="preserve">, </w:t>
      </w:r>
      <w:r w:rsidRPr="00967C61">
        <w:rPr>
          <w:rFonts w:ascii="Times New Roman" w:eastAsia="Times New Roman" w:hAnsi="Times New Roman" w:cs="Times New Roman"/>
          <w:sz w:val="24"/>
          <w:szCs w:val="24"/>
        </w:rPr>
        <w:t>MS, FNP-BC, CTN-B</w:t>
      </w:r>
      <w:r>
        <w:rPr>
          <w:rFonts w:ascii="Times New Roman" w:eastAsia="Times New Roman" w:hAnsi="Times New Roman" w:cs="Times New Roman"/>
          <w:sz w:val="24"/>
          <w:szCs w:val="24"/>
        </w:rPr>
        <w:t xml:space="preserve">, Assistant Clinical Investigator, </w:t>
      </w:r>
      <w:r w:rsidRPr="00CC2ABD">
        <w:rPr>
          <w:rStyle w:val="Hyperlink"/>
          <w:rFonts w:ascii="Times New Roman" w:hAnsi="Times New Roman" w:cs="Times New Roman"/>
          <w:color w:val="auto"/>
          <w:sz w:val="24"/>
          <w:szCs w:val="24"/>
          <w:u w:val="none"/>
        </w:rPr>
        <w:t>paule.joseph@nih.gov</w:t>
      </w:r>
      <w:r w:rsidRPr="00967C61">
        <w:rPr>
          <w:rFonts w:ascii="Times New Roman" w:eastAsia="Times New Roman" w:hAnsi="Times New Roman" w:cs="Times New Roman"/>
          <w:sz w:val="24"/>
          <w:szCs w:val="24"/>
        </w:rPr>
        <w:t xml:space="preserve"> </w:t>
      </w:r>
    </w:p>
    <w:p w14:paraId="22CDE261" w14:textId="77777777" w:rsidR="00C3495D" w:rsidRPr="004C20BC" w:rsidRDefault="00C3495D" w:rsidP="00C3495D">
      <w:pPr>
        <w:spacing w:line="480" w:lineRule="auto"/>
        <w:ind w:firstLine="720"/>
        <w:rPr>
          <w:rFonts w:ascii="Times New Roman" w:eastAsia="Times New Roman" w:hAnsi="Times New Roman" w:cs="Times New Roman"/>
          <w:sz w:val="24"/>
          <w:szCs w:val="24"/>
        </w:rPr>
      </w:pPr>
    </w:p>
    <w:p w14:paraId="4F726DF1" w14:textId="77777777" w:rsidR="00C3495D" w:rsidRPr="004C20BC" w:rsidRDefault="00C3495D" w:rsidP="00C3495D">
      <w:pPr>
        <w:spacing w:line="480" w:lineRule="auto"/>
        <w:contextualSpacing/>
        <w:rPr>
          <w:rFonts w:ascii="Times New Roman" w:eastAsia="Times New Roman" w:hAnsi="Times New Roman" w:cs="Times New Roman"/>
          <w:sz w:val="24"/>
          <w:szCs w:val="24"/>
          <w:highlight w:val="white"/>
        </w:rPr>
      </w:pPr>
      <w:r w:rsidRPr="00967C61">
        <w:rPr>
          <w:rFonts w:ascii="Times New Roman" w:hAnsi="Times New Roman" w:cs="Times New Roman"/>
          <w:sz w:val="24"/>
          <w:szCs w:val="24"/>
          <w:vertAlign w:val="superscript"/>
        </w:rPr>
        <w:t>1</w:t>
      </w:r>
      <w:r w:rsidRPr="004C20BC">
        <w:rPr>
          <w:rFonts w:ascii="Times New Roman" w:eastAsia="Times New Roman" w:hAnsi="Times New Roman" w:cs="Times New Roman"/>
          <w:sz w:val="24"/>
          <w:szCs w:val="24"/>
          <w:highlight w:val="white"/>
        </w:rPr>
        <w:t xml:space="preserve">Department of Biobehavioral Health Science, College of Nursing, </w:t>
      </w:r>
      <w:r w:rsidRPr="004C20BC">
        <w:rPr>
          <w:rFonts w:ascii="Times New Roman" w:eastAsia="Times New Roman" w:hAnsi="Times New Roman" w:cs="Times New Roman"/>
          <w:noProof/>
          <w:sz w:val="24"/>
          <w:szCs w:val="24"/>
          <w:highlight w:val="white"/>
        </w:rPr>
        <w:t>University</w:t>
      </w:r>
      <w:r w:rsidRPr="004C20BC">
        <w:rPr>
          <w:rFonts w:ascii="Times New Roman" w:eastAsia="Times New Roman" w:hAnsi="Times New Roman" w:cs="Times New Roman"/>
          <w:sz w:val="24"/>
          <w:szCs w:val="24"/>
          <w:highlight w:val="white"/>
        </w:rPr>
        <w:t xml:space="preserve"> of Illinois at Chicago, Chicago, IL, 60612, USA</w:t>
      </w:r>
    </w:p>
    <w:p w14:paraId="73F0940F" w14:textId="77777777" w:rsidR="00C3495D" w:rsidRPr="00967C61" w:rsidRDefault="00C3495D" w:rsidP="00C3495D">
      <w:pPr>
        <w:spacing w:line="480" w:lineRule="auto"/>
        <w:contextualSpacing/>
        <w:outlineLvl w:val="0"/>
        <w:rPr>
          <w:rFonts w:ascii="Times New Roman" w:eastAsia="Times New Roman" w:hAnsi="Times New Roman" w:cs="Times New Roman"/>
          <w:sz w:val="24"/>
          <w:szCs w:val="24"/>
          <w:highlight w:val="yellow"/>
        </w:rPr>
      </w:pPr>
      <w:r w:rsidRPr="00967C61">
        <w:rPr>
          <w:rFonts w:ascii="Times New Roman" w:eastAsia="Times New Roman" w:hAnsi="Times New Roman" w:cs="Times New Roman"/>
          <w:sz w:val="24"/>
          <w:szCs w:val="24"/>
          <w:vertAlign w:val="superscript"/>
        </w:rPr>
        <w:t>2</w:t>
      </w:r>
      <w:r w:rsidRPr="00B87EF1">
        <w:rPr>
          <w:rFonts w:ascii="Times New Roman" w:eastAsia="Times New Roman" w:hAnsi="Times New Roman" w:cs="Times New Roman"/>
          <w:sz w:val="24"/>
          <w:szCs w:val="24"/>
        </w:rPr>
        <w:t>Institute of Inclusion, Inquiry &amp; Innovation</w:t>
      </w:r>
      <w:r w:rsidRPr="004C20BC">
        <w:rPr>
          <w:rFonts w:ascii="Times New Roman" w:eastAsia="Times New Roman" w:hAnsi="Times New Roman" w:cs="Times New Roman"/>
          <w:sz w:val="24"/>
          <w:szCs w:val="24"/>
          <w:highlight w:val="white"/>
        </w:rPr>
        <w:t xml:space="preserve">, </w:t>
      </w:r>
      <w:r w:rsidRPr="00B87EF1">
        <w:rPr>
          <w:rFonts w:ascii="Times New Roman" w:eastAsia="Times New Roman" w:hAnsi="Times New Roman" w:cs="Times New Roman"/>
          <w:sz w:val="24"/>
          <w:szCs w:val="24"/>
        </w:rPr>
        <w:t>Richmond Health &amp; Wellness Clinics</w:t>
      </w:r>
      <w:r w:rsidRPr="004C20BC">
        <w:rPr>
          <w:rFonts w:ascii="Times New Roman" w:eastAsia="Times New Roman" w:hAnsi="Times New Roman" w:cs="Times New Roman"/>
          <w:sz w:val="24"/>
          <w:szCs w:val="24"/>
          <w:highlight w:val="white"/>
        </w:rPr>
        <w:t xml:space="preserve">, </w:t>
      </w:r>
      <w:r w:rsidRPr="00B87EF1">
        <w:rPr>
          <w:rFonts w:ascii="Times New Roman" w:eastAsia="Times New Roman" w:hAnsi="Times New Roman" w:cs="Times New Roman"/>
          <w:sz w:val="24"/>
          <w:szCs w:val="24"/>
        </w:rPr>
        <w:t>Virginia Commonwealth University School of Nursing</w:t>
      </w:r>
      <w:r w:rsidRPr="004C20B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Richmond, VA,</w:t>
      </w:r>
      <w:r w:rsidRPr="004C20B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23298</w:t>
      </w:r>
      <w:r w:rsidRPr="004C20BC">
        <w:rPr>
          <w:rFonts w:ascii="Times New Roman" w:eastAsia="Times New Roman" w:hAnsi="Times New Roman" w:cs="Times New Roman"/>
          <w:sz w:val="24"/>
          <w:szCs w:val="24"/>
          <w:highlight w:val="white"/>
        </w:rPr>
        <w:t>, USA</w:t>
      </w:r>
    </w:p>
    <w:p w14:paraId="6F6CF7A9" w14:textId="77777777" w:rsidR="00C3495D" w:rsidRPr="004C20BC" w:rsidRDefault="00C3495D" w:rsidP="00C3495D">
      <w:pPr>
        <w:spacing w:line="480" w:lineRule="auto"/>
        <w:contextualSpacing/>
        <w:rPr>
          <w:rFonts w:ascii="Times New Roman" w:eastAsia="Times New Roman" w:hAnsi="Times New Roman" w:cs="Times New Roman"/>
          <w:sz w:val="24"/>
          <w:szCs w:val="24"/>
          <w:highlight w:val="white"/>
        </w:rPr>
      </w:pPr>
      <w:r w:rsidRPr="004C20BC">
        <w:rPr>
          <w:rFonts w:ascii="Times New Roman" w:eastAsia="Times New Roman" w:hAnsi="Times New Roman" w:cs="Times New Roman"/>
          <w:sz w:val="24"/>
          <w:szCs w:val="24"/>
          <w:highlight w:val="white"/>
          <w:vertAlign w:val="superscript"/>
        </w:rPr>
        <w:t>3</w:t>
      </w:r>
      <w:r w:rsidRPr="004C20BC">
        <w:rPr>
          <w:rFonts w:ascii="Times New Roman" w:eastAsia="Times New Roman" w:hAnsi="Times New Roman" w:cs="Times New Roman"/>
          <w:sz w:val="24"/>
          <w:szCs w:val="24"/>
          <w:highlight w:val="white"/>
        </w:rPr>
        <w:t>Sensory Science and Metabolism Unit, Biobehavioral Branch, Division of Intramural Research, National Institute of Nursing Research, National Institutes of Health, Department of Health and Human Services, Bethesda, MD</w:t>
      </w:r>
      <w:r>
        <w:rPr>
          <w:rFonts w:ascii="Times New Roman" w:eastAsia="Times New Roman" w:hAnsi="Times New Roman" w:cs="Times New Roman"/>
          <w:sz w:val="24"/>
          <w:szCs w:val="24"/>
          <w:highlight w:val="white"/>
        </w:rPr>
        <w:t>,</w:t>
      </w:r>
      <w:r w:rsidRPr="004C20BC">
        <w:rPr>
          <w:rFonts w:ascii="Times New Roman" w:eastAsia="Times New Roman" w:hAnsi="Times New Roman" w:cs="Times New Roman"/>
          <w:sz w:val="24"/>
          <w:szCs w:val="24"/>
          <w:highlight w:val="white"/>
        </w:rPr>
        <w:t xml:space="preserve"> 20892, USA</w:t>
      </w:r>
    </w:p>
    <w:p w14:paraId="4266041B" w14:textId="77777777" w:rsidR="00C3495D" w:rsidRPr="004C20BC" w:rsidRDefault="00C3495D" w:rsidP="00C3495D">
      <w:pPr>
        <w:spacing w:line="480" w:lineRule="auto"/>
        <w:contextualSpacing/>
        <w:rPr>
          <w:rFonts w:ascii="Times New Roman" w:eastAsia="Times New Roman" w:hAnsi="Times New Roman" w:cs="Times New Roman"/>
          <w:sz w:val="24"/>
          <w:szCs w:val="24"/>
          <w:highlight w:val="white"/>
        </w:rPr>
      </w:pPr>
      <w:r w:rsidRPr="004C20BC">
        <w:rPr>
          <w:rFonts w:ascii="Times New Roman" w:eastAsia="Times New Roman" w:hAnsi="Times New Roman" w:cs="Times New Roman"/>
          <w:sz w:val="24"/>
          <w:szCs w:val="24"/>
          <w:highlight w:val="white"/>
          <w:vertAlign w:val="superscript"/>
        </w:rPr>
        <w:t>4</w:t>
      </w:r>
      <w:r>
        <w:rPr>
          <w:rFonts w:ascii="Times New Roman" w:eastAsia="Times New Roman" w:hAnsi="Times New Roman" w:cs="Times New Roman"/>
          <w:sz w:val="24"/>
          <w:szCs w:val="24"/>
          <w:highlight w:val="white"/>
        </w:rPr>
        <w:t>Sequencing Core</w:t>
      </w:r>
      <w:r w:rsidRPr="004C20BC">
        <w:rPr>
          <w:rFonts w:ascii="Times New Roman" w:eastAsia="Times New Roman" w:hAnsi="Times New Roman" w:cs="Times New Roman"/>
          <w:sz w:val="24"/>
          <w:szCs w:val="24"/>
          <w:highlight w:val="white"/>
        </w:rPr>
        <w:t xml:space="preserve">, Research Resources Center, </w:t>
      </w:r>
      <w:r w:rsidRPr="004C20BC">
        <w:rPr>
          <w:rFonts w:ascii="Times New Roman" w:eastAsia="Times New Roman" w:hAnsi="Times New Roman" w:cs="Times New Roman"/>
          <w:noProof/>
          <w:sz w:val="24"/>
          <w:szCs w:val="24"/>
          <w:highlight w:val="white"/>
        </w:rPr>
        <w:t>University</w:t>
      </w:r>
      <w:r w:rsidRPr="004C20BC">
        <w:rPr>
          <w:rFonts w:ascii="Times New Roman" w:eastAsia="Times New Roman" w:hAnsi="Times New Roman" w:cs="Times New Roman"/>
          <w:sz w:val="24"/>
          <w:szCs w:val="24"/>
          <w:highlight w:val="white"/>
        </w:rPr>
        <w:t xml:space="preserve"> of Illinois at Chicago, Chicago, IL, 60612, USA. </w:t>
      </w:r>
    </w:p>
    <w:p w14:paraId="5EB8676F" w14:textId="77777777" w:rsidR="00C3495D" w:rsidRDefault="00C3495D" w:rsidP="00C3495D">
      <w:pPr>
        <w:spacing w:line="240" w:lineRule="auto"/>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 xml:space="preserve">Corresponding Author: </w:t>
      </w:r>
    </w:p>
    <w:p w14:paraId="6364EF2E" w14:textId="77777777" w:rsidR="00C3495D" w:rsidRDefault="00C3495D" w:rsidP="00C3495D">
      <w:pPr>
        <w:spacing w:line="240" w:lineRule="auto"/>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Katherine A. Maki, MS</w:t>
      </w:r>
    </w:p>
    <w:p w14:paraId="32389A18" w14:textId="77777777" w:rsidR="00C3495D" w:rsidRDefault="00C3495D" w:rsidP="00C3495D">
      <w:pPr>
        <w:spacing w:line="240" w:lineRule="auto"/>
        <w:rPr>
          <w:rFonts w:ascii="Times New Roman" w:eastAsia="Times New Roman" w:hAnsi="Times New Roman" w:cs="Times New Roman"/>
          <w:sz w:val="24"/>
          <w:szCs w:val="24"/>
        </w:rPr>
      </w:pPr>
      <w:r w:rsidRPr="004C20BC">
        <w:rPr>
          <w:rFonts w:ascii="Times New Roman" w:eastAsia="Times New Roman" w:hAnsi="Times New Roman" w:cs="Times New Roman"/>
          <w:noProof/>
          <w:sz w:val="24"/>
          <w:szCs w:val="24"/>
        </w:rPr>
        <w:t>University</w:t>
      </w:r>
      <w:r w:rsidRPr="004C20BC">
        <w:rPr>
          <w:rFonts w:ascii="Times New Roman" w:eastAsia="Times New Roman" w:hAnsi="Times New Roman" w:cs="Times New Roman"/>
          <w:sz w:val="24"/>
          <w:szCs w:val="24"/>
        </w:rPr>
        <w:t xml:space="preserve"> of Illinois at Chicago</w:t>
      </w:r>
    </w:p>
    <w:p w14:paraId="407C5127" w14:textId="77777777" w:rsidR="00C3495D" w:rsidRDefault="00C3495D" w:rsidP="00C3495D">
      <w:pPr>
        <w:spacing w:line="240" w:lineRule="auto"/>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845 S. Damen Ave. (M/C 802)</w:t>
      </w:r>
    </w:p>
    <w:p w14:paraId="7C42151D" w14:textId="77777777" w:rsidR="00C3495D" w:rsidRDefault="00C3495D" w:rsidP="00C3495D">
      <w:pPr>
        <w:spacing w:line="240" w:lineRule="auto"/>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Chicago, IL 60612</w:t>
      </w:r>
    </w:p>
    <w:p w14:paraId="0E30F279" w14:textId="77777777" w:rsidR="00C3495D" w:rsidRDefault="00C3495D" w:rsidP="00C3495D">
      <w:pPr>
        <w:spacing w:line="240" w:lineRule="auto"/>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312-996-7900</w:t>
      </w:r>
    </w:p>
    <w:p w14:paraId="06D2C608" w14:textId="77777777" w:rsidR="00C3495D" w:rsidRDefault="00C3495D" w:rsidP="00C3495D">
      <w:pPr>
        <w:spacing w:line="240" w:lineRule="auto"/>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Fax: 312-996-4979</w:t>
      </w:r>
    </w:p>
    <w:p w14:paraId="5F03CB9D" w14:textId="77777777" w:rsidR="00C3495D" w:rsidRPr="004C20BC" w:rsidRDefault="00C3495D" w:rsidP="00C3495D">
      <w:pPr>
        <w:spacing w:line="240" w:lineRule="auto"/>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kdurha2@uic.edu</w:t>
      </w:r>
    </w:p>
    <w:p w14:paraId="2FA73468" w14:textId="77777777" w:rsidR="00C3495D" w:rsidRDefault="00C3495D" w:rsidP="00C3495D">
      <w:pPr>
        <w:spacing w:line="480" w:lineRule="auto"/>
        <w:contextualSpacing/>
        <w:rPr>
          <w:rFonts w:ascii="Times New Roman" w:hAnsi="Times New Roman" w:cs="Times New Roman"/>
          <w:sz w:val="24"/>
          <w:szCs w:val="24"/>
        </w:rPr>
      </w:pPr>
    </w:p>
    <w:p w14:paraId="3C92429D" w14:textId="77777777" w:rsidR="00C3495D" w:rsidRPr="00967C61" w:rsidRDefault="00C3495D" w:rsidP="00C3495D">
      <w:pPr>
        <w:spacing w:line="480" w:lineRule="auto"/>
        <w:contextualSpacing/>
        <w:rPr>
          <w:rFonts w:ascii="Times New Roman" w:hAnsi="Times New Roman" w:cs="Times New Roman"/>
          <w:sz w:val="24"/>
          <w:szCs w:val="24"/>
        </w:rPr>
      </w:pPr>
    </w:p>
    <w:p w14:paraId="521249CA" w14:textId="7D2E043D" w:rsidR="00C3495D" w:rsidRPr="00967C61" w:rsidRDefault="00C3495D" w:rsidP="00C3495D">
      <w:pPr>
        <w:spacing w:line="480" w:lineRule="auto"/>
        <w:ind w:firstLine="720"/>
        <w:contextualSpacing/>
        <w:rPr>
          <w:rFonts w:ascii="Times New Roman" w:hAnsi="Times New Roman" w:cs="Times New Roman"/>
          <w:sz w:val="24"/>
          <w:szCs w:val="24"/>
        </w:rPr>
      </w:pPr>
      <w:r w:rsidRPr="00571F28">
        <w:rPr>
          <w:rFonts w:ascii="Times New Roman" w:hAnsi="Times New Roman" w:cs="Times New Roman"/>
          <w:b/>
          <w:sz w:val="24"/>
          <w:szCs w:val="24"/>
        </w:rPr>
        <w:t xml:space="preserve">Sources of support: </w:t>
      </w:r>
      <w:r w:rsidRPr="00967C61">
        <w:rPr>
          <w:rFonts w:ascii="Times New Roman" w:hAnsi="Times New Roman" w:cs="Times New Roman"/>
          <w:sz w:val="24"/>
          <w:szCs w:val="24"/>
        </w:rPr>
        <w:t xml:space="preserve">Support provided by the National Institute of Nursing Research (to PVJ, and Intramural Research Training Award to </w:t>
      </w:r>
      <w:r>
        <w:rPr>
          <w:rFonts w:ascii="Times New Roman" w:hAnsi="Times New Roman" w:cs="Times New Roman"/>
          <w:sz w:val="24"/>
          <w:szCs w:val="24"/>
        </w:rPr>
        <w:t>ATF</w:t>
      </w:r>
      <w:r w:rsidRPr="00967C61">
        <w:rPr>
          <w:rFonts w:ascii="Times New Roman" w:hAnsi="Times New Roman" w:cs="Times New Roman"/>
          <w:sz w:val="24"/>
          <w:szCs w:val="24"/>
        </w:rPr>
        <w:t xml:space="preserve">); Office of Workforce Diversity, </w:t>
      </w:r>
      <w:r w:rsidR="00571F28">
        <w:rPr>
          <w:rFonts w:ascii="Times New Roman" w:hAnsi="Times New Roman" w:cs="Times New Roman"/>
          <w:sz w:val="24"/>
          <w:szCs w:val="24"/>
        </w:rPr>
        <w:t xml:space="preserve">National </w:t>
      </w:r>
      <w:r w:rsidR="00571F28">
        <w:rPr>
          <w:rFonts w:ascii="Times New Roman" w:hAnsi="Times New Roman" w:cs="Times New Roman"/>
          <w:sz w:val="24"/>
          <w:szCs w:val="24"/>
        </w:rPr>
        <w:lastRenderedPageBreak/>
        <w:t>Institutes of Health (</w:t>
      </w:r>
      <w:r w:rsidRPr="00967C61">
        <w:rPr>
          <w:rFonts w:ascii="Times New Roman" w:hAnsi="Times New Roman" w:cs="Times New Roman"/>
          <w:sz w:val="24"/>
          <w:szCs w:val="24"/>
        </w:rPr>
        <w:t>NIH</w:t>
      </w:r>
      <w:r w:rsidR="00571F28">
        <w:rPr>
          <w:rFonts w:ascii="Times New Roman" w:hAnsi="Times New Roman" w:cs="Times New Roman"/>
          <w:sz w:val="24"/>
          <w:szCs w:val="24"/>
        </w:rPr>
        <w:t>)</w:t>
      </w:r>
      <w:r w:rsidRPr="00967C61">
        <w:rPr>
          <w:rFonts w:ascii="Times New Roman" w:hAnsi="Times New Roman" w:cs="Times New Roman"/>
          <w:sz w:val="24"/>
          <w:szCs w:val="24"/>
        </w:rPr>
        <w:t xml:space="preserve"> to PVJ; Sigma Theta Tau International, Alpha Lambda Chamber to KAM; and </w:t>
      </w:r>
      <w:r w:rsidRPr="00967C61">
        <w:rPr>
          <w:rFonts w:ascii="Times New Roman" w:hAnsi="Times New Roman" w:cs="Times New Roman"/>
          <w:noProof/>
          <w:sz w:val="24"/>
          <w:szCs w:val="24"/>
        </w:rPr>
        <w:t>University</w:t>
      </w:r>
      <w:r w:rsidRPr="00967C61">
        <w:rPr>
          <w:rFonts w:ascii="Times New Roman" w:hAnsi="Times New Roman" w:cs="Times New Roman"/>
          <w:sz w:val="24"/>
          <w:szCs w:val="24"/>
        </w:rPr>
        <w:t xml:space="preserve"> of Illinois at Chicago, College of Nursing</w:t>
      </w:r>
      <w:r w:rsidR="00571F28">
        <w:rPr>
          <w:rFonts w:ascii="Times New Roman" w:hAnsi="Times New Roman" w:cs="Times New Roman"/>
          <w:sz w:val="24"/>
          <w:szCs w:val="24"/>
        </w:rPr>
        <w:t>,</w:t>
      </w:r>
      <w:r w:rsidRPr="00967C61">
        <w:rPr>
          <w:rFonts w:ascii="Times New Roman" w:hAnsi="Times New Roman" w:cs="Times New Roman"/>
          <w:sz w:val="24"/>
          <w:szCs w:val="24"/>
        </w:rPr>
        <w:t xml:space="preserve"> to KAM</w:t>
      </w:r>
      <w:r>
        <w:rPr>
          <w:rFonts w:ascii="Times New Roman" w:hAnsi="Times New Roman" w:cs="Times New Roman"/>
          <w:sz w:val="24"/>
          <w:szCs w:val="24"/>
        </w:rPr>
        <w:t xml:space="preserve">. </w:t>
      </w:r>
    </w:p>
    <w:p w14:paraId="22A5B289" w14:textId="02B5DEF2" w:rsidR="00C3495D" w:rsidRPr="004C20BC" w:rsidRDefault="00C3495D" w:rsidP="00C3495D">
      <w:pPr>
        <w:spacing w:line="480" w:lineRule="auto"/>
        <w:ind w:firstLine="720"/>
        <w:rPr>
          <w:rFonts w:ascii="Times New Roman" w:hAnsi="Times New Roman" w:cs="Times New Roman"/>
          <w:bCs/>
          <w:sz w:val="24"/>
          <w:szCs w:val="24"/>
        </w:rPr>
      </w:pPr>
      <w:r w:rsidRPr="00571F28">
        <w:rPr>
          <w:rFonts w:ascii="Times New Roman" w:eastAsia="Times New Roman" w:hAnsi="Times New Roman" w:cs="Times New Roman"/>
          <w:b/>
          <w:noProof/>
          <w:sz w:val="24"/>
          <w:szCs w:val="24"/>
        </w:rPr>
        <w:t>Acknowledgments</w:t>
      </w:r>
      <w:r w:rsidRPr="00571F28">
        <w:rPr>
          <w:rFonts w:ascii="Times New Roman" w:eastAsia="Times New Roman" w:hAnsi="Times New Roman" w:cs="Times New Roman"/>
          <w:b/>
          <w:sz w:val="24"/>
          <w:szCs w:val="24"/>
        </w:rPr>
        <w:t xml:space="preserve">: </w:t>
      </w:r>
      <w:r w:rsidRPr="004C20BC">
        <w:rPr>
          <w:rFonts w:ascii="Times New Roman" w:eastAsia="Times New Roman" w:hAnsi="Times New Roman" w:cs="Times New Roman"/>
          <w:sz w:val="24"/>
          <w:szCs w:val="24"/>
          <w:shd w:val="clear" w:color="auto" w:fill="FFFFFF"/>
          <w:lang w:val="en-US"/>
        </w:rPr>
        <w:t xml:space="preserve">The authors would like to thank Drs. Joan Austin and Ann Cashion for their comments </w:t>
      </w:r>
      <w:r w:rsidR="00571F28">
        <w:rPr>
          <w:rFonts w:ascii="Times New Roman" w:eastAsia="Times New Roman" w:hAnsi="Times New Roman" w:cs="Times New Roman"/>
          <w:sz w:val="24"/>
          <w:szCs w:val="24"/>
          <w:shd w:val="clear" w:color="auto" w:fill="FFFFFF"/>
          <w:lang w:val="en-US"/>
        </w:rPr>
        <w:t>o</w:t>
      </w:r>
      <w:r w:rsidR="00571F28" w:rsidRPr="004C20BC">
        <w:rPr>
          <w:rFonts w:ascii="Times New Roman" w:eastAsia="Times New Roman" w:hAnsi="Times New Roman" w:cs="Times New Roman"/>
          <w:sz w:val="24"/>
          <w:szCs w:val="24"/>
          <w:shd w:val="clear" w:color="auto" w:fill="FFFFFF"/>
          <w:lang w:val="en-US"/>
        </w:rPr>
        <w:t xml:space="preserve">n </w:t>
      </w:r>
      <w:r w:rsidRPr="004C20BC">
        <w:rPr>
          <w:rFonts w:ascii="Times New Roman" w:eastAsia="Times New Roman" w:hAnsi="Times New Roman" w:cs="Times New Roman"/>
          <w:sz w:val="24"/>
          <w:szCs w:val="24"/>
          <w:shd w:val="clear" w:color="auto" w:fill="FFFFFF"/>
          <w:lang w:val="en-US"/>
        </w:rPr>
        <w:t xml:space="preserve">this review and </w:t>
      </w:r>
      <w:bookmarkStart w:id="0" w:name="m_1362953617213154165__Toc224445205"/>
      <w:r w:rsidRPr="004C20BC">
        <w:rPr>
          <w:rFonts w:ascii="Times New Roman" w:hAnsi="Times New Roman" w:cs="Times New Roman"/>
          <w:bCs/>
          <w:sz w:val="24"/>
          <w:szCs w:val="24"/>
        </w:rPr>
        <w:t>Kevin Grandfield, Publication Manager for the UIC Department of Biobehavioral Health Science, for editorial assistance.</w:t>
      </w:r>
      <w:bookmarkEnd w:id="0"/>
      <w:r>
        <w:rPr>
          <w:rFonts w:ascii="Times New Roman" w:hAnsi="Times New Roman" w:cs="Times New Roman"/>
          <w:bCs/>
          <w:sz w:val="24"/>
          <w:szCs w:val="24"/>
        </w:rPr>
        <w:t xml:space="preserve"> </w:t>
      </w:r>
    </w:p>
    <w:p w14:paraId="49BEF7AD" w14:textId="504773C8" w:rsidR="00C3495D" w:rsidRPr="004C20BC" w:rsidRDefault="00C3495D" w:rsidP="00C3495D">
      <w:pPr>
        <w:spacing w:line="480" w:lineRule="auto"/>
        <w:ind w:firstLine="720"/>
        <w:rPr>
          <w:rFonts w:ascii="Times New Roman" w:eastAsia="Times New Roman" w:hAnsi="Times New Roman" w:cs="Times New Roman"/>
          <w:sz w:val="24"/>
          <w:szCs w:val="24"/>
          <w:lang w:val="en-US"/>
        </w:rPr>
      </w:pPr>
      <w:r w:rsidRPr="00571F28">
        <w:rPr>
          <w:rFonts w:ascii="Times New Roman" w:eastAsia="Times New Roman" w:hAnsi="Times New Roman" w:cs="Times New Roman"/>
          <w:b/>
          <w:sz w:val="24"/>
          <w:szCs w:val="24"/>
          <w:lang w:val="en-US"/>
        </w:rPr>
        <w:t xml:space="preserve">Authors' contributions: </w:t>
      </w:r>
      <w:r w:rsidRPr="004C20BC">
        <w:rPr>
          <w:rFonts w:ascii="Times New Roman" w:eastAsia="Times New Roman" w:hAnsi="Times New Roman" w:cs="Times New Roman"/>
          <w:sz w:val="24"/>
          <w:szCs w:val="24"/>
          <w:lang w:val="en-US"/>
        </w:rPr>
        <w:t xml:space="preserve">All authors contributed equally in the conception, design </w:t>
      </w:r>
      <w:r w:rsidRPr="004C20BC">
        <w:rPr>
          <w:rFonts w:ascii="Times New Roman" w:eastAsia="Times New Roman" w:hAnsi="Times New Roman" w:cs="Times New Roman"/>
          <w:noProof/>
          <w:sz w:val="24"/>
          <w:szCs w:val="24"/>
          <w:lang w:val="en-US"/>
        </w:rPr>
        <w:t>and</w:t>
      </w:r>
      <w:r w:rsidRPr="004C20BC">
        <w:rPr>
          <w:rFonts w:ascii="Times New Roman" w:eastAsia="Times New Roman" w:hAnsi="Times New Roman" w:cs="Times New Roman"/>
          <w:sz w:val="24"/>
          <w:szCs w:val="24"/>
          <w:lang w:val="en-US"/>
        </w:rPr>
        <w:t xml:space="preserve"> acquisition</w:t>
      </w:r>
      <w:r w:rsidR="00571F28">
        <w:rPr>
          <w:rFonts w:ascii="Times New Roman" w:eastAsia="Times New Roman" w:hAnsi="Times New Roman" w:cs="Times New Roman"/>
          <w:sz w:val="24"/>
          <w:szCs w:val="24"/>
          <w:lang w:val="en-US"/>
        </w:rPr>
        <w:t xml:space="preserve"> of data</w:t>
      </w:r>
      <w:r w:rsidRPr="004C20BC">
        <w:rPr>
          <w:rFonts w:ascii="Times New Roman" w:eastAsia="Times New Roman" w:hAnsi="Times New Roman" w:cs="Times New Roman"/>
          <w:sz w:val="24"/>
          <w:szCs w:val="24"/>
          <w:lang w:val="en-US"/>
        </w:rPr>
        <w:t>, draft</w:t>
      </w:r>
      <w:r w:rsidR="00571F28">
        <w:rPr>
          <w:rFonts w:ascii="Times New Roman" w:eastAsia="Times New Roman" w:hAnsi="Times New Roman" w:cs="Times New Roman"/>
          <w:sz w:val="24"/>
          <w:szCs w:val="24"/>
          <w:lang w:val="en-US"/>
        </w:rPr>
        <w:t>ing of the</w:t>
      </w:r>
      <w:r w:rsidRPr="004C20BC">
        <w:rPr>
          <w:rFonts w:ascii="Times New Roman" w:eastAsia="Times New Roman" w:hAnsi="Times New Roman" w:cs="Times New Roman"/>
          <w:sz w:val="24"/>
          <w:szCs w:val="24"/>
          <w:lang w:val="en-US"/>
        </w:rPr>
        <w:t xml:space="preserve"> manuscript</w:t>
      </w:r>
      <w:r>
        <w:rPr>
          <w:rFonts w:ascii="Times New Roman" w:eastAsia="Times New Roman" w:hAnsi="Times New Roman" w:cs="Times New Roman"/>
          <w:sz w:val="24"/>
          <w:szCs w:val="24"/>
          <w:lang w:val="en-US"/>
        </w:rPr>
        <w:t>,</w:t>
      </w:r>
      <w:r w:rsidRPr="004C20BC">
        <w:rPr>
          <w:rFonts w:ascii="Times New Roman" w:eastAsia="Times New Roman" w:hAnsi="Times New Roman" w:cs="Times New Roman"/>
          <w:sz w:val="24"/>
          <w:szCs w:val="24"/>
          <w:lang w:val="en-US"/>
        </w:rPr>
        <w:t xml:space="preserve"> and critical revis</w:t>
      </w:r>
      <w:r w:rsidR="00571F28">
        <w:rPr>
          <w:rFonts w:ascii="Times New Roman" w:eastAsia="Times New Roman" w:hAnsi="Times New Roman" w:cs="Times New Roman"/>
          <w:sz w:val="24"/>
          <w:szCs w:val="24"/>
          <w:lang w:val="en-US"/>
        </w:rPr>
        <w:t>ion of the</w:t>
      </w:r>
      <w:r w:rsidRPr="004C20BC">
        <w:rPr>
          <w:rFonts w:ascii="Times New Roman" w:eastAsia="Times New Roman" w:hAnsi="Times New Roman" w:cs="Times New Roman"/>
          <w:sz w:val="24"/>
          <w:szCs w:val="24"/>
          <w:lang w:val="en-US"/>
        </w:rPr>
        <w:t xml:space="preserve"> manuscript.</w:t>
      </w:r>
      <w:r>
        <w:rPr>
          <w:rFonts w:ascii="Times New Roman" w:eastAsia="Times New Roman" w:hAnsi="Times New Roman" w:cs="Times New Roman"/>
          <w:sz w:val="24"/>
          <w:szCs w:val="24"/>
          <w:lang w:val="en-US"/>
        </w:rPr>
        <w:t xml:space="preserve"> </w:t>
      </w:r>
    </w:p>
    <w:p w14:paraId="3E3093BF" w14:textId="6CD67892" w:rsidR="00C3495D" w:rsidRPr="004C20BC" w:rsidRDefault="00C3495D" w:rsidP="00C3495D">
      <w:pPr>
        <w:spacing w:line="480" w:lineRule="auto"/>
        <w:ind w:firstLine="720"/>
        <w:rPr>
          <w:rFonts w:ascii="Times New Roman" w:eastAsia="Times New Roman" w:hAnsi="Times New Roman" w:cs="Times New Roman"/>
          <w:sz w:val="24"/>
          <w:szCs w:val="24"/>
          <w:lang w:val="en-US"/>
        </w:rPr>
      </w:pPr>
      <w:r w:rsidRPr="00B4459D">
        <w:rPr>
          <w:rFonts w:ascii="Times New Roman" w:eastAsia="Times New Roman" w:hAnsi="Times New Roman" w:cs="Times New Roman"/>
          <w:b/>
          <w:sz w:val="24"/>
          <w:szCs w:val="24"/>
          <w:lang w:val="en-US"/>
        </w:rPr>
        <w:t>Authors’ note:</w:t>
      </w:r>
      <w:r w:rsidRPr="004C20BC">
        <w:rPr>
          <w:rFonts w:ascii="Times New Roman" w:eastAsia="Times New Roman" w:hAnsi="Times New Roman" w:cs="Times New Roman"/>
          <w:sz w:val="24"/>
          <w:szCs w:val="24"/>
          <w:lang w:val="en-US"/>
        </w:rPr>
        <w:t xml:space="preserve"> The opinions expressed herein, and the interpretation and reporting of these data</w:t>
      </w:r>
      <w:r w:rsidR="00B4459D">
        <w:rPr>
          <w:rFonts w:ascii="Times New Roman" w:eastAsia="Times New Roman" w:hAnsi="Times New Roman" w:cs="Times New Roman"/>
          <w:sz w:val="24"/>
          <w:szCs w:val="24"/>
          <w:lang w:val="en-US"/>
        </w:rPr>
        <w:t>,</w:t>
      </w:r>
      <w:r w:rsidRPr="004C20BC">
        <w:rPr>
          <w:rFonts w:ascii="Times New Roman" w:eastAsia="Times New Roman" w:hAnsi="Times New Roman" w:cs="Times New Roman"/>
          <w:sz w:val="24"/>
          <w:szCs w:val="24"/>
          <w:lang w:val="en-US"/>
        </w:rPr>
        <w:t xml:space="preserve"> are the responsibility of the author(s) and should not be seen as an official recommendation or interpretation of the National Institutes of Health.</w:t>
      </w:r>
      <w:r>
        <w:rPr>
          <w:rFonts w:ascii="Times New Roman" w:eastAsia="Times New Roman" w:hAnsi="Times New Roman" w:cs="Times New Roman"/>
          <w:sz w:val="24"/>
          <w:szCs w:val="24"/>
          <w:lang w:val="en-US"/>
        </w:rPr>
        <w:t xml:space="preserve"> </w:t>
      </w:r>
      <w:r w:rsidRPr="004C20BC">
        <w:rPr>
          <w:rFonts w:ascii="Times New Roman" w:eastAsia="Times New Roman" w:hAnsi="Times New Roman" w:cs="Times New Roman"/>
          <w:sz w:val="24"/>
          <w:szCs w:val="24"/>
          <w:lang w:val="en-US"/>
        </w:rPr>
        <w:t>The protocol was approved by the Institutional Review Board at the National Institutes of Health.</w:t>
      </w:r>
    </w:p>
    <w:p w14:paraId="7C42FFB5" w14:textId="77777777" w:rsidR="00C3495D" w:rsidRPr="004C20BC" w:rsidRDefault="00C3495D" w:rsidP="00C3495D">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Total number of illustrations: 2</w:t>
      </w:r>
    </w:p>
    <w:p w14:paraId="3158C4E8" w14:textId="77777777" w:rsidR="00C3495D" w:rsidRPr="004C20BC" w:rsidRDefault="00C3495D" w:rsidP="00C3495D">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 xml:space="preserve">Total number of tables: </w:t>
      </w:r>
      <w:r>
        <w:rPr>
          <w:rFonts w:ascii="Times New Roman" w:eastAsia="Times New Roman" w:hAnsi="Times New Roman" w:cs="Times New Roman"/>
          <w:sz w:val="24"/>
          <w:szCs w:val="24"/>
        </w:rPr>
        <w:t>3</w:t>
      </w:r>
    </w:p>
    <w:p w14:paraId="3586BF64" w14:textId="77777777" w:rsidR="00C3495D" w:rsidRPr="00967C61" w:rsidRDefault="00C3495D" w:rsidP="00C3495D">
      <w:pPr>
        <w:spacing w:line="480" w:lineRule="auto"/>
        <w:rPr>
          <w:rFonts w:ascii="Times New Roman" w:hAnsi="Times New Roman" w:cs="Times New Roman"/>
          <w:sz w:val="24"/>
          <w:szCs w:val="24"/>
        </w:rPr>
      </w:pPr>
    </w:p>
    <w:p w14:paraId="543E00C2" w14:textId="77777777" w:rsidR="00C3495D" w:rsidRDefault="00C349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2022E5" w14:textId="20FE3B84" w:rsidR="002C570B" w:rsidRPr="00967C61" w:rsidRDefault="00DE4954" w:rsidP="00BF0230">
      <w:pPr>
        <w:spacing w:line="480" w:lineRule="auto"/>
        <w:jc w:val="center"/>
        <w:outlineLvl w:val="0"/>
        <w:rPr>
          <w:rFonts w:ascii="Times New Roman" w:eastAsia="Times New Roman" w:hAnsi="Times New Roman" w:cs="Times New Roman"/>
          <w:b/>
          <w:sz w:val="24"/>
          <w:szCs w:val="24"/>
        </w:rPr>
      </w:pPr>
      <w:r w:rsidRPr="00967C61">
        <w:rPr>
          <w:rFonts w:ascii="Times New Roman" w:eastAsia="Times New Roman" w:hAnsi="Times New Roman" w:cs="Times New Roman"/>
          <w:b/>
          <w:sz w:val="24"/>
          <w:szCs w:val="24"/>
        </w:rPr>
        <w:lastRenderedPageBreak/>
        <w:t>Abstract</w:t>
      </w:r>
    </w:p>
    <w:p w14:paraId="5C0F35DB" w14:textId="1DA27444" w:rsidR="0062573C" w:rsidRPr="004C20BC" w:rsidRDefault="002136C0" w:rsidP="00967C61">
      <w:pPr>
        <w:spacing w:line="480" w:lineRule="auto"/>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 xml:space="preserve">Nurse </w:t>
      </w:r>
      <w:r w:rsidR="000E0C63">
        <w:rPr>
          <w:rFonts w:ascii="Times New Roman" w:eastAsia="Times New Roman" w:hAnsi="Times New Roman" w:cs="Times New Roman"/>
          <w:sz w:val="24"/>
          <w:szCs w:val="24"/>
        </w:rPr>
        <w:t>s</w:t>
      </w:r>
      <w:r w:rsidRPr="004C20BC">
        <w:rPr>
          <w:rFonts w:ascii="Times New Roman" w:eastAsia="Times New Roman" w:hAnsi="Times New Roman" w:cs="Times New Roman"/>
          <w:sz w:val="24"/>
          <w:szCs w:val="24"/>
        </w:rPr>
        <w:t xml:space="preserve">cientists </w:t>
      </w:r>
      <w:r w:rsidR="005C03E1" w:rsidRPr="004C20BC">
        <w:rPr>
          <w:rFonts w:ascii="Times New Roman" w:eastAsia="Times New Roman" w:hAnsi="Times New Roman" w:cs="Times New Roman"/>
          <w:sz w:val="24"/>
          <w:szCs w:val="24"/>
        </w:rPr>
        <w:t>play</w:t>
      </w:r>
      <w:r w:rsidRPr="004C20BC">
        <w:rPr>
          <w:rFonts w:ascii="Times New Roman" w:eastAsia="Times New Roman" w:hAnsi="Times New Roman" w:cs="Times New Roman"/>
          <w:sz w:val="24"/>
          <w:szCs w:val="24"/>
        </w:rPr>
        <w:t xml:space="preserve"> an important role in studying complex relationships </w:t>
      </w:r>
      <w:r w:rsidR="001444B8" w:rsidRPr="004C20BC">
        <w:rPr>
          <w:rFonts w:ascii="Times New Roman" w:eastAsia="Times New Roman" w:hAnsi="Times New Roman" w:cs="Times New Roman"/>
          <w:sz w:val="24"/>
          <w:szCs w:val="24"/>
        </w:rPr>
        <w:t xml:space="preserve">among </w:t>
      </w:r>
      <w:r w:rsidRPr="004C20BC">
        <w:rPr>
          <w:rFonts w:ascii="Times New Roman" w:eastAsia="Times New Roman" w:hAnsi="Times New Roman" w:cs="Times New Roman"/>
          <w:sz w:val="24"/>
          <w:szCs w:val="24"/>
        </w:rPr>
        <w:t xml:space="preserve">human </w:t>
      </w:r>
      <w:r w:rsidR="0062573C" w:rsidRPr="004C20BC">
        <w:rPr>
          <w:rFonts w:ascii="Times New Roman" w:eastAsia="Times New Roman" w:hAnsi="Times New Roman" w:cs="Times New Roman"/>
          <w:sz w:val="24"/>
          <w:szCs w:val="24"/>
        </w:rPr>
        <w:t>genetics, environmental factors</w:t>
      </w:r>
      <w:r w:rsidR="00F31AA1" w:rsidRPr="004C20BC">
        <w:rPr>
          <w:rFonts w:ascii="Times New Roman" w:eastAsia="Times New Roman" w:hAnsi="Times New Roman" w:cs="Times New Roman"/>
          <w:sz w:val="24"/>
          <w:szCs w:val="24"/>
        </w:rPr>
        <w:t>,</w:t>
      </w:r>
      <w:r w:rsidR="0062573C" w:rsidRPr="004C20BC">
        <w:rPr>
          <w:rFonts w:ascii="Times New Roman" w:eastAsia="Times New Roman" w:hAnsi="Times New Roman" w:cs="Times New Roman"/>
          <w:sz w:val="24"/>
          <w:szCs w:val="24"/>
        </w:rPr>
        <w:t xml:space="preserve"> </w:t>
      </w:r>
      <w:r w:rsidR="0062573C" w:rsidRPr="004C20BC">
        <w:rPr>
          <w:rFonts w:ascii="Times New Roman" w:eastAsia="Times New Roman" w:hAnsi="Times New Roman" w:cs="Times New Roman"/>
          <w:noProof/>
          <w:sz w:val="24"/>
          <w:szCs w:val="24"/>
        </w:rPr>
        <w:t>and</w:t>
      </w:r>
      <w:r w:rsidR="0062573C" w:rsidRPr="004C20BC">
        <w:rPr>
          <w:rFonts w:ascii="Times New Roman" w:eastAsia="Times New Roman" w:hAnsi="Times New Roman" w:cs="Times New Roman"/>
          <w:sz w:val="24"/>
          <w:szCs w:val="24"/>
        </w:rPr>
        <w:t xml:space="preserve"> the microbiome, all of which can contribute to human health and disease</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Therefore, it is essential that they have the tools necessary to execute a successful microbiome research</w:t>
      </w:r>
      <w:r w:rsidR="0062573C" w:rsidRPr="004C20BC">
        <w:rPr>
          <w:rFonts w:ascii="Times New Roman" w:eastAsia="Times New Roman" w:hAnsi="Times New Roman" w:cs="Times New Roman"/>
          <w:sz w:val="24"/>
          <w:szCs w:val="24"/>
        </w:rPr>
        <w:t xml:space="preserve"> study</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62573C" w:rsidRPr="004C20BC">
        <w:rPr>
          <w:rFonts w:ascii="Times New Roman" w:eastAsia="Times New Roman" w:hAnsi="Times New Roman" w:cs="Times New Roman"/>
          <w:sz w:val="24"/>
          <w:szCs w:val="24"/>
        </w:rPr>
        <w:t xml:space="preserve">The purpose of this paper is to highlight important methodological factors for nurse </w:t>
      </w:r>
      <w:r w:rsidR="00F52202">
        <w:rPr>
          <w:rFonts w:ascii="Times New Roman" w:eastAsia="Times New Roman" w:hAnsi="Times New Roman" w:cs="Times New Roman"/>
          <w:sz w:val="24"/>
          <w:szCs w:val="24"/>
        </w:rPr>
        <w:t>scientist</w:t>
      </w:r>
      <w:r w:rsidR="00F52202" w:rsidRPr="004C20BC">
        <w:rPr>
          <w:rFonts w:ascii="Times New Roman" w:eastAsia="Times New Roman" w:hAnsi="Times New Roman" w:cs="Times New Roman"/>
          <w:sz w:val="24"/>
          <w:szCs w:val="24"/>
        </w:rPr>
        <w:t>s</w:t>
      </w:r>
      <w:r w:rsidR="0062573C" w:rsidRPr="004C20BC">
        <w:rPr>
          <w:rFonts w:ascii="Times New Roman" w:eastAsia="Times New Roman" w:hAnsi="Times New Roman" w:cs="Times New Roman"/>
          <w:sz w:val="24"/>
          <w:szCs w:val="24"/>
        </w:rPr>
        <w:t xml:space="preserve"> to consider when designing a microbiome study</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62573C" w:rsidRPr="004C20BC">
        <w:rPr>
          <w:rFonts w:ascii="Times New Roman" w:eastAsia="Times New Roman" w:hAnsi="Times New Roman" w:cs="Times New Roman"/>
          <w:sz w:val="24"/>
          <w:szCs w:val="24"/>
        </w:rPr>
        <w:t>In addition to considering factors that influence host-associated microbiomes (</w:t>
      </w:r>
      <w:r w:rsidR="0062573C" w:rsidRPr="00967C61">
        <w:rPr>
          <w:rFonts w:ascii="Times New Roman" w:eastAsia="Times New Roman" w:hAnsi="Times New Roman" w:cs="Times New Roman"/>
          <w:sz w:val="24"/>
          <w:szCs w:val="24"/>
        </w:rPr>
        <w:t>i.e.</w:t>
      </w:r>
      <w:r w:rsidR="0062573C" w:rsidRPr="004C20BC">
        <w:rPr>
          <w:rFonts w:ascii="Times New Roman" w:eastAsia="Times New Roman" w:hAnsi="Times New Roman" w:cs="Times New Roman"/>
          <w:sz w:val="24"/>
          <w:szCs w:val="24"/>
        </w:rPr>
        <w:t>, microorganisms associated with organisms such as humans, mice</w:t>
      </w:r>
      <w:r w:rsidR="007F3037" w:rsidRPr="004C20BC">
        <w:rPr>
          <w:rFonts w:ascii="Times New Roman" w:eastAsia="Times New Roman" w:hAnsi="Times New Roman" w:cs="Times New Roman"/>
          <w:sz w:val="24"/>
          <w:szCs w:val="24"/>
        </w:rPr>
        <w:t>,</w:t>
      </w:r>
      <w:r w:rsidR="0062573C" w:rsidRPr="004C20BC">
        <w:rPr>
          <w:rFonts w:ascii="Times New Roman" w:eastAsia="Times New Roman" w:hAnsi="Times New Roman" w:cs="Times New Roman"/>
          <w:sz w:val="24"/>
          <w:szCs w:val="24"/>
        </w:rPr>
        <w:t xml:space="preserve"> </w:t>
      </w:r>
      <w:r w:rsidR="0062573C" w:rsidRPr="004C20BC">
        <w:rPr>
          <w:rFonts w:ascii="Times New Roman" w:eastAsia="Times New Roman" w:hAnsi="Times New Roman" w:cs="Times New Roman"/>
          <w:noProof/>
          <w:sz w:val="24"/>
          <w:szCs w:val="24"/>
        </w:rPr>
        <w:t>and</w:t>
      </w:r>
      <w:r w:rsidR="0062573C" w:rsidRPr="004C20BC">
        <w:rPr>
          <w:rFonts w:ascii="Times New Roman" w:eastAsia="Times New Roman" w:hAnsi="Times New Roman" w:cs="Times New Roman"/>
          <w:sz w:val="24"/>
          <w:szCs w:val="24"/>
        </w:rPr>
        <w:t xml:space="preserve"> rats), this manuscript also highlights study design</w:t>
      </w:r>
      <w:r w:rsidR="00210B86">
        <w:rPr>
          <w:rFonts w:ascii="Times New Roman" w:eastAsia="Times New Roman" w:hAnsi="Times New Roman" w:cs="Times New Roman"/>
          <w:sz w:val="24"/>
          <w:szCs w:val="24"/>
        </w:rPr>
        <w:t>s</w:t>
      </w:r>
      <w:r w:rsidR="0062573C" w:rsidRPr="004C20BC">
        <w:rPr>
          <w:rFonts w:ascii="Times New Roman" w:eastAsia="Times New Roman" w:hAnsi="Times New Roman" w:cs="Times New Roman"/>
          <w:sz w:val="24"/>
          <w:szCs w:val="24"/>
        </w:rPr>
        <w:t xml:space="preserve"> and methods for microbiome analysis</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62573C" w:rsidRPr="004C20BC">
        <w:rPr>
          <w:rFonts w:ascii="Times New Roman" w:eastAsia="Times New Roman" w:hAnsi="Times New Roman" w:cs="Times New Roman"/>
          <w:sz w:val="24"/>
          <w:szCs w:val="24"/>
        </w:rPr>
        <w:t xml:space="preserve">Exemplars </w:t>
      </w:r>
      <w:r w:rsidR="00210B86" w:rsidRPr="004C20BC">
        <w:rPr>
          <w:rFonts w:ascii="Times New Roman" w:eastAsia="Times New Roman" w:hAnsi="Times New Roman" w:cs="Times New Roman"/>
          <w:sz w:val="24"/>
          <w:szCs w:val="24"/>
        </w:rPr>
        <w:t>are presented</w:t>
      </w:r>
      <w:r w:rsidR="00210B86">
        <w:rPr>
          <w:rFonts w:ascii="Times New Roman" w:eastAsia="Times New Roman" w:hAnsi="Times New Roman" w:cs="Times New Roman"/>
          <w:sz w:val="24"/>
          <w:szCs w:val="24"/>
        </w:rPr>
        <w:t xml:space="preserve"> fr</w:t>
      </w:r>
      <w:r w:rsidR="0062573C" w:rsidRPr="004C20BC">
        <w:rPr>
          <w:rFonts w:ascii="Times New Roman" w:eastAsia="Times New Roman" w:hAnsi="Times New Roman" w:cs="Times New Roman"/>
          <w:sz w:val="24"/>
          <w:szCs w:val="24"/>
        </w:rPr>
        <w:t>o</w:t>
      </w:r>
      <w:r w:rsidR="00210B86">
        <w:rPr>
          <w:rFonts w:ascii="Times New Roman" w:eastAsia="Times New Roman" w:hAnsi="Times New Roman" w:cs="Times New Roman"/>
          <w:sz w:val="24"/>
          <w:szCs w:val="24"/>
        </w:rPr>
        <w:t>m</w:t>
      </w:r>
      <w:r w:rsidR="0062573C" w:rsidRPr="004C20BC">
        <w:rPr>
          <w:rFonts w:ascii="Times New Roman" w:eastAsia="Times New Roman" w:hAnsi="Times New Roman" w:cs="Times New Roman"/>
          <w:sz w:val="24"/>
          <w:szCs w:val="24"/>
        </w:rPr>
        <w:t xml:space="preserve"> </w:t>
      </w:r>
      <w:r w:rsidR="00210B86">
        <w:rPr>
          <w:rFonts w:ascii="Times New Roman" w:eastAsia="Times New Roman" w:hAnsi="Times New Roman" w:cs="Times New Roman"/>
          <w:sz w:val="24"/>
          <w:szCs w:val="24"/>
        </w:rPr>
        <w:t>n</w:t>
      </w:r>
      <w:r w:rsidR="0062573C" w:rsidRPr="004C20BC">
        <w:rPr>
          <w:rFonts w:ascii="Times New Roman" w:eastAsia="Times New Roman" w:hAnsi="Times New Roman" w:cs="Times New Roman"/>
          <w:sz w:val="24"/>
          <w:szCs w:val="24"/>
        </w:rPr>
        <w:t xml:space="preserve">urse </w:t>
      </w:r>
      <w:r w:rsidR="00210B86">
        <w:rPr>
          <w:rFonts w:ascii="Times New Roman" w:eastAsia="Times New Roman" w:hAnsi="Times New Roman" w:cs="Times New Roman"/>
          <w:sz w:val="24"/>
          <w:szCs w:val="24"/>
        </w:rPr>
        <w:t>s</w:t>
      </w:r>
      <w:r w:rsidR="0062573C" w:rsidRPr="004C20BC">
        <w:rPr>
          <w:rFonts w:ascii="Times New Roman" w:eastAsia="Times New Roman" w:hAnsi="Times New Roman" w:cs="Times New Roman"/>
          <w:sz w:val="24"/>
          <w:szCs w:val="24"/>
        </w:rPr>
        <w:t xml:space="preserve">cientists who have </w:t>
      </w:r>
      <w:r w:rsidR="00210B86">
        <w:rPr>
          <w:rFonts w:ascii="Times New Roman" w:eastAsia="Times New Roman" w:hAnsi="Times New Roman" w:cs="Times New Roman"/>
          <w:sz w:val="24"/>
          <w:szCs w:val="24"/>
        </w:rPr>
        <w:t xml:space="preserve">incorporated </w:t>
      </w:r>
      <w:r w:rsidR="0062573C" w:rsidRPr="004C20BC">
        <w:rPr>
          <w:rFonts w:ascii="Times New Roman" w:eastAsia="Times New Roman" w:hAnsi="Times New Roman" w:cs="Times New Roman"/>
          <w:sz w:val="24"/>
          <w:szCs w:val="24"/>
        </w:rPr>
        <w:t>microbiome methods into their program of research</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62573C" w:rsidRPr="004C20BC">
        <w:rPr>
          <w:rFonts w:ascii="Times New Roman" w:eastAsia="Times New Roman" w:hAnsi="Times New Roman" w:cs="Times New Roman"/>
          <w:sz w:val="24"/>
          <w:szCs w:val="24"/>
        </w:rPr>
        <w:t xml:space="preserve">This review is intended to be a resource to guide nursing-focused microbiome research and highlight how </w:t>
      </w:r>
      <w:r w:rsidR="0062573C" w:rsidRPr="004C20BC">
        <w:rPr>
          <w:rFonts w:ascii="Times New Roman" w:eastAsia="Times New Roman" w:hAnsi="Times New Roman" w:cs="Times New Roman"/>
          <w:noProof/>
          <w:sz w:val="24"/>
          <w:szCs w:val="24"/>
        </w:rPr>
        <w:t>study</w:t>
      </w:r>
      <w:r w:rsidR="0062573C" w:rsidRPr="004C20BC">
        <w:rPr>
          <w:rFonts w:ascii="Times New Roman" w:eastAsia="Times New Roman" w:hAnsi="Times New Roman" w:cs="Times New Roman"/>
          <w:sz w:val="24"/>
          <w:szCs w:val="24"/>
        </w:rPr>
        <w:t xml:space="preserve"> of the microbiome can be incorporated to answer research questions. </w:t>
      </w:r>
    </w:p>
    <w:p w14:paraId="53207A2F" w14:textId="77777777" w:rsidR="003F59A6" w:rsidRPr="004C20BC" w:rsidRDefault="003F59A6" w:rsidP="0062573C">
      <w:pPr>
        <w:spacing w:line="480" w:lineRule="auto"/>
        <w:rPr>
          <w:rFonts w:ascii="Times New Roman" w:eastAsia="Times New Roman" w:hAnsi="Times New Roman" w:cs="Times New Roman"/>
          <w:sz w:val="24"/>
          <w:szCs w:val="24"/>
        </w:rPr>
      </w:pPr>
    </w:p>
    <w:p w14:paraId="4E91FF21" w14:textId="13FC5A4A" w:rsidR="0062573C" w:rsidRPr="004C20BC" w:rsidRDefault="0062573C" w:rsidP="00BF0230">
      <w:pPr>
        <w:spacing w:line="480" w:lineRule="auto"/>
        <w:outlineLvl w:val="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Keywords: microbiome, research methods, genetics</w:t>
      </w:r>
    </w:p>
    <w:p w14:paraId="54DBD474" w14:textId="77777777" w:rsidR="00743DB7" w:rsidRDefault="00743D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8EB4B6" w14:textId="5DAFCC3A" w:rsidR="00F40AFC" w:rsidRPr="004C20BC" w:rsidRDefault="00F40AFC" w:rsidP="00967C61">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lastRenderedPageBreak/>
        <w:t xml:space="preserve">Nurse </w:t>
      </w:r>
      <w:r w:rsidR="00210B86">
        <w:rPr>
          <w:rFonts w:ascii="Times New Roman" w:eastAsia="Times New Roman" w:hAnsi="Times New Roman" w:cs="Times New Roman"/>
          <w:sz w:val="24"/>
          <w:szCs w:val="24"/>
        </w:rPr>
        <w:t>s</w:t>
      </w:r>
      <w:r w:rsidRPr="004C20BC">
        <w:rPr>
          <w:rFonts w:ascii="Times New Roman" w:eastAsia="Times New Roman" w:hAnsi="Times New Roman" w:cs="Times New Roman"/>
          <w:sz w:val="24"/>
          <w:szCs w:val="24"/>
        </w:rPr>
        <w:t xml:space="preserve">cientists have emerged as leaders in the effort to </w:t>
      </w:r>
      <w:r w:rsidR="00623B4E">
        <w:rPr>
          <w:rFonts w:ascii="Times New Roman" w:eastAsia="Times New Roman" w:hAnsi="Times New Roman" w:cs="Times New Roman"/>
          <w:sz w:val="24"/>
          <w:szCs w:val="24"/>
        </w:rPr>
        <w:t xml:space="preserve">better </w:t>
      </w:r>
      <w:r w:rsidRPr="004C20BC">
        <w:rPr>
          <w:rFonts w:ascii="Times New Roman" w:eastAsia="Times New Roman" w:hAnsi="Times New Roman" w:cs="Times New Roman"/>
          <w:sz w:val="24"/>
          <w:szCs w:val="24"/>
        </w:rPr>
        <w:t xml:space="preserve">understand the complex relationships </w:t>
      </w:r>
      <w:r w:rsidR="001444B8" w:rsidRPr="004C20BC">
        <w:rPr>
          <w:rFonts w:ascii="Times New Roman" w:eastAsia="Times New Roman" w:hAnsi="Times New Roman" w:cs="Times New Roman"/>
          <w:sz w:val="24"/>
          <w:szCs w:val="24"/>
        </w:rPr>
        <w:t>among</w:t>
      </w:r>
      <w:r w:rsidRPr="004C20BC">
        <w:rPr>
          <w:rFonts w:ascii="Times New Roman" w:eastAsia="Times New Roman" w:hAnsi="Times New Roman" w:cs="Times New Roman"/>
          <w:sz w:val="24"/>
          <w:szCs w:val="24"/>
        </w:rPr>
        <w:t xml:space="preserve"> the human genome, the genomes of the microbiota, </w:t>
      </w:r>
      <w:r w:rsidR="001444B8" w:rsidRPr="004C20BC">
        <w:rPr>
          <w:rFonts w:ascii="Times New Roman" w:eastAsia="Times New Roman" w:hAnsi="Times New Roman" w:cs="Times New Roman"/>
          <w:sz w:val="24"/>
          <w:szCs w:val="24"/>
        </w:rPr>
        <w:t xml:space="preserve">and </w:t>
      </w:r>
      <w:r w:rsidRPr="004C20BC">
        <w:rPr>
          <w:rFonts w:ascii="Times New Roman" w:eastAsia="Times New Roman" w:hAnsi="Times New Roman" w:cs="Times New Roman"/>
          <w:sz w:val="24"/>
          <w:szCs w:val="24"/>
        </w:rPr>
        <w:t xml:space="preserve">the multitude of environmental forces that shape </w:t>
      </w:r>
      <w:r w:rsidR="00434F33" w:rsidRPr="004C20BC">
        <w:rPr>
          <w:rFonts w:ascii="Times New Roman" w:eastAsia="Times New Roman" w:hAnsi="Times New Roman" w:cs="Times New Roman"/>
          <w:sz w:val="24"/>
          <w:szCs w:val="24"/>
        </w:rPr>
        <w:t>superorganism</w:t>
      </w:r>
      <w:r w:rsidR="008E381C" w:rsidRPr="004C20BC">
        <w:rPr>
          <w:rFonts w:ascii="Times New Roman" w:eastAsia="Times New Roman" w:hAnsi="Times New Roman" w:cs="Times New Roman"/>
          <w:sz w:val="24"/>
          <w:szCs w:val="24"/>
        </w:rPr>
        <w:t>s</w:t>
      </w:r>
      <w:r w:rsidRPr="004C20BC">
        <w:rPr>
          <w:rFonts w:ascii="Times New Roman" w:eastAsia="Times New Roman" w:hAnsi="Times New Roman" w:cs="Times New Roman"/>
          <w:sz w:val="24"/>
          <w:szCs w:val="24"/>
        </w:rPr>
        <w:t xml:space="preserve"> and contribute to health outcomes</w:t>
      </w:r>
      <w:r w:rsidR="00F06DD2">
        <w:rPr>
          <w:rFonts w:ascii="Times New Roman" w:eastAsia="Times New Roman" w:hAnsi="Times New Roman" w:cs="Times New Roman"/>
          <w:sz w:val="24"/>
          <w:szCs w:val="24"/>
        </w:rPr>
        <w:t xml:space="preserve"> </w:t>
      </w:r>
      <w:r w:rsidR="0038749C">
        <w:rPr>
          <w:rFonts w:ascii="Times New Roman" w:eastAsia="Times New Roman" w:hAnsi="Times New Roman" w:cs="Times New Roman"/>
          <w:noProof/>
          <w:sz w:val="24"/>
          <w:szCs w:val="24"/>
        </w:rPr>
        <w:t>(Brooks et al., 2017; Cong et al., 2017; Edwards, Cunningham, Dunlop, &amp; Corwin, 2017; Fourie et al., 2016)</w:t>
      </w:r>
      <w:r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Nurses offer a unique holistic perspective on patient health that spans areas as diverse as midwifery, cardiology, nephrology, neurology, and psychology.</w:t>
      </w:r>
      <w:r w:rsidR="003F14B1">
        <w:rPr>
          <w:rFonts w:ascii="Times New Roman" w:eastAsia="Times New Roman" w:hAnsi="Times New Roman" w:cs="Times New Roman"/>
          <w:sz w:val="24"/>
          <w:szCs w:val="24"/>
        </w:rPr>
        <w:t xml:space="preserve"> </w:t>
      </w:r>
      <w:r w:rsidR="00623B4E">
        <w:rPr>
          <w:rFonts w:ascii="Times New Roman" w:eastAsia="Times New Roman" w:hAnsi="Times New Roman" w:cs="Times New Roman"/>
          <w:sz w:val="24"/>
          <w:szCs w:val="24"/>
        </w:rPr>
        <w:t>They</w:t>
      </w:r>
      <w:r w:rsidR="00623B4E" w:rsidRPr="004C20BC">
        <w:rPr>
          <w:rFonts w:ascii="Times New Roman" w:eastAsia="Times New Roman" w:hAnsi="Times New Roman" w:cs="Times New Roman"/>
          <w:sz w:val="24"/>
          <w:szCs w:val="24"/>
        </w:rPr>
        <w:t xml:space="preserve"> </w:t>
      </w:r>
      <w:r w:rsidR="008A575F" w:rsidRPr="004C20BC">
        <w:rPr>
          <w:rFonts w:ascii="Times New Roman" w:eastAsia="Times New Roman" w:hAnsi="Times New Roman" w:cs="Times New Roman"/>
          <w:sz w:val="24"/>
          <w:szCs w:val="24"/>
        </w:rPr>
        <w:t xml:space="preserve">are </w:t>
      </w:r>
      <w:r w:rsidR="00623B4E">
        <w:rPr>
          <w:rFonts w:ascii="Times New Roman" w:eastAsia="Times New Roman" w:hAnsi="Times New Roman" w:cs="Times New Roman"/>
          <w:sz w:val="24"/>
          <w:szCs w:val="24"/>
        </w:rPr>
        <w:t xml:space="preserve">thus </w:t>
      </w:r>
      <w:r w:rsidR="008A575F" w:rsidRPr="004C20BC">
        <w:rPr>
          <w:rFonts w:ascii="Times New Roman" w:eastAsia="Times New Roman" w:hAnsi="Times New Roman" w:cs="Times New Roman"/>
          <w:sz w:val="24"/>
          <w:szCs w:val="24"/>
        </w:rPr>
        <w:t xml:space="preserve">well suited to join the </w:t>
      </w:r>
      <w:r w:rsidR="00160096">
        <w:rPr>
          <w:rFonts w:ascii="Times New Roman" w:eastAsia="Times New Roman" w:hAnsi="Times New Roman" w:cs="Times New Roman"/>
          <w:sz w:val="24"/>
          <w:szCs w:val="24"/>
        </w:rPr>
        <w:t xml:space="preserve">microbiome research </w:t>
      </w:r>
      <w:r w:rsidR="008A575F" w:rsidRPr="004C20BC">
        <w:rPr>
          <w:rFonts w:ascii="Times New Roman" w:eastAsia="Times New Roman" w:hAnsi="Times New Roman" w:cs="Times New Roman"/>
          <w:sz w:val="24"/>
          <w:szCs w:val="24"/>
        </w:rPr>
        <w:t xml:space="preserve">revolution but require additional training to increase </w:t>
      </w:r>
      <w:r w:rsidR="001444B8" w:rsidRPr="004C20BC">
        <w:rPr>
          <w:rFonts w:ascii="Times New Roman" w:eastAsia="Times New Roman" w:hAnsi="Times New Roman" w:cs="Times New Roman"/>
          <w:sz w:val="24"/>
          <w:szCs w:val="24"/>
        </w:rPr>
        <w:t xml:space="preserve">their </w:t>
      </w:r>
      <w:r w:rsidR="00623B4E">
        <w:rPr>
          <w:rFonts w:ascii="Times New Roman" w:eastAsia="Times New Roman" w:hAnsi="Times New Roman" w:cs="Times New Roman"/>
          <w:sz w:val="24"/>
          <w:szCs w:val="24"/>
        </w:rPr>
        <w:t>“</w:t>
      </w:r>
      <w:r w:rsidR="009A02B0">
        <w:rPr>
          <w:rFonts w:ascii="Times New Roman" w:eastAsia="Times New Roman" w:hAnsi="Times New Roman" w:cs="Times New Roman"/>
          <w:sz w:val="24"/>
          <w:szCs w:val="24"/>
        </w:rPr>
        <w:t>-</w:t>
      </w:r>
      <w:r w:rsidR="008A575F" w:rsidRPr="004C20BC">
        <w:rPr>
          <w:rFonts w:ascii="Times New Roman" w:eastAsia="Times New Roman" w:hAnsi="Times New Roman" w:cs="Times New Roman"/>
          <w:sz w:val="24"/>
          <w:szCs w:val="24"/>
        </w:rPr>
        <w:t>omics</w:t>
      </w:r>
      <w:r w:rsidR="00623B4E">
        <w:rPr>
          <w:rFonts w:ascii="Times New Roman" w:eastAsia="Times New Roman" w:hAnsi="Times New Roman" w:cs="Times New Roman"/>
          <w:sz w:val="24"/>
          <w:szCs w:val="24"/>
        </w:rPr>
        <w:t>”</w:t>
      </w:r>
      <w:r w:rsidR="008A575F" w:rsidRPr="004C20BC">
        <w:rPr>
          <w:rFonts w:ascii="Times New Roman" w:eastAsia="Times New Roman" w:hAnsi="Times New Roman" w:cs="Times New Roman"/>
          <w:sz w:val="24"/>
          <w:szCs w:val="24"/>
        </w:rPr>
        <w:t xml:space="preserve"> literacy.</w:t>
      </w:r>
      <w:r w:rsidR="003F14B1">
        <w:rPr>
          <w:rFonts w:ascii="Times New Roman" w:eastAsia="Times New Roman" w:hAnsi="Times New Roman" w:cs="Times New Roman"/>
          <w:sz w:val="24"/>
          <w:szCs w:val="24"/>
        </w:rPr>
        <w:t xml:space="preserve"> </w:t>
      </w:r>
    </w:p>
    <w:p w14:paraId="35B55B81" w14:textId="4C643960" w:rsidR="00CD63C1" w:rsidRPr="004C20BC" w:rsidRDefault="00DE4954" w:rsidP="00967C61">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 xml:space="preserve">Over the </w:t>
      </w:r>
      <w:r w:rsidR="00AB0DCA">
        <w:rPr>
          <w:rFonts w:ascii="Times New Roman" w:eastAsia="Times New Roman" w:hAnsi="Times New Roman" w:cs="Times New Roman"/>
          <w:sz w:val="24"/>
          <w:szCs w:val="24"/>
        </w:rPr>
        <w:t xml:space="preserve">past </w:t>
      </w:r>
      <w:r w:rsidR="00D77799">
        <w:rPr>
          <w:rFonts w:ascii="Times New Roman" w:eastAsia="Times New Roman" w:hAnsi="Times New Roman" w:cs="Times New Roman"/>
          <w:sz w:val="24"/>
          <w:szCs w:val="24"/>
        </w:rPr>
        <w:t>several</w:t>
      </w:r>
      <w:r w:rsidR="00AB0DCA" w:rsidRPr="004C20BC">
        <w:rPr>
          <w:rFonts w:ascii="Times New Roman" w:eastAsia="Times New Roman" w:hAnsi="Times New Roman" w:cs="Times New Roman"/>
          <w:sz w:val="24"/>
          <w:szCs w:val="24"/>
        </w:rPr>
        <w:t xml:space="preserve"> </w:t>
      </w:r>
      <w:r w:rsidRPr="004C20BC">
        <w:rPr>
          <w:rFonts w:ascii="Times New Roman" w:eastAsia="Times New Roman" w:hAnsi="Times New Roman" w:cs="Times New Roman"/>
          <w:noProof/>
          <w:sz w:val="24"/>
          <w:szCs w:val="24"/>
        </w:rPr>
        <w:t>decade</w:t>
      </w:r>
      <w:r w:rsidR="00AB0DCA">
        <w:rPr>
          <w:rFonts w:ascii="Times New Roman" w:eastAsia="Times New Roman" w:hAnsi="Times New Roman" w:cs="Times New Roman"/>
          <w:noProof/>
          <w:sz w:val="24"/>
          <w:szCs w:val="24"/>
        </w:rPr>
        <w:t>s</w:t>
      </w:r>
      <w:r w:rsidR="00434F33" w:rsidRPr="004C20BC">
        <w:rPr>
          <w:rFonts w:ascii="Times New Roman" w:eastAsia="Times New Roman" w:hAnsi="Times New Roman" w:cs="Times New Roman"/>
          <w:noProof/>
          <w:sz w:val="24"/>
          <w:szCs w:val="24"/>
        </w:rPr>
        <w:t>,</w:t>
      </w:r>
      <w:r w:rsidRPr="004C20BC">
        <w:rPr>
          <w:rFonts w:ascii="Times New Roman" w:eastAsia="Times New Roman" w:hAnsi="Times New Roman" w:cs="Times New Roman"/>
          <w:sz w:val="24"/>
          <w:szCs w:val="24"/>
        </w:rPr>
        <w:t xml:space="preserve"> </w:t>
      </w:r>
      <w:r w:rsidR="006813AC">
        <w:rPr>
          <w:rFonts w:ascii="Times New Roman" w:eastAsia="Times New Roman" w:hAnsi="Times New Roman" w:cs="Times New Roman"/>
          <w:sz w:val="24"/>
          <w:szCs w:val="24"/>
        </w:rPr>
        <w:t>authors have</w:t>
      </w:r>
      <w:r w:rsidRPr="004C20BC">
        <w:rPr>
          <w:rFonts w:ascii="Times New Roman" w:eastAsia="Times New Roman" w:hAnsi="Times New Roman" w:cs="Times New Roman"/>
          <w:sz w:val="24"/>
          <w:szCs w:val="24"/>
        </w:rPr>
        <w:t xml:space="preserve"> widely cited </w:t>
      </w:r>
      <w:r w:rsidR="006813AC">
        <w:rPr>
          <w:rFonts w:ascii="Times New Roman" w:eastAsia="Times New Roman" w:hAnsi="Times New Roman" w:cs="Times New Roman"/>
          <w:sz w:val="24"/>
          <w:szCs w:val="24"/>
        </w:rPr>
        <w:t xml:space="preserve">the idea </w:t>
      </w:r>
      <w:r w:rsidRPr="004C20BC">
        <w:rPr>
          <w:rFonts w:ascii="Times New Roman" w:eastAsia="Times New Roman" w:hAnsi="Times New Roman" w:cs="Times New Roman"/>
          <w:sz w:val="24"/>
          <w:szCs w:val="24"/>
        </w:rPr>
        <w:t>that the number of microbial cells in the human body outnumber our mammalian</w:t>
      </w:r>
      <w:r w:rsidR="003129C4" w:rsidRPr="004C20BC">
        <w:rPr>
          <w:rFonts w:ascii="Times New Roman" w:eastAsia="Times New Roman" w:hAnsi="Times New Roman" w:cs="Times New Roman"/>
          <w:sz w:val="24"/>
          <w:szCs w:val="24"/>
        </w:rPr>
        <w:t xml:space="preserve"> cells by a ratio of 10:1</w:t>
      </w:r>
      <w:r w:rsidR="00841436">
        <w:rPr>
          <w:rFonts w:ascii="Times New Roman" w:eastAsia="Times New Roman" w:hAnsi="Times New Roman" w:cs="Times New Roman"/>
          <w:sz w:val="24"/>
          <w:szCs w:val="24"/>
        </w:rPr>
        <w:t xml:space="preserve"> </w:t>
      </w:r>
      <w:r w:rsidR="00EE62F8" w:rsidRPr="004C20BC">
        <w:rPr>
          <w:rFonts w:ascii="Times New Roman" w:eastAsia="Times New Roman" w:hAnsi="Times New Roman" w:cs="Times New Roman"/>
          <w:noProof/>
          <w:sz w:val="24"/>
          <w:szCs w:val="24"/>
        </w:rPr>
        <w:t>(Goodman &amp; Gordon, 2010; Luckey, 1972; Savage, 1977)</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Given that there are 37.2 trillion mammalian cells in the human body</w:t>
      </w:r>
      <w:r w:rsidR="001444B8" w:rsidRPr="004C20BC">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 this </w:t>
      </w:r>
      <w:r w:rsidR="00E274E0">
        <w:rPr>
          <w:rFonts w:ascii="Times New Roman" w:eastAsia="Times New Roman" w:hAnsi="Times New Roman" w:cs="Times New Roman"/>
          <w:sz w:val="24"/>
          <w:szCs w:val="24"/>
        </w:rPr>
        <w:t>idea</w:t>
      </w:r>
      <w:r w:rsidR="00E274E0" w:rsidRPr="004C20BC">
        <w:rPr>
          <w:rFonts w:ascii="Times New Roman" w:eastAsia="Times New Roman" w:hAnsi="Times New Roman" w:cs="Times New Roman"/>
          <w:sz w:val="24"/>
          <w:szCs w:val="24"/>
        </w:rPr>
        <w:t xml:space="preserve"> </w:t>
      </w:r>
      <w:r w:rsidR="00210B86" w:rsidRPr="009C66EC">
        <w:rPr>
          <w:rFonts w:ascii="Times New Roman" w:eastAsia="Times New Roman" w:hAnsi="Times New Roman" w:cs="Times New Roman"/>
          <w:sz w:val="24"/>
          <w:szCs w:val="24"/>
        </w:rPr>
        <w:t>suggest</w:t>
      </w:r>
      <w:r w:rsidR="00E274E0">
        <w:rPr>
          <w:rFonts w:ascii="Times New Roman" w:eastAsia="Times New Roman" w:hAnsi="Times New Roman" w:cs="Times New Roman"/>
          <w:sz w:val="24"/>
          <w:szCs w:val="24"/>
        </w:rPr>
        <w:t>s</w:t>
      </w:r>
      <w:r w:rsidR="00210B86" w:rsidRPr="009C66EC">
        <w:rPr>
          <w:rFonts w:ascii="Times New Roman" w:eastAsia="Times New Roman" w:hAnsi="Times New Roman" w:cs="Times New Roman"/>
          <w:sz w:val="24"/>
          <w:szCs w:val="24"/>
        </w:rPr>
        <w:t xml:space="preserve"> a</w:t>
      </w:r>
      <w:r w:rsidR="00210B86" w:rsidRPr="00B01FB7">
        <w:rPr>
          <w:rFonts w:ascii="Times New Roman" w:eastAsia="Times New Roman" w:hAnsi="Times New Roman" w:cs="Times New Roman"/>
          <w:sz w:val="24"/>
          <w:szCs w:val="24"/>
        </w:rPr>
        <w:t>n enormous</w:t>
      </w:r>
      <w:r w:rsidR="00210B86" w:rsidRPr="00B120A6">
        <w:rPr>
          <w:rFonts w:ascii="Times New Roman" w:eastAsia="Times New Roman" w:hAnsi="Times New Roman" w:cs="Times New Roman"/>
          <w:sz w:val="24"/>
          <w:szCs w:val="24"/>
        </w:rPr>
        <w:t xml:space="preserve"> pool of cells whose effects on he</w:t>
      </w:r>
      <w:r w:rsidR="00210B86" w:rsidRPr="00967C61">
        <w:rPr>
          <w:rFonts w:ascii="Times New Roman" w:eastAsia="Times New Roman" w:hAnsi="Times New Roman" w:cs="Times New Roman"/>
          <w:sz w:val="24"/>
          <w:szCs w:val="24"/>
        </w:rPr>
        <w:t xml:space="preserve">alth </w:t>
      </w:r>
      <w:r w:rsidR="00E274E0">
        <w:rPr>
          <w:rFonts w:ascii="Times New Roman" w:eastAsia="Times New Roman" w:hAnsi="Times New Roman" w:cs="Times New Roman"/>
          <w:sz w:val="24"/>
          <w:szCs w:val="24"/>
        </w:rPr>
        <w:t>were open to</w:t>
      </w:r>
      <w:r w:rsidR="00210B86" w:rsidRPr="00967C61">
        <w:rPr>
          <w:rFonts w:ascii="Times New Roman" w:eastAsia="Times New Roman" w:hAnsi="Times New Roman" w:cs="Times New Roman"/>
          <w:sz w:val="24"/>
          <w:szCs w:val="24"/>
        </w:rPr>
        <w:t xml:space="preserve"> stud</w:t>
      </w:r>
      <w:r w:rsidR="00E274E0">
        <w:rPr>
          <w:rFonts w:ascii="Times New Roman" w:eastAsia="Times New Roman" w:hAnsi="Times New Roman" w:cs="Times New Roman"/>
          <w:sz w:val="24"/>
          <w:szCs w:val="24"/>
        </w:rPr>
        <w:t>y</w:t>
      </w:r>
      <w:r w:rsidR="00210B86" w:rsidRPr="009C66EC">
        <w:rPr>
          <w:rFonts w:ascii="Times New Roman" w:eastAsia="Times New Roman" w:hAnsi="Times New Roman" w:cs="Times New Roman"/>
          <w:sz w:val="24"/>
          <w:szCs w:val="24"/>
        </w:rPr>
        <w:t xml:space="preserve"> </w:t>
      </w:r>
      <w:r w:rsidR="000C2C18" w:rsidRPr="00B01FB7">
        <w:rPr>
          <w:rFonts w:ascii="Times New Roman" w:eastAsia="Times New Roman" w:hAnsi="Times New Roman" w:cs="Times New Roman"/>
          <w:noProof/>
          <w:sz w:val="24"/>
          <w:szCs w:val="24"/>
        </w:rPr>
        <w:t>(Bianconi et al., 2013)</w:t>
      </w:r>
      <w:r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640766">
        <w:rPr>
          <w:rFonts w:ascii="Times New Roman" w:eastAsia="Times New Roman" w:hAnsi="Times New Roman" w:cs="Times New Roman"/>
          <w:sz w:val="24"/>
          <w:szCs w:val="24"/>
        </w:rPr>
        <w:t>Although m</w:t>
      </w:r>
      <w:r w:rsidRPr="004C20BC">
        <w:rPr>
          <w:rFonts w:ascii="Times New Roman" w:eastAsia="Times New Roman" w:hAnsi="Times New Roman" w:cs="Times New Roman"/>
          <w:sz w:val="24"/>
          <w:szCs w:val="24"/>
        </w:rPr>
        <w:t xml:space="preserve">ore recent calculations put the number closer to 1.3 </w:t>
      </w:r>
      <w:r w:rsidRPr="00160096">
        <w:rPr>
          <w:rFonts w:ascii="Times New Roman" w:eastAsia="Times New Roman" w:hAnsi="Times New Roman" w:cs="Times New Roman"/>
          <w:sz w:val="24"/>
          <w:szCs w:val="24"/>
        </w:rPr>
        <w:t>microbial c</w:t>
      </w:r>
      <w:r w:rsidR="000C2C18" w:rsidRPr="00160096">
        <w:rPr>
          <w:rFonts w:ascii="Times New Roman" w:eastAsia="Times New Roman" w:hAnsi="Times New Roman" w:cs="Times New Roman"/>
          <w:sz w:val="24"/>
          <w:szCs w:val="24"/>
        </w:rPr>
        <w:t>ells per 1 mammalian cell</w:t>
      </w:r>
      <w:r w:rsidR="000C2C18" w:rsidRPr="004C20BC">
        <w:rPr>
          <w:rFonts w:ascii="Times New Roman" w:eastAsia="Times New Roman" w:hAnsi="Times New Roman" w:cs="Times New Roman"/>
          <w:sz w:val="24"/>
          <w:szCs w:val="24"/>
        </w:rPr>
        <w:t xml:space="preserve"> </w:t>
      </w:r>
      <w:r w:rsidR="000C2C18" w:rsidRPr="004C20BC">
        <w:rPr>
          <w:rFonts w:ascii="Times New Roman" w:eastAsia="Times New Roman" w:hAnsi="Times New Roman" w:cs="Times New Roman"/>
          <w:noProof/>
          <w:sz w:val="24"/>
          <w:szCs w:val="24"/>
        </w:rPr>
        <w:t>(Sender, Fuchs, &amp; Milo, 2016)</w:t>
      </w:r>
      <w:r w:rsidR="00640766">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640766">
        <w:rPr>
          <w:rFonts w:ascii="Times New Roman" w:eastAsia="Times New Roman" w:hAnsi="Times New Roman" w:cs="Times New Roman"/>
          <w:sz w:val="24"/>
          <w:szCs w:val="24"/>
        </w:rPr>
        <w:t>e</w:t>
      </w:r>
      <w:r w:rsidR="00640766" w:rsidRPr="004C20BC">
        <w:rPr>
          <w:rFonts w:ascii="Times New Roman" w:eastAsia="Times New Roman" w:hAnsi="Times New Roman" w:cs="Times New Roman"/>
          <w:sz w:val="24"/>
          <w:szCs w:val="24"/>
        </w:rPr>
        <w:t xml:space="preserve">ach </w:t>
      </w:r>
      <w:r w:rsidR="0059029D" w:rsidRPr="004C20BC">
        <w:rPr>
          <w:rFonts w:ascii="Times New Roman" w:eastAsia="Times New Roman" w:hAnsi="Times New Roman" w:cs="Times New Roman"/>
          <w:sz w:val="24"/>
          <w:szCs w:val="24"/>
        </w:rPr>
        <w:t>of the thousands of microb</w:t>
      </w:r>
      <w:r w:rsidR="00640766">
        <w:rPr>
          <w:rFonts w:ascii="Times New Roman" w:eastAsia="Times New Roman" w:hAnsi="Times New Roman" w:cs="Times New Roman"/>
          <w:sz w:val="24"/>
          <w:szCs w:val="24"/>
        </w:rPr>
        <w:t>ial strains</w:t>
      </w:r>
      <w:r w:rsidR="0059029D" w:rsidRPr="004C20BC">
        <w:rPr>
          <w:rFonts w:ascii="Times New Roman" w:eastAsia="Times New Roman" w:hAnsi="Times New Roman" w:cs="Times New Roman"/>
          <w:sz w:val="24"/>
          <w:szCs w:val="24"/>
        </w:rPr>
        <w:t xml:space="preserve"> that comprise the microbiome </w:t>
      </w:r>
      <w:r w:rsidR="0059029D" w:rsidRPr="004C20BC">
        <w:rPr>
          <w:rFonts w:ascii="Times New Roman" w:eastAsia="Times New Roman" w:hAnsi="Times New Roman" w:cs="Times New Roman"/>
          <w:noProof/>
          <w:sz w:val="24"/>
          <w:szCs w:val="24"/>
        </w:rPr>
        <w:t>contain</w:t>
      </w:r>
      <w:r w:rsidR="0059029D" w:rsidRPr="004C20BC">
        <w:rPr>
          <w:rFonts w:ascii="Times New Roman" w:eastAsia="Times New Roman" w:hAnsi="Times New Roman" w:cs="Times New Roman"/>
          <w:sz w:val="24"/>
          <w:szCs w:val="24"/>
        </w:rPr>
        <w:t xml:space="preserve"> a unique genome</w:t>
      </w:r>
      <w:r w:rsidR="000C2C18" w:rsidRPr="004C20BC">
        <w:rPr>
          <w:rFonts w:ascii="Times New Roman" w:eastAsia="Times New Roman" w:hAnsi="Times New Roman" w:cs="Times New Roman"/>
          <w:sz w:val="24"/>
          <w:szCs w:val="24"/>
        </w:rPr>
        <w:t>,</w:t>
      </w:r>
      <w:r w:rsidR="00640766">
        <w:rPr>
          <w:rFonts w:ascii="Times New Roman" w:eastAsia="Times New Roman" w:hAnsi="Times New Roman" w:cs="Times New Roman"/>
          <w:sz w:val="24"/>
          <w:szCs w:val="24"/>
        </w:rPr>
        <w:t xml:space="preserve"> and microbial genes </w:t>
      </w:r>
      <w:r w:rsidR="009B7784">
        <w:rPr>
          <w:rFonts w:ascii="Times New Roman" w:eastAsia="Times New Roman" w:hAnsi="Times New Roman" w:cs="Times New Roman"/>
          <w:sz w:val="24"/>
          <w:szCs w:val="24"/>
        </w:rPr>
        <w:t xml:space="preserve">do </w:t>
      </w:r>
      <w:r w:rsidR="00640766">
        <w:rPr>
          <w:rFonts w:ascii="Times New Roman" w:eastAsia="Times New Roman" w:hAnsi="Times New Roman" w:cs="Times New Roman"/>
          <w:sz w:val="24"/>
          <w:szCs w:val="24"/>
        </w:rPr>
        <w:t>vastly outnumber mammalian genes. Furthermore, this vast reservoir of</w:t>
      </w:r>
      <w:r w:rsidR="000C2C18" w:rsidRPr="004C20BC">
        <w:rPr>
          <w:rFonts w:ascii="Times New Roman" w:eastAsia="Times New Roman" w:hAnsi="Times New Roman" w:cs="Times New Roman"/>
          <w:sz w:val="24"/>
          <w:szCs w:val="24"/>
        </w:rPr>
        <w:t xml:space="preserve"> microbial genes play</w:t>
      </w:r>
      <w:r w:rsidR="00640766">
        <w:rPr>
          <w:rFonts w:ascii="Times New Roman" w:eastAsia="Times New Roman" w:hAnsi="Times New Roman" w:cs="Times New Roman"/>
          <w:sz w:val="24"/>
          <w:szCs w:val="24"/>
        </w:rPr>
        <w:t>s</w:t>
      </w:r>
      <w:r w:rsidR="000C2C18" w:rsidRPr="004C20BC">
        <w:rPr>
          <w:rFonts w:ascii="Times New Roman" w:eastAsia="Times New Roman" w:hAnsi="Times New Roman" w:cs="Times New Roman"/>
          <w:sz w:val="24"/>
          <w:szCs w:val="24"/>
        </w:rPr>
        <w:t xml:space="preserve"> a significant role in maintaining </w:t>
      </w:r>
      <w:r w:rsidR="009B7784">
        <w:rPr>
          <w:rFonts w:ascii="Times New Roman" w:eastAsia="Times New Roman" w:hAnsi="Times New Roman" w:cs="Times New Roman"/>
          <w:sz w:val="24"/>
          <w:szCs w:val="24"/>
        </w:rPr>
        <w:t xml:space="preserve">the </w:t>
      </w:r>
      <w:r w:rsidR="000C2C18" w:rsidRPr="004C20BC">
        <w:rPr>
          <w:rFonts w:ascii="Times New Roman" w:eastAsia="Times New Roman" w:hAnsi="Times New Roman" w:cs="Times New Roman"/>
          <w:sz w:val="24"/>
          <w:szCs w:val="24"/>
        </w:rPr>
        <w:t>homeostasis of the host</w:t>
      </w:r>
      <w:r w:rsidR="00AE5C0B" w:rsidRPr="004C20BC">
        <w:rPr>
          <w:rFonts w:ascii="Times New Roman" w:eastAsia="Times New Roman" w:hAnsi="Times New Roman" w:cs="Times New Roman"/>
          <w:sz w:val="24"/>
          <w:szCs w:val="24"/>
        </w:rPr>
        <w:t xml:space="preserve"> </w:t>
      </w:r>
      <w:r w:rsidR="00AE5C0B" w:rsidRPr="004C20BC">
        <w:rPr>
          <w:rFonts w:ascii="Times New Roman" w:eastAsia="Times New Roman" w:hAnsi="Times New Roman" w:cs="Times New Roman"/>
          <w:noProof/>
          <w:sz w:val="24"/>
          <w:szCs w:val="24"/>
        </w:rPr>
        <w:t>(Gilbert et al., 2018; Khanna &amp; Tosh, 2014; Schirmer et al., 2016; Stamper et al., 2016)</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382BA1" w:rsidRPr="004C20BC">
        <w:rPr>
          <w:rFonts w:ascii="Times New Roman" w:eastAsia="Times New Roman" w:hAnsi="Times New Roman" w:cs="Times New Roman"/>
          <w:sz w:val="24"/>
          <w:szCs w:val="24"/>
        </w:rPr>
        <w:t>Microorganisms</w:t>
      </w:r>
      <w:r w:rsidRPr="004C20BC">
        <w:rPr>
          <w:rFonts w:ascii="Times New Roman" w:eastAsia="Times New Roman" w:hAnsi="Times New Roman" w:cs="Times New Roman"/>
          <w:sz w:val="24"/>
          <w:szCs w:val="24"/>
        </w:rPr>
        <w:t xml:space="preserve"> perform</w:t>
      </w:r>
      <w:r w:rsidR="00AE5C0B" w:rsidRPr="004C20BC">
        <w:rPr>
          <w:rFonts w:ascii="Times New Roman" w:eastAsia="Times New Roman" w:hAnsi="Times New Roman" w:cs="Times New Roman"/>
          <w:sz w:val="24"/>
          <w:szCs w:val="24"/>
        </w:rPr>
        <w:t>s</w:t>
      </w:r>
      <w:r w:rsidRPr="004C20BC">
        <w:rPr>
          <w:rFonts w:ascii="Times New Roman" w:eastAsia="Times New Roman" w:hAnsi="Times New Roman" w:cs="Times New Roman"/>
          <w:sz w:val="24"/>
          <w:szCs w:val="24"/>
        </w:rPr>
        <w:t xml:space="preserve"> vital functions</w:t>
      </w:r>
      <w:r w:rsidR="00B10312">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 </w:t>
      </w:r>
      <w:r w:rsidR="00382BA1" w:rsidRPr="004C20BC">
        <w:rPr>
          <w:rFonts w:ascii="Times New Roman" w:eastAsia="Times New Roman" w:hAnsi="Times New Roman" w:cs="Times New Roman"/>
          <w:sz w:val="24"/>
          <w:szCs w:val="24"/>
        </w:rPr>
        <w:t>including (but not limited to)</w:t>
      </w:r>
      <w:r w:rsidRPr="004C20BC">
        <w:rPr>
          <w:rFonts w:ascii="Times New Roman" w:eastAsia="Times New Roman" w:hAnsi="Times New Roman" w:cs="Times New Roman"/>
          <w:sz w:val="24"/>
          <w:szCs w:val="24"/>
        </w:rPr>
        <w:t xml:space="preserve"> de</w:t>
      </w:r>
      <w:r w:rsidR="00E12369" w:rsidRPr="004C20BC">
        <w:rPr>
          <w:rFonts w:ascii="Times New Roman" w:eastAsia="Times New Roman" w:hAnsi="Times New Roman" w:cs="Times New Roman"/>
          <w:sz w:val="24"/>
          <w:szCs w:val="24"/>
        </w:rPr>
        <w:t xml:space="preserve">velopment of the immune system </w:t>
      </w:r>
      <w:r w:rsidR="00392F4B" w:rsidRPr="004C20BC">
        <w:rPr>
          <w:rFonts w:ascii="Times New Roman" w:eastAsia="Times New Roman" w:hAnsi="Times New Roman" w:cs="Times New Roman"/>
          <w:noProof/>
          <w:sz w:val="24"/>
          <w:szCs w:val="24"/>
        </w:rPr>
        <w:t>(Bartman, Chong, &amp; Alegre, 2015; Iebba, Nicoletti, &amp; Schippa, 2012; Wei et al., 2010)</w:t>
      </w:r>
      <w:r w:rsidR="006E42CD">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 metabolism and digestion of food mate</w:t>
      </w:r>
      <w:r w:rsidR="00392F4B" w:rsidRPr="004C20BC">
        <w:rPr>
          <w:rFonts w:ascii="Times New Roman" w:eastAsia="Times New Roman" w:hAnsi="Times New Roman" w:cs="Times New Roman"/>
          <w:sz w:val="24"/>
          <w:szCs w:val="24"/>
        </w:rPr>
        <w:t xml:space="preserve">rials </w:t>
      </w:r>
      <w:r w:rsidR="00392F4B" w:rsidRPr="004C20BC">
        <w:rPr>
          <w:rFonts w:ascii="Times New Roman" w:eastAsia="Times New Roman" w:hAnsi="Times New Roman" w:cs="Times New Roman"/>
          <w:noProof/>
          <w:sz w:val="24"/>
          <w:szCs w:val="24"/>
        </w:rPr>
        <w:t>(David et al., 2014; Kau, Ahern, Griffin, Goodman, &amp; Gordon, 2011; Sonnenburg &amp; Backhed, 2016)</w:t>
      </w:r>
      <w:r w:rsidR="006E42CD">
        <w:rPr>
          <w:rFonts w:ascii="Times New Roman" w:eastAsia="Times New Roman" w:hAnsi="Times New Roman" w:cs="Times New Roman"/>
          <w:sz w:val="24"/>
          <w:szCs w:val="24"/>
        </w:rPr>
        <w:t>,</w:t>
      </w:r>
      <w:r w:rsidR="001444B8" w:rsidRPr="004C20BC">
        <w:rPr>
          <w:rFonts w:ascii="Times New Roman" w:eastAsia="Times New Roman" w:hAnsi="Times New Roman" w:cs="Times New Roman"/>
          <w:sz w:val="24"/>
          <w:szCs w:val="24"/>
        </w:rPr>
        <w:t xml:space="preserve"> and </w:t>
      </w:r>
      <w:r w:rsidR="00392F4B" w:rsidRPr="004C20BC">
        <w:rPr>
          <w:rFonts w:ascii="Times New Roman" w:eastAsia="Times New Roman" w:hAnsi="Times New Roman" w:cs="Times New Roman"/>
          <w:sz w:val="24"/>
          <w:szCs w:val="24"/>
        </w:rPr>
        <w:t xml:space="preserve">synthesis of vitamins, cytokines, and </w:t>
      </w:r>
      <w:r w:rsidR="00392F4B" w:rsidRPr="004C20BC">
        <w:rPr>
          <w:rFonts w:ascii="Times New Roman" w:eastAsia="Times New Roman" w:hAnsi="Times New Roman" w:cs="Times New Roman"/>
          <w:sz w:val="24"/>
          <w:szCs w:val="24"/>
        </w:rPr>
        <w:lastRenderedPageBreak/>
        <w:t xml:space="preserve">neurotransmitters </w:t>
      </w:r>
      <w:r w:rsidR="00392F4B" w:rsidRPr="004C20BC">
        <w:rPr>
          <w:rFonts w:ascii="Times New Roman" w:eastAsia="Times New Roman" w:hAnsi="Times New Roman" w:cs="Times New Roman"/>
          <w:noProof/>
          <w:sz w:val="24"/>
          <w:szCs w:val="24"/>
        </w:rPr>
        <w:t>(Dinan &amp; Cryan, 2017; Gilbert et al., 2016; Griffin et al., 2017; Schirmer et al., 2016; Sonnenburg &amp; Backhed, 2016)</w:t>
      </w:r>
      <w:r w:rsidR="00392F4B"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p>
    <w:p w14:paraId="7591164E" w14:textId="0665EC20" w:rsidR="009F29C1" w:rsidRPr="004C20BC" w:rsidRDefault="009F29C1" w:rsidP="00967C61">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 xml:space="preserve">Microbiomes are critical to </w:t>
      </w:r>
      <w:r w:rsidRPr="004C20BC">
        <w:rPr>
          <w:rFonts w:ascii="Times New Roman" w:eastAsia="Times New Roman" w:hAnsi="Times New Roman" w:cs="Times New Roman"/>
          <w:noProof/>
          <w:sz w:val="24"/>
          <w:szCs w:val="24"/>
        </w:rPr>
        <w:t>health</w:t>
      </w:r>
      <w:r w:rsidR="00891F22">
        <w:rPr>
          <w:rFonts w:ascii="Times New Roman" w:eastAsia="Times New Roman" w:hAnsi="Times New Roman" w:cs="Times New Roman"/>
          <w:noProof/>
          <w:sz w:val="24"/>
          <w:szCs w:val="24"/>
        </w:rPr>
        <w:t>,</w:t>
      </w:r>
      <w:r w:rsidRPr="004C20BC">
        <w:rPr>
          <w:rFonts w:ascii="Times New Roman" w:eastAsia="Times New Roman" w:hAnsi="Times New Roman" w:cs="Times New Roman"/>
          <w:sz w:val="24"/>
          <w:szCs w:val="24"/>
        </w:rPr>
        <w:t xml:space="preserve"> and </w:t>
      </w:r>
      <w:r w:rsidR="00891F22">
        <w:rPr>
          <w:rFonts w:ascii="Times New Roman" w:eastAsia="Times New Roman" w:hAnsi="Times New Roman" w:cs="Times New Roman"/>
          <w:sz w:val="24"/>
          <w:szCs w:val="24"/>
        </w:rPr>
        <w:t xml:space="preserve">authors </w:t>
      </w:r>
      <w:r w:rsidR="00F269D2">
        <w:rPr>
          <w:rFonts w:ascii="Times New Roman" w:eastAsia="Times New Roman" w:hAnsi="Times New Roman" w:cs="Times New Roman"/>
          <w:sz w:val="24"/>
          <w:szCs w:val="24"/>
        </w:rPr>
        <w:t xml:space="preserve">have suggested </w:t>
      </w:r>
      <w:r w:rsidR="00891F22">
        <w:rPr>
          <w:rFonts w:ascii="Times New Roman" w:eastAsia="Times New Roman" w:hAnsi="Times New Roman" w:cs="Times New Roman"/>
          <w:sz w:val="24"/>
          <w:szCs w:val="24"/>
        </w:rPr>
        <w:t>that they be considered</w:t>
      </w:r>
      <w:r w:rsidRPr="004C20BC">
        <w:rPr>
          <w:rFonts w:ascii="Times New Roman" w:eastAsia="Times New Roman" w:hAnsi="Times New Roman" w:cs="Times New Roman"/>
          <w:sz w:val="24"/>
          <w:szCs w:val="24"/>
        </w:rPr>
        <w:t xml:space="preserve"> a new endocrine organ </w:t>
      </w:r>
      <w:r w:rsidRPr="004C20BC">
        <w:rPr>
          <w:rFonts w:ascii="Times New Roman" w:eastAsia="Times New Roman" w:hAnsi="Times New Roman" w:cs="Times New Roman"/>
          <w:noProof/>
          <w:sz w:val="24"/>
          <w:szCs w:val="24"/>
        </w:rPr>
        <w:t>(Baquero &amp; Nombela, 2012; Clarke et al., 2014)</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8028F3">
        <w:rPr>
          <w:rFonts w:ascii="Times New Roman" w:eastAsia="Times New Roman" w:hAnsi="Times New Roman" w:cs="Times New Roman"/>
          <w:sz w:val="24"/>
          <w:szCs w:val="24"/>
        </w:rPr>
        <w:t>The a</w:t>
      </w:r>
      <w:r w:rsidR="0013046E">
        <w:rPr>
          <w:rFonts w:ascii="Times New Roman" w:eastAsia="Times New Roman" w:hAnsi="Times New Roman" w:cs="Times New Roman"/>
          <w:sz w:val="24"/>
          <w:szCs w:val="24"/>
        </w:rPr>
        <w:t>ddition of</w:t>
      </w:r>
      <w:r w:rsidR="00F64265" w:rsidRPr="004C20BC">
        <w:rPr>
          <w:rFonts w:ascii="Times New Roman" w:eastAsia="Times New Roman" w:hAnsi="Times New Roman" w:cs="Times New Roman"/>
          <w:sz w:val="24"/>
          <w:szCs w:val="24"/>
        </w:rPr>
        <w:t xml:space="preserve"> microbiome</w:t>
      </w:r>
      <w:r w:rsidR="0013046E">
        <w:rPr>
          <w:rFonts w:ascii="Times New Roman" w:eastAsia="Times New Roman" w:hAnsi="Times New Roman" w:cs="Times New Roman"/>
          <w:sz w:val="24"/>
          <w:szCs w:val="24"/>
        </w:rPr>
        <w:t xml:space="preserve"> analyses to research designs</w:t>
      </w:r>
      <w:r w:rsidR="00643BFF">
        <w:rPr>
          <w:rFonts w:ascii="Times New Roman" w:eastAsia="Times New Roman" w:hAnsi="Times New Roman" w:cs="Times New Roman"/>
          <w:sz w:val="24"/>
          <w:szCs w:val="24"/>
        </w:rPr>
        <w:t xml:space="preserve"> </w:t>
      </w:r>
      <w:r w:rsidR="001114B1">
        <w:rPr>
          <w:rFonts w:ascii="Times New Roman" w:eastAsia="Times New Roman" w:hAnsi="Times New Roman" w:cs="Times New Roman"/>
          <w:sz w:val="24"/>
          <w:szCs w:val="24"/>
        </w:rPr>
        <w:t xml:space="preserve">has provided valuable information </w:t>
      </w:r>
      <w:r w:rsidR="0013046E">
        <w:rPr>
          <w:rFonts w:ascii="Times New Roman" w:eastAsia="Times New Roman" w:hAnsi="Times New Roman" w:cs="Times New Roman"/>
          <w:sz w:val="24"/>
          <w:szCs w:val="24"/>
        </w:rPr>
        <w:t>related to physiologic and pathophysiologic processes</w:t>
      </w:r>
      <w:r w:rsidR="00643BFF">
        <w:rPr>
          <w:rFonts w:ascii="Times New Roman" w:eastAsia="Times New Roman" w:hAnsi="Times New Roman" w:cs="Times New Roman"/>
          <w:sz w:val="24"/>
          <w:szCs w:val="24"/>
        </w:rPr>
        <w:t xml:space="preserve"> and </w:t>
      </w:r>
      <w:r w:rsidR="0013046E">
        <w:rPr>
          <w:rFonts w:ascii="Times New Roman" w:eastAsia="Times New Roman" w:hAnsi="Times New Roman" w:cs="Times New Roman"/>
          <w:sz w:val="24"/>
          <w:szCs w:val="24"/>
        </w:rPr>
        <w:t xml:space="preserve">may have a role in the diagnosis and treatment of disease </w:t>
      </w:r>
      <w:r w:rsidR="00292D09">
        <w:rPr>
          <w:rFonts w:ascii="Times New Roman" w:eastAsia="Times New Roman" w:hAnsi="Times New Roman" w:cs="Times New Roman"/>
          <w:noProof/>
          <w:sz w:val="24"/>
          <w:szCs w:val="24"/>
        </w:rPr>
        <w:t>(Bartman et al., 2015; Tamboli, Neut, Desreumaux, &amp; Colombel, 2004; T. Yang &amp; Zubcevic, 2017)</w:t>
      </w:r>
      <w:r w:rsidR="00C84FAB">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F64265" w:rsidRPr="004C20BC">
        <w:rPr>
          <w:rFonts w:ascii="Times New Roman" w:eastAsia="Times New Roman" w:hAnsi="Times New Roman" w:cs="Times New Roman"/>
          <w:sz w:val="24"/>
          <w:szCs w:val="24"/>
        </w:rPr>
        <w:t>Even in neurodegenerative diseases, such as Alzheimer</w:t>
      </w:r>
      <w:r w:rsidR="00640766">
        <w:rPr>
          <w:rFonts w:ascii="Times New Roman" w:eastAsia="Times New Roman" w:hAnsi="Times New Roman" w:cs="Times New Roman"/>
          <w:sz w:val="24"/>
          <w:szCs w:val="24"/>
        </w:rPr>
        <w:t>’s</w:t>
      </w:r>
      <w:r w:rsidR="00F64265" w:rsidRPr="004C20BC">
        <w:rPr>
          <w:rFonts w:ascii="Times New Roman" w:eastAsia="Times New Roman" w:hAnsi="Times New Roman" w:cs="Times New Roman"/>
          <w:sz w:val="24"/>
          <w:szCs w:val="24"/>
        </w:rPr>
        <w:t xml:space="preserve"> (AD) and Parkinson</w:t>
      </w:r>
      <w:r w:rsidR="00640766">
        <w:rPr>
          <w:rFonts w:ascii="Times New Roman" w:eastAsia="Times New Roman" w:hAnsi="Times New Roman" w:cs="Times New Roman"/>
          <w:sz w:val="24"/>
          <w:szCs w:val="24"/>
        </w:rPr>
        <w:t>’s</w:t>
      </w:r>
      <w:r w:rsidR="00F64265" w:rsidRPr="004C20BC">
        <w:rPr>
          <w:rFonts w:ascii="Times New Roman" w:eastAsia="Times New Roman" w:hAnsi="Times New Roman" w:cs="Times New Roman"/>
          <w:sz w:val="24"/>
          <w:szCs w:val="24"/>
        </w:rPr>
        <w:t xml:space="preserve"> (PD)</w:t>
      </w:r>
      <w:r w:rsidR="00792A57" w:rsidRPr="00792A57">
        <w:rPr>
          <w:rFonts w:ascii="Times New Roman" w:eastAsia="Times New Roman" w:hAnsi="Times New Roman" w:cs="Times New Roman"/>
          <w:sz w:val="24"/>
          <w:szCs w:val="24"/>
        </w:rPr>
        <w:t xml:space="preserve"> </w:t>
      </w:r>
      <w:r w:rsidR="00792A57">
        <w:rPr>
          <w:rFonts w:ascii="Times New Roman" w:eastAsia="Times New Roman" w:hAnsi="Times New Roman" w:cs="Times New Roman"/>
          <w:sz w:val="24"/>
          <w:szCs w:val="24"/>
        </w:rPr>
        <w:t>d</w:t>
      </w:r>
      <w:r w:rsidR="00792A57" w:rsidRPr="004C20BC">
        <w:rPr>
          <w:rFonts w:ascii="Times New Roman" w:eastAsia="Times New Roman" w:hAnsi="Times New Roman" w:cs="Times New Roman"/>
          <w:sz w:val="24"/>
          <w:szCs w:val="24"/>
        </w:rPr>
        <w:t>isease</w:t>
      </w:r>
      <w:r w:rsidR="00792A57">
        <w:rPr>
          <w:rFonts w:ascii="Times New Roman" w:eastAsia="Times New Roman" w:hAnsi="Times New Roman" w:cs="Times New Roman"/>
          <w:sz w:val="24"/>
          <w:szCs w:val="24"/>
        </w:rPr>
        <w:t>s</w:t>
      </w:r>
      <w:r w:rsidR="00F64265" w:rsidRPr="004C20BC">
        <w:rPr>
          <w:rFonts w:ascii="Times New Roman" w:eastAsia="Times New Roman" w:hAnsi="Times New Roman" w:cs="Times New Roman"/>
          <w:sz w:val="24"/>
          <w:szCs w:val="24"/>
        </w:rPr>
        <w:t>, microorganisms may play a role</w:t>
      </w:r>
      <w:r w:rsidR="0093236E">
        <w:rPr>
          <w:rFonts w:ascii="Times New Roman" w:eastAsia="Times New Roman" w:hAnsi="Times New Roman" w:cs="Times New Roman"/>
          <w:sz w:val="24"/>
          <w:szCs w:val="24"/>
        </w:rPr>
        <w:t>,</w:t>
      </w:r>
      <w:r w:rsidR="00F64265" w:rsidRPr="004C20BC">
        <w:rPr>
          <w:rFonts w:ascii="Times New Roman" w:eastAsia="Times New Roman" w:hAnsi="Times New Roman" w:cs="Times New Roman"/>
          <w:sz w:val="24"/>
          <w:szCs w:val="24"/>
        </w:rPr>
        <w:t xml:space="preserve"> either as potential causative or facilitating agents or as diagnostic responders to changing physiological conditions associated with disease progression</w:t>
      </w:r>
      <w:r w:rsidR="00771E00" w:rsidRPr="004C20BC">
        <w:rPr>
          <w:rFonts w:ascii="Times New Roman" w:eastAsia="Times New Roman" w:hAnsi="Times New Roman" w:cs="Times New Roman"/>
          <w:sz w:val="24"/>
          <w:szCs w:val="24"/>
        </w:rPr>
        <w:t xml:space="preserve"> </w:t>
      </w:r>
      <w:r w:rsidR="00644FEE" w:rsidRPr="004C20BC">
        <w:rPr>
          <w:rFonts w:ascii="Times New Roman" w:eastAsia="Times New Roman" w:hAnsi="Times New Roman" w:cs="Times New Roman"/>
          <w:noProof/>
          <w:sz w:val="24"/>
          <w:szCs w:val="24"/>
        </w:rPr>
        <w:t>(Keshavarzian et al., 2015; Sampson et al., 2016; Vogt et al., 2017)</w:t>
      </w:r>
      <w:r w:rsidR="00CF37B0">
        <w:rPr>
          <w:rFonts w:ascii="Times New Roman" w:eastAsia="Times New Roman" w:hAnsi="Times New Roman" w:cs="Times New Roman"/>
          <w:sz w:val="24"/>
          <w:szCs w:val="24"/>
        </w:rPr>
        <w:t xml:space="preserve">. </w:t>
      </w:r>
      <w:r w:rsidR="00C84FAB">
        <w:rPr>
          <w:rFonts w:ascii="Times New Roman" w:eastAsia="Times New Roman" w:hAnsi="Times New Roman" w:cs="Times New Roman"/>
          <w:sz w:val="24"/>
          <w:szCs w:val="24"/>
        </w:rPr>
        <w:t>Understanding the role of the microbiome is additionally critical for</w:t>
      </w:r>
      <w:r w:rsidR="00C84FAB" w:rsidRPr="004C20BC">
        <w:rPr>
          <w:rFonts w:ascii="Times New Roman" w:eastAsia="Times New Roman" w:hAnsi="Times New Roman" w:cs="Times New Roman"/>
          <w:sz w:val="24"/>
          <w:szCs w:val="24"/>
        </w:rPr>
        <w:t xml:space="preserve"> interpreting results from animal studies</w:t>
      </w:r>
      <w:r w:rsidR="00C84FAB">
        <w:rPr>
          <w:rFonts w:ascii="Times New Roman" w:eastAsia="Times New Roman" w:hAnsi="Times New Roman" w:cs="Times New Roman"/>
          <w:sz w:val="24"/>
          <w:szCs w:val="24"/>
        </w:rPr>
        <w:t>.</w:t>
      </w:r>
    </w:p>
    <w:p w14:paraId="24D3A892" w14:textId="609F7C1A" w:rsidR="00B411C5" w:rsidRDefault="009F29C1" w:rsidP="00967C61">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The purpose of this paper is to highl</w:t>
      </w:r>
      <w:r w:rsidR="00F64265" w:rsidRPr="004C20BC">
        <w:rPr>
          <w:rFonts w:ascii="Times New Roman" w:eastAsia="Times New Roman" w:hAnsi="Times New Roman" w:cs="Times New Roman"/>
          <w:sz w:val="24"/>
          <w:szCs w:val="24"/>
        </w:rPr>
        <w:t>ight important methodological</w:t>
      </w:r>
      <w:r w:rsidRPr="004C20BC">
        <w:rPr>
          <w:rFonts w:ascii="Times New Roman" w:eastAsia="Times New Roman" w:hAnsi="Times New Roman" w:cs="Times New Roman"/>
          <w:sz w:val="24"/>
          <w:szCs w:val="24"/>
        </w:rPr>
        <w:t xml:space="preserve"> factors for nurse </w:t>
      </w:r>
      <w:r w:rsidR="00F52202">
        <w:rPr>
          <w:rFonts w:ascii="Times New Roman" w:eastAsia="Times New Roman" w:hAnsi="Times New Roman" w:cs="Times New Roman"/>
          <w:sz w:val="24"/>
          <w:szCs w:val="24"/>
        </w:rPr>
        <w:t>scientist</w:t>
      </w:r>
      <w:r w:rsidRPr="004C20BC">
        <w:rPr>
          <w:rFonts w:ascii="Times New Roman" w:eastAsia="Times New Roman" w:hAnsi="Times New Roman" w:cs="Times New Roman"/>
          <w:sz w:val="24"/>
          <w:szCs w:val="24"/>
        </w:rPr>
        <w:t>s to consider when designing a microbiome study</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777EE0" w:rsidRPr="004C20BC">
        <w:rPr>
          <w:rFonts w:ascii="Times New Roman" w:eastAsia="Times New Roman" w:hAnsi="Times New Roman" w:cs="Times New Roman"/>
          <w:sz w:val="24"/>
          <w:szCs w:val="24"/>
        </w:rPr>
        <w:t>In addition to considering factors that influence host-associated microbiomes (</w:t>
      </w:r>
      <w:r w:rsidR="00777EE0" w:rsidRPr="009B57A0">
        <w:rPr>
          <w:rFonts w:ascii="Times New Roman" w:eastAsia="Times New Roman" w:hAnsi="Times New Roman" w:cs="Times New Roman"/>
          <w:sz w:val="24"/>
          <w:szCs w:val="24"/>
        </w:rPr>
        <w:t>i.e.,</w:t>
      </w:r>
      <w:r w:rsidR="00777EE0" w:rsidRPr="004C20BC">
        <w:rPr>
          <w:rFonts w:ascii="Times New Roman" w:eastAsia="Times New Roman" w:hAnsi="Times New Roman" w:cs="Times New Roman"/>
          <w:sz w:val="24"/>
          <w:szCs w:val="24"/>
        </w:rPr>
        <w:t xml:space="preserve"> microorganisms associated with organisms such as humans, mice</w:t>
      </w:r>
      <w:r w:rsidR="006731BF" w:rsidRPr="004C20BC">
        <w:rPr>
          <w:rFonts w:ascii="Times New Roman" w:eastAsia="Times New Roman" w:hAnsi="Times New Roman" w:cs="Times New Roman"/>
          <w:sz w:val="24"/>
          <w:szCs w:val="24"/>
        </w:rPr>
        <w:t>,</w:t>
      </w:r>
      <w:r w:rsidR="00777EE0" w:rsidRPr="004C20BC">
        <w:rPr>
          <w:rFonts w:ascii="Times New Roman" w:eastAsia="Times New Roman" w:hAnsi="Times New Roman" w:cs="Times New Roman"/>
          <w:sz w:val="24"/>
          <w:szCs w:val="24"/>
        </w:rPr>
        <w:t xml:space="preserve"> </w:t>
      </w:r>
      <w:r w:rsidR="00777EE0" w:rsidRPr="004C20BC">
        <w:rPr>
          <w:rFonts w:ascii="Times New Roman" w:eastAsia="Times New Roman" w:hAnsi="Times New Roman" w:cs="Times New Roman"/>
          <w:noProof/>
          <w:sz w:val="24"/>
          <w:szCs w:val="24"/>
        </w:rPr>
        <w:t>and</w:t>
      </w:r>
      <w:r w:rsidR="00777EE0" w:rsidRPr="004C20BC">
        <w:rPr>
          <w:rFonts w:ascii="Times New Roman" w:eastAsia="Times New Roman" w:hAnsi="Times New Roman" w:cs="Times New Roman"/>
          <w:sz w:val="24"/>
          <w:szCs w:val="24"/>
        </w:rPr>
        <w:t xml:space="preserve"> rats), this manuscript also highlights study design</w:t>
      </w:r>
      <w:r w:rsidR="0093236E">
        <w:rPr>
          <w:rFonts w:ascii="Times New Roman" w:eastAsia="Times New Roman" w:hAnsi="Times New Roman" w:cs="Times New Roman"/>
          <w:sz w:val="24"/>
          <w:szCs w:val="24"/>
        </w:rPr>
        <w:t>s</w:t>
      </w:r>
      <w:r w:rsidR="00777EE0" w:rsidRPr="004C20BC">
        <w:rPr>
          <w:rFonts w:ascii="Times New Roman" w:eastAsia="Times New Roman" w:hAnsi="Times New Roman" w:cs="Times New Roman"/>
          <w:sz w:val="24"/>
          <w:szCs w:val="24"/>
        </w:rPr>
        <w:t xml:space="preserve"> and methods for microbiome analysis.</w:t>
      </w:r>
      <w:r w:rsidR="003F14B1">
        <w:rPr>
          <w:rFonts w:ascii="Times New Roman" w:eastAsia="Times New Roman" w:hAnsi="Times New Roman" w:cs="Times New Roman"/>
          <w:sz w:val="24"/>
          <w:szCs w:val="24"/>
        </w:rPr>
        <w:t xml:space="preserve"> </w:t>
      </w:r>
      <w:r w:rsidR="00B411C5">
        <w:rPr>
          <w:rFonts w:ascii="Times New Roman" w:eastAsia="Times New Roman" w:hAnsi="Times New Roman" w:cs="Times New Roman"/>
          <w:sz w:val="24"/>
          <w:szCs w:val="24"/>
        </w:rPr>
        <w:t>We have provided a</w:t>
      </w:r>
      <w:r w:rsidR="00C84FAB">
        <w:rPr>
          <w:rFonts w:ascii="Times New Roman" w:eastAsia="Times New Roman" w:hAnsi="Times New Roman" w:cs="Times New Roman"/>
          <w:sz w:val="24"/>
          <w:szCs w:val="24"/>
        </w:rPr>
        <w:t xml:space="preserve"> </w:t>
      </w:r>
      <w:r w:rsidR="00C84FAB" w:rsidRPr="004C20BC">
        <w:rPr>
          <w:rFonts w:ascii="Times New Roman" w:eastAsia="Times New Roman" w:hAnsi="Times New Roman" w:cs="Times New Roman"/>
          <w:sz w:val="24"/>
          <w:szCs w:val="24"/>
        </w:rPr>
        <w:t>list of commonly used definit</w:t>
      </w:r>
      <w:r w:rsidR="00C84FAB">
        <w:rPr>
          <w:rFonts w:ascii="Times New Roman" w:eastAsia="Times New Roman" w:hAnsi="Times New Roman" w:cs="Times New Roman"/>
          <w:sz w:val="24"/>
          <w:szCs w:val="24"/>
        </w:rPr>
        <w:t>ions in microbiome research in</w:t>
      </w:r>
      <w:r w:rsidR="00C84FAB" w:rsidRPr="004C20BC">
        <w:rPr>
          <w:rFonts w:ascii="Times New Roman" w:eastAsia="Times New Roman" w:hAnsi="Times New Roman" w:cs="Times New Roman"/>
          <w:sz w:val="24"/>
          <w:szCs w:val="24"/>
        </w:rPr>
        <w:t xml:space="preserve"> </w:t>
      </w:r>
      <w:r w:rsidR="00C84FAB" w:rsidRPr="00967C61">
        <w:rPr>
          <w:rFonts w:ascii="Times New Roman" w:eastAsia="Times New Roman" w:hAnsi="Times New Roman" w:cs="Times New Roman"/>
          <w:sz w:val="24"/>
          <w:szCs w:val="24"/>
        </w:rPr>
        <w:t>Table 1</w:t>
      </w:r>
      <w:r w:rsidR="00CF37B0">
        <w:rPr>
          <w:rFonts w:ascii="Times New Roman" w:eastAsia="Times New Roman" w:hAnsi="Times New Roman" w:cs="Times New Roman"/>
          <w:sz w:val="24"/>
          <w:szCs w:val="24"/>
        </w:rPr>
        <w:t>.</w:t>
      </w:r>
    </w:p>
    <w:p w14:paraId="5FE26F8E" w14:textId="54E3F932" w:rsidR="002C570B" w:rsidRPr="004C20BC" w:rsidRDefault="00B411C5" w:rsidP="00967C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&lt;Table 1 near here.&gt;</w:t>
      </w:r>
      <w:r w:rsidR="00CF37B0">
        <w:rPr>
          <w:rFonts w:ascii="Times New Roman" w:eastAsia="Times New Roman" w:hAnsi="Times New Roman" w:cs="Times New Roman"/>
          <w:sz w:val="24"/>
          <w:szCs w:val="24"/>
        </w:rPr>
        <w:t xml:space="preserve"> </w:t>
      </w:r>
    </w:p>
    <w:p w14:paraId="0CDE89B5" w14:textId="5E20C70F" w:rsidR="002C570B" w:rsidRPr="00967C61" w:rsidRDefault="00DE4954" w:rsidP="00755809">
      <w:pPr>
        <w:spacing w:line="480" w:lineRule="auto"/>
        <w:jc w:val="center"/>
        <w:outlineLvl w:val="0"/>
        <w:rPr>
          <w:rFonts w:ascii="Times New Roman" w:eastAsia="Times New Roman" w:hAnsi="Times New Roman" w:cs="Times New Roman"/>
          <w:b/>
          <w:sz w:val="24"/>
          <w:szCs w:val="24"/>
        </w:rPr>
      </w:pPr>
      <w:r w:rsidRPr="004C20BC">
        <w:rPr>
          <w:rFonts w:ascii="Times New Roman" w:eastAsia="Times New Roman" w:hAnsi="Times New Roman" w:cs="Times New Roman"/>
          <w:b/>
          <w:sz w:val="24"/>
          <w:szCs w:val="24"/>
        </w:rPr>
        <w:t>Factors Influencing the Human Microbiome</w:t>
      </w:r>
    </w:p>
    <w:p w14:paraId="5055A68A" w14:textId="58C62C2C" w:rsidR="002C570B" w:rsidRDefault="00DE4954" w:rsidP="00967C61">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The human microbiome is affected by numerous factors</w:t>
      </w:r>
      <w:r w:rsidR="00B81B24">
        <w:rPr>
          <w:rFonts w:ascii="Times New Roman" w:eastAsia="Times New Roman" w:hAnsi="Times New Roman" w:cs="Times New Roman"/>
          <w:sz w:val="24"/>
          <w:szCs w:val="24"/>
        </w:rPr>
        <w:t xml:space="preserve"> that researchers must </w:t>
      </w:r>
      <w:proofErr w:type="gramStart"/>
      <w:r w:rsidR="00B81B24">
        <w:rPr>
          <w:rFonts w:ascii="Times New Roman" w:eastAsia="Times New Roman" w:hAnsi="Times New Roman" w:cs="Times New Roman"/>
          <w:sz w:val="24"/>
          <w:szCs w:val="24"/>
        </w:rPr>
        <w:t>take into account</w:t>
      </w:r>
      <w:proofErr w:type="gramEnd"/>
      <w:r w:rsidR="00B81B24">
        <w:rPr>
          <w:rFonts w:ascii="Times New Roman" w:eastAsia="Times New Roman" w:hAnsi="Times New Roman" w:cs="Times New Roman"/>
          <w:sz w:val="24"/>
          <w:szCs w:val="24"/>
        </w:rPr>
        <w:t xml:space="preserve"> when designing studies</w:t>
      </w:r>
      <w:r w:rsidR="0093236E">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 including </w:t>
      </w:r>
      <w:r w:rsidR="00F64265" w:rsidRPr="004C20BC">
        <w:rPr>
          <w:rFonts w:ascii="Times New Roman" w:eastAsia="Times New Roman" w:hAnsi="Times New Roman" w:cs="Times New Roman"/>
          <w:sz w:val="24"/>
          <w:szCs w:val="24"/>
        </w:rPr>
        <w:t xml:space="preserve">genetics, </w:t>
      </w:r>
      <w:r w:rsidRPr="004C20BC">
        <w:rPr>
          <w:rFonts w:ascii="Times New Roman" w:eastAsia="Times New Roman" w:hAnsi="Times New Roman" w:cs="Times New Roman"/>
          <w:sz w:val="24"/>
          <w:szCs w:val="24"/>
        </w:rPr>
        <w:t>age, diet, antibiotics, and environment (</w:t>
      </w:r>
      <w:r w:rsidR="00987BEF" w:rsidRPr="00967C61">
        <w:rPr>
          <w:rFonts w:ascii="Times New Roman" w:eastAsia="Times New Roman" w:hAnsi="Times New Roman" w:cs="Times New Roman"/>
          <w:sz w:val="24"/>
          <w:szCs w:val="24"/>
        </w:rPr>
        <w:t>Figure 1</w:t>
      </w:r>
      <w:r w:rsidRPr="004C20BC">
        <w:rPr>
          <w:rFonts w:ascii="Times New Roman" w:eastAsia="Times New Roman" w:hAnsi="Times New Roman" w:cs="Times New Roman"/>
          <w:sz w:val="24"/>
          <w:szCs w:val="24"/>
        </w:rPr>
        <w:t>)</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4F5132">
        <w:rPr>
          <w:rFonts w:ascii="Times New Roman" w:eastAsia="Times New Roman" w:hAnsi="Times New Roman" w:cs="Times New Roman"/>
          <w:sz w:val="24"/>
          <w:szCs w:val="24"/>
        </w:rPr>
        <w:t>T</w:t>
      </w:r>
      <w:r w:rsidRPr="004C20BC">
        <w:rPr>
          <w:rFonts w:ascii="Times New Roman" w:eastAsia="Times New Roman" w:hAnsi="Times New Roman" w:cs="Times New Roman"/>
          <w:sz w:val="24"/>
          <w:szCs w:val="24"/>
        </w:rPr>
        <w:t>hese factors cause alterations in the microbiome</w:t>
      </w:r>
      <w:r w:rsidR="001B28B3" w:rsidRPr="004C20BC">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 which may </w:t>
      </w:r>
      <w:r w:rsidR="004F5132">
        <w:rPr>
          <w:rFonts w:ascii="Times New Roman" w:eastAsia="Times New Roman" w:hAnsi="Times New Roman" w:cs="Times New Roman"/>
          <w:sz w:val="24"/>
          <w:szCs w:val="24"/>
        </w:rPr>
        <w:t>lead to</w:t>
      </w:r>
      <w:r w:rsidR="004F5132" w:rsidRPr="004C20BC">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 xml:space="preserve">negative or </w:t>
      </w:r>
      <w:r w:rsidR="00CA0609">
        <w:rPr>
          <w:rFonts w:ascii="Times New Roman" w:eastAsia="Times New Roman" w:hAnsi="Times New Roman" w:cs="Times New Roman"/>
          <w:sz w:val="24"/>
          <w:szCs w:val="24"/>
        </w:rPr>
        <w:lastRenderedPageBreak/>
        <w:t xml:space="preserve">positive </w:t>
      </w:r>
      <w:r w:rsidRPr="004C20BC">
        <w:rPr>
          <w:rFonts w:ascii="Times New Roman" w:eastAsia="Times New Roman" w:hAnsi="Times New Roman" w:cs="Times New Roman"/>
          <w:sz w:val="24"/>
          <w:szCs w:val="24"/>
        </w:rPr>
        <w:t>effects on health</w:t>
      </w:r>
      <w:r w:rsidR="001F4ACC" w:rsidRPr="004C20BC">
        <w:rPr>
          <w:rFonts w:ascii="Times New Roman" w:eastAsia="Times New Roman" w:hAnsi="Times New Roman" w:cs="Times New Roman"/>
          <w:sz w:val="24"/>
          <w:szCs w:val="24"/>
        </w:rPr>
        <w:t xml:space="preserve"> </w:t>
      </w:r>
      <w:r w:rsidR="00903C47" w:rsidRPr="004C20BC">
        <w:rPr>
          <w:rFonts w:ascii="Times New Roman" w:eastAsia="Times New Roman" w:hAnsi="Times New Roman" w:cs="Times New Roman"/>
          <w:noProof/>
          <w:sz w:val="24"/>
          <w:szCs w:val="24"/>
        </w:rPr>
        <w:t>(Bokulich et al., 2016; Conlon &amp; Bird, 2014; Cresci &amp; Bawden, 2015)</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For instance, dietary intake</w:t>
      </w:r>
      <w:r w:rsidR="00D737DD">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 xml:space="preserve">and antibiotic use </w:t>
      </w:r>
      <w:r w:rsidR="00F64265" w:rsidRPr="004C20BC">
        <w:rPr>
          <w:rFonts w:ascii="Times New Roman" w:eastAsia="Times New Roman" w:hAnsi="Times New Roman" w:cs="Times New Roman"/>
          <w:sz w:val="24"/>
          <w:szCs w:val="24"/>
        </w:rPr>
        <w:t>can</w:t>
      </w:r>
      <w:r w:rsidRPr="004C20BC">
        <w:rPr>
          <w:rFonts w:ascii="Times New Roman" w:eastAsia="Times New Roman" w:hAnsi="Times New Roman" w:cs="Times New Roman"/>
          <w:sz w:val="24"/>
          <w:szCs w:val="24"/>
        </w:rPr>
        <w:t xml:space="preserve"> cause dysbiosis</w:t>
      </w:r>
      <w:r w:rsidR="00292D09">
        <w:rPr>
          <w:rFonts w:ascii="Times New Roman" w:eastAsia="Times New Roman" w:hAnsi="Times New Roman" w:cs="Times New Roman"/>
          <w:sz w:val="24"/>
          <w:szCs w:val="24"/>
        </w:rPr>
        <w:t>, a pathologic alteration in the native microbial community,</w:t>
      </w:r>
      <w:r w:rsidRPr="004C20BC">
        <w:rPr>
          <w:rFonts w:ascii="Times New Roman" w:eastAsia="Times New Roman" w:hAnsi="Times New Roman" w:cs="Times New Roman"/>
          <w:sz w:val="24"/>
          <w:szCs w:val="24"/>
        </w:rPr>
        <w:t xml:space="preserve"> in the gut microbiota and contribute to diseases such as obesity, asthma, diabetes, inflammatory bowel disease (IBD), and cardiovascular disease (CVD</w:t>
      </w:r>
      <w:r w:rsidR="00162788">
        <w:rPr>
          <w:rFonts w:ascii="Times New Roman" w:eastAsia="Times New Roman" w:hAnsi="Times New Roman" w:cs="Times New Roman"/>
          <w:sz w:val="24"/>
          <w:szCs w:val="24"/>
        </w:rPr>
        <w:t xml:space="preserve">; </w:t>
      </w:r>
      <w:r w:rsidR="00322FC5">
        <w:rPr>
          <w:rFonts w:ascii="Times New Roman" w:eastAsia="Times New Roman" w:hAnsi="Times New Roman" w:cs="Times New Roman"/>
          <w:noProof/>
          <w:sz w:val="24"/>
          <w:szCs w:val="24"/>
        </w:rPr>
        <w:t>Bokulich et al., 2016; David et al., 2014; Zoetendal &amp; de Vos, 2014)</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B37810">
        <w:rPr>
          <w:rFonts w:ascii="Times New Roman" w:eastAsia="Times New Roman" w:hAnsi="Times New Roman" w:cs="Times New Roman"/>
          <w:sz w:val="24"/>
          <w:szCs w:val="24"/>
        </w:rPr>
        <w:t>In turn, several factors can influence d</w:t>
      </w:r>
      <w:r w:rsidR="00D737DD">
        <w:rPr>
          <w:rFonts w:ascii="Times New Roman" w:eastAsia="Times New Roman" w:hAnsi="Times New Roman" w:cs="Times New Roman"/>
          <w:sz w:val="24"/>
          <w:szCs w:val="24"/>
        </w:rPr>
        <w:t>ietary intake and nutrition</w:t>
      </w:r>
      <w:r w:rsidR="00B37810">
        <w:rPr>
          <w:rFonts w:ascii="Times New Roman" w:eastAsia="Times New Roman" w:hAnsi="Times New Roman" w:cs="Times New Roman"/>
          <w:sz w:val="24"/>
          <w:szCs w:val="24"/>
        </w:rPr>
        <w:t>,</w:t>
      </w:r>
      <w:r w:rsidR="00D737DD">
        <w:rPr>
          <w:rFonts w:ascii="Times New Roman" w:eastAsia="Times New Roman" w:hAnsi="Times New Roman" w:cs="Times New Roman"/>
          <w:sz w:val="24"/>
          <w:szCs w:val="24"/>
        </w:rPr>
        <w:t xml:space="preserve"> including </w:t>
      </w:r>
      <w:r w:rsidR="001E344E">
        <w:rPr>
          <w:rFonts w:ascii="Times New Roman" w:eastAsia="Times New Roman" w:hAnsi="Times New Roman" w:cs="Times New Roman"/>
          <w:sz w:val="24"/>
          <w:szCs w:val="24"/>
        </w:rPr>
        <w:t>cultural or religious beliefs</w:t>
      </w:r>
      <w:r w:rsidR="00A05BAF">
        <w:rPr>
          <w:rFonts w:ascii="Times New Roman" w:eastAsia="Times New Roman" w:hAnsi="Times New Roman" w:cs="Times New Roman"/>
          <w:sz w:val="24"/>
          <w:szCs w:val="24"/>
        </w:rPr>
        <w:t xml:space="preserve">, geographical location and </w:t>
      </w:r>
      <w:r w:rsidR="00D737DD">
        <w:rPr>
          <w:rFonts w:ascii="Times New Roman" w:eastAsia="Times New Roman" w:hAnsi="Times New Roman" w:cs="Times New Roman"/>
          <w:sz w:val="24"/>
          <w:szCs w:val="24"/>
        </w:rPr>
        <w:t>socioeconomic status,</w:t>
      </w:r>
      <w:r w:rsidR="00595856">
        <w:rPr>
          <w:rFonts w:ascii="Times New Roman" w:eastAsia="Times New Roman" w:hAnsi="Times New Roman" w:cs="Times New Roman"/>
          <w:sz w:val="24"/>
          <w:szCs w:val="24"/>
        </w:rPr>
        <w:t xml:space="preserve"> add</w:t>
      </w:r>
      <w:r w:rsidR="00B37810">
        <w:rPr>
          <w:rFonts w:ascii="Times New Roman" w:eastAsia="Times New Roman" w:hAnsi="Times New Roman" w:cs="Times New Roman"/>
          <w:sz w:val="24"/>
          <w:szCs w:val="24"/>
        </w:rPr>
        <w:t>ing</w:t>
      </w:r>
      <w:r w:rsidR="00595856">
        <w:rPr>
          <w:rFonts w:ascii="Times New Roman" w:eastAsia="Times New Roman" w:hAnsi="Times New Roman" w:cs="Times New Roman"/>
          <w:sz w:val="24"/>
          <w:szCs w:val="24"/>
        </w:rPr>
        <w:t xml:space="preserve"> further complexity to </w:t>
      </w:r>
      <w:r w:rsidR="003A2866">
        <w:rPr>
          <w:rFonts w:ascii="Times New Roman" w:eastAsia="Times New Roman" w:hAnsi="Times New Roman" w:cs="Times New Roman"/>
          <w:sz w:val="24"/>
          <w:szCs w:val="24"/>
        </w:rPr>
        <w:t xml:space="preserve">the </w:t>
      </w:r>
      <w:r w:rsidR="00595856">
        <w:rPr>
          <w:rFonts w:ascii="Times New Roman" w:eastAsia="Times New Roman" w:hAnsi="Times New Roman" w:cs="Times New Roman"/>
          <w:sz w:val="24"/>
          <w:szCs w:val="24"/>
        </w:rPr>
        <w:t>research design</w:t>
      </w:r>
      <w:r w:rsidR="00A05BAF">
        <w:rPr>
          <w:rFonts w:ascii="Times New Roman" w:eastAsia="Times New Roman" w:hAnsi="Times New Roman" w:cs="Times New Roman"/>
          <w:sz w:val="24"/>
          <w:szCs w:val="24"/>
        </w:rPr>
        <w:t xml:space="preserve"> and external validity of study results</w:t>
      </w:r>
      <w:r w:rsidR="00595856">
        <w:rPr>
          <w:rFonts w:ascii="Times New Roman" w:eastAsia="Times New Roman" w:hAnsi="Times New Roman" w:cs="Times New Roman"/>
          <w:sz w:val="24"/>
          <w:szCs w:val="24"/>
        </w:rPr>
        <w:t xml:space="preserve"> </w:t>
      </w:r>
      <w:r w:rsidR="00A05BAF">
        <w:rPr>
          <w:rFonts w:ascii="Times New Roman" w:eastAsia="Times New Roman" w:hAnsi="Times New Roman" w:cs="Times New Roman"/>
          <w:noProof/>
          <w:sz w:val="24"/>
          <w:szCs w:val="24"/>
        </w:rPr>
        <w:t>(Burkitt, Walker, &amp; Painter, 1972; Darmon &amp; Drewnowski, 2015; Griffin et al., 2017; McInerney et al., 2016)</w:t>
      </w:r>
      <w:r w:rsidR="00595856">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 xml:space="preserve">Conversely, </w:t>
      </w:r>
      <w:r w:rsidR="005C03E1" w:rsidRPr="004C20BC">
        <w:rPr>
          <w:rFonts w:ascii="Times New Roman" w:eastAsia="Times New Roman" w:hAnsi="Times New Roman" w:cs="Times New Roman"/>
          <w:sz w:val="24"/>
          <w:szCs w:val="24"/>
        </w:rPr>
        <w:t xml:space="preserve">breast </w:t>
      </w:r>
      <w:r w:rsidRPr="004C20BC">
        <w:rPr>
          <w:rFonts w:ascii="Times New Roman" w:eastAsia="Times New Roman" w:hAnsi="Times New Roman" w:cs="Times New Roman"/>
          <w:sz w:val="24"/>
          <w:szCs w:val="24"/>
        </w:rPr>
        <w:t>milk and pre-</w:t>
      </w:r>
      <w:r w:rsidR="00B333F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and probiotics contribute to the abundance of microbes</w:t>
      </w:r>
      <w:r w:rsidR="00CA0609">
        <w:rPr>
          <w:rFonts w:ascii="Times New Roman" w:eastAsia="Times New Roman" w:hAnsi="Times New Roman" w:cs="Times New Roman"/>
          <w:sz w:val="24"/>
          <w:szCs w:val="24"/>
        </w:rPr>
        <w:t xml:space="preserve"> that </w:t>
      </w:r>
      <w:r w:rsidRPr="004C20BC">
        <w:rPr>
          <w:rFonts w:ascii="Times New Roman" w:eastAsia="Times New Roman" w:hAnsi="Times New Roman" w:cs="Times New Roman"/>
          <w:sz w:val="24"/>
          <w:szCs w:val="24"/>
        </w:rPr>
        <w:t>overall benefit immune health and function</w:t>
      </w:r>
      <w:r w:rsidR="00903C47" w:rsidRPr="004C20BC">
        <w:rPr>
          <w:rFonts w:ascii="Times New Roman" w:eastAsia="Times New Roman" w:hAnsi="Times New Roman" w:cs="Times New Roman"/>
          <w:sz w:val="24"/>
          <w:szCs w:val="24"/>
        </w:rPr>
        <w:t xml:space="preserve"> </w:t>
      </w:r>
      <w:r w:rsidR="00406880" w:rsidRPr="004C20BC">
        <w:rPr>
          <w:rFonts w:ascii="Times New Roman" w:eastAsia="Times New Roman" w:hAnsi="Times New Roman" w:cs="Times New Roman"/>
          <w:noProof/>
          <w:sz w:val="24"/>
          <w:szCs w:val="24"/>
        </w:rPr>
        <w:t>(Conlon &amp; Bird, 2014; Langdon, Crook, &amp; Dantas, 2016)</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A26C88" w:rsidRPr="004C20BC">
        <w:rPr>
          <w:rFonts w:ascii="Times New Roman" w:eastAsia="Times New Roman" w:hAnsi="Times New Roman" w:cs="Times New Roman"/>
          <w:sz w:val="24"/>
          <w:szCs w:val="24"/>
        </w:rPr>
        <w:t xml:space="preserve">Because of </w:t>
      </w:r>
      <w:r w:rsidRPr="004C20BC">
        <w:rPr>
          <w:rFonts w:ascii="Times New Roman" w:eastAsia="Times New Roman" w:hAnsi="Times New Roman" w:cs="Times New Roman"/>
          <w:sz w:val="24"/>
          <w:szCs w:val="24"/>
        </w:rPr>
        <w:t>their influence on microbial communities, it is important to take these factors into consideration when designing a research study</w:t>
      </w:r>
      <w:r w:rsidR="00C84FAB">
        <w:rPr>
          <w:rFonts w:ascii="Times New Roman" w:eastAsia="Times New Roman" w:hAnsi="Times New Roman" w:cs="Times New Roman"/>
          <w:sz w:val="24"/>
          <w:szCs w:val="24"/>
        </w:rPr>
        <w:t>.</w:t>
      </w:r>
    </w:p>
    <w:p w14:paraId="715A8966" w14:textId="67634F37" w:rsidR="00755809" w:rsidRPr="00967C61" w:rsidRDefault="00755809" w:rsidP="00967C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&lt;Figure 1 near here.&gt;</w:t>
      </w:r>
    </w:p>
    <w:p w14:paraId="00E2E869" w14:textId="5432C5EE" w:rsidR="002C570B" w:rsidRPr="004C20BC" w:rsidRDefault="001B01AB" w:rsidP="00967C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with</w:t>
      </w:r>
      <w:r w:rsidR="00DE4954" w:rsidRPr="004C20BC">
        <w:rPr>
          <w:rFonts w:ascii="Times New Roman" w:eastAsia="Times New Roman" w:hAnsi="Times New Roman" w:cs="Times New Roman"/>
          <w:sz w:val="24"/>
          <w:szCs w:val="24"/>
        </w:rPr>
        <w:t xml:space="preserve"> human studies, </w:t>
      </w:r>
      <w:r>
        <w:rPr>
          <w:rFonts w:ascii="Times New Roman" w:eastAsia="Times New Roman" w:hAnsi="Times New Roman" w:cs="Times New Roman"/>
          <w:sz w:val="24"/>
          <w:szCs w:val="24"/>
        </w:rPr>
        <w:t xml:space="preserve">researchers must </w:t>
      </w:r>
      <w:proofErr w:type="gramStart"/>
      <w:r>
        <w:rPr>
          <w:rFonts w:ascii="Times New Roman" w:eastAsia="Times New Roman" w:hAnsi="Times New Roman" w:cs="Times New Roman"/>
          <w:sz w:val="24"/>
          <w:szCs w:val="24"/>
        </w:rPr>
        <w:t>take into account</w:t>
      </w:r>
      <w:proofErr w:type="gramEnd"/>
      <w:r>
        <w:rPr>
          <w:rFonts w:ascii="Times New Roman" w:eastAsia="Times New Roman" w:hAnsi="Times New Roman" w:cs="Times New Roman"/>
          <w:sz w:val="24"/>
          <w:szCs w:val="24"/>
        </w:rPr>
        <w:t xml:space="preserve"> </w:t>
      </w:r>
      <w:r w:rsidR="00DE4954" w:rsidRPr="004C20BC">
        <w:rPr>
          <w:rFonts w:ascii="Times New Roman" w:eastAsia="Times New Roman" w:hAnsi="Times New Roman" w:cs="Times New Roman"/>
          <w:sz w:val="24"/>
          <w:szCs w:val="24"/>
        </w:rPr>
        <w:t xml:space="preserve">several factors </w:t>
      </w:r>
      <w:r>
        <w:rPr>
          <w:rFonts w:ascii="Times New Roman" w:eastAsia="Times New Roman" w:hAnsi="Times New Roman" w:cs="Times New Roman"/>
          <w:sz w:val="24"/>
          <w:szCs w:val="24"/>
        </w:rPr>
        <w:t xml:space="preserve">that </w:t>
      </w:r>
      <w:r w:rsidR="00DE4954" w:rsidRPr="004C20BC">
        <w:rPr>
          <w:rFonts w:ascii="Times New Roman" w:eastAsia="Times New Roman" w:hAnsi="Times New Roman" w:cs="Times New Roman"/>
          <w:sz w:val="24"/>
          <w:szCs w:val="24"/>
        </w:rPr>
        <w:t>influence the animal microbiome</w:t>
      </w:r>
      <w:r>
        <w:rPr>
          <w:rFonts w:ascii="Times New Roman" w:eastAsia="Times New Roman" w:hAnsi="Times New Roman" w:cs="Times New Roman"/>
          <w:sz w:val="24"/>
          <w:szCs w:val="24"/>
        </w:rPr>
        <w:t xml:space="preserve"> when designing animal studies</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262F56" w:rsidRPr="004C20BC">
        <w:rPr>
          <w:rFonts w:ascii="Times New Roman" w:eastAsia="Times New Roman" w:hAnsi="Times New Roman" w:cs="Times New Roman"/>
          <w:sz w:val="24"/>
          <w:szCs w:val="24"/>
        </w:rPr>
        <w:t>For example, a</w:t>
      </w:r>
      <w:r w:rsidR="00DE4954" w:rsidRPr="004C20BC">
        <w:rPr>
          <w:rFonts w:ascii="Times New Roman" w:eastAsia="Times New Roman" w:hAnsi="Times New Roman" w:cs="Times New Roman"/>
          <w:sz w:val="24"/>
          <w:szCs w:val="24"/>
        </w:rPr>
        <w:t>nimal age, species, diet</w:t>
      </w:r>
      <w:r w:rsidR="00CA0609">
        <w:rPr>
          <w:rFonts w:ascii="Times New Roman" w:eastAsia="Times New Roman" w:hAnsi="Times New Roman" w:cs="Times New Roman"/>
          <w:sz w:val="24"/>
          <w:szCs w:val="24"/>
        </w:rPr>
        <w:t>,</w:t>
      </w:r>
      <w:r w:rsidR="00DE4954" w:rsidRPr="004C20BC">
        <w:rPr>
          <w:rFonts w:ascii="Times New Roman" w:eastAsia="Times New Roman" w:hAnsi="Times New Roman" w:cs="Times New Roman"/>
          <w:sz w:val="24"/>
          <w:szCs w:val="24"/>
        </w:rPr>
        <w:t xml:space="preserve"> and housing considerations (such as grouped v</w:t>
      </w:r>
      <w:r w:rsidR="00FF3742">
        <w:rPr>
          <w:rFonts w:ascii="Times New Roman" w:eastAsia="Times New Roman" w:hAnsi="Times New Roman" w:cs="Times New Roman"/>
          <w:sz w:val="24"/>
          <w:szCs w:val="24"/>
        </w:rPr>
        <w:t>er</w:t>
      </w:r>
      <w:r w:rsidR="00DE4954" w:rsidRPr="004C20BC">
        <w:rPr>
          <w:rFonts w:ascii="Times New Roman" w:eastAsia="Times New Roman" w:hAnsi="Times New Roman" w:cs="Times New Roman"/>
          <w:sz w:val="24"/>
          <w:szCs w:val="24"/>
        </w:rPr>
        <w:t>s</w:t>
      </w:r>
      <w:r w:rsidR="00FF3742">
        <w:rPr>
          <w:rFonts w:ascii="Times New Roman" w:eastAsia="Times New Roman" w:hAnsi="Times New Roman" w:cs="Times New Roman"/>
          <w:sz w:val="24"/>
          <w:szCs w:val="24"/>
        </w:rPr>
        <w:t>us</w:t>
      </w:r>
      <w:r w:rsidR="00DE4954" w:rsidRPr="004C20BC">
        <w:rPr>
          <w:rFonts w:ascii="Times New Roman" w:eastAsia="Times New Roman" w:hAnsi="Times New Roman" w:cs="Times New Roman"/>
          <w:sz w:val="24"/>
          <w:szCs w:val="24"/>
        </w:rPr>
        <w:t xml:space="preserve"> single</w:t>
      </w:r>
      <w:r w:rsidR="009764E7">
        <w:rPr>
          <w:rFonts w:ascii="Times New Roman" w:eastAsia="Times New Roman" w:hAnsi="Times New Roman" w:cs="Times New Roman"/>
          <w:sz w:val="24"/>
          <w:szCs w:val="24"/>
        </w:rPr>
        <w:t xml:space="preserve"> animal housing</w:t>
      </w:r>
      <w:r w:rsidR="00DE4954" w:rsidRPr="004C20BC">
        <w:rPr>
          <w:rFonts w:ascii="Times New Roman" w:eastAsia="Times New Roman" w:hAnsi="Times New Roman" w:cs="Times New Roman"/>
          <w:sz w:val="24"/>
          <w:szCs w:val="24"/>
        </w:rPr>
        <w:t xml:space="preserve">) are strong drivers of the microbiome and can </w:t>
      </w:r>
      <w:r w:rsidR="000C2D5B">
        <w:rPr>
          <w:rFonts w:ascii="Times New Roman" w:eastAsia="Times New Roman" w:hAnsi="Times New Roman" w:cs="Times New Roman"/>
          <w:sz w:val="24"/>
          <w:szCs w:val="24"/>
        </w:rPr>
        <w:t xml:space="preserve">actually </w:t>
      </w:r>
      <w:r w:rsidR="00DE4954" w:rsidRPr="004C20BC">
        <w:rPr>
          <w:rFonts w:ascii="Times New Roman" w:eastAsia="Times New Roman" w:hAnsi="Times New Roman" w:cs="Times New Roman"/>
          <w:sz w:val="24"/>
          <w:szCs w:val="24"/>
        </w:rPr>
        <w:t>have a stronger influence on research results than the main independent variable of interest</w:t>
      </w:r>
      <w:r w:rsidR="00406880" w:rsidRPr="004C20BC">
        <w:rPr>
          <w:rFonts w:ascii="Times New Roman" w:eastAsia="Times New Roman" w:hAnsi="Times New Roman" w:cs="Times New Roman"/>
          <w:sz w:val="24"/>
          <w:szCs w:val="24"/>
        </w:rPr>
        <w:t xml:space="preserve"> </w:t>
      </w:r>
      <w:r w:rsidR="00D20A02" w:rsidRPr="004C20BC">
        <w:rPr>
          <w:rFonts w:ascii="Times New Roman" w:eastAsia="Times New Roman" w:hAnsi="Times New Roman" w:cs="Times New Roman"/>
          <w:noProof/>
          <w:sz w:val="24"/>
          <w:szCs w:val="24"/>
        </w:rPr>
        <w:t>(Hoy et al., 2015; Lees et al., 2014; McCord et al., 2014)</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DE4954" w:rsidRPr="004C20BC">
        <w:rPr>
          <w:rFonts w:ascii="Times New Roman" w:eastAsia="Times New Roman" w:hAnsi="Times New Roman" w:cs="Times New Roman"/>
          <w:sz w:val="24"/>
          <w:szCs w:val="24"/>
        </w:rPr>
        <w:t>Other factors</w:t>
      </w:r>
      <w:r w:rsidR="00CA0609">
        <w:rPr>
          <w:rFonts w:ascii="Times New Roman" w:eastAsia="Times New Roman" w:hAnsi="Times New Roman" w:cs="Times New Roman"/>
          <w:sz w:val="24"/>
          <w:szCs w:val="24"/>
        </w:rPr>
        <w:t>,</w:t>
      </w:r>
      <w:r w:rsidR="00DE4954" w:rsidRPr="004C20BC">
        <w:rPr>
          <w:rFonts w:ascii="Times New Roman" w:eastAsia="Times New Roman" w:hAnsi="Times New Roman" w:cs="Times New Roman"/>
          <w:sz w:val="24"/>
          <w:szCs w:val="24"/>
        </w:rPr>
        <w:t xml:space="preserve"> such as time of sample collection</w:t>
      </w:r>
      <w:r w:rsidR="00A26C88" w:rsidRPr="004C20BC">
        <w:rPr>
          <w:rFonts w:ascii="Times New Roman" w:eastAsia="Times New Roman" w:hAnsi="Times New Roman" w:cs="Times New Roman"/>
          <w:sz w:val="24"/>
          <w:szCs w:val="24"/>
        </w:rPr>
        <w:t xml:space="preserve"> and</w:t>
      </w:r>
      <w:r w:rsidR="00D20A02" w:rsidRPr="004C20BC">
        <w:rPr>
          <w:rFonts w:ascii="Times New Roman" w:eastAsia="Times New Roman" w:hAnsi="Times New Roman" w:cs="Times New Roman"/>
          <w:sz w:val="24"/>
          <w:szCs w:val="24"/>
        </w:rPr>
        <w:t xml:space="preserve"> accounting for circadian rhythmicity of microbial relative abundance,</w:t>
      </w:r>
      <w:r w:rsidR="00DE4954" w:rsidRPr="004C20BC">
        <w:rPr>
          <w:rFonts w:ascii="Times New Roman" w:eastAsia="Times New Roman" w:hAnsi="Times New Roman" w:cs="Times New Roman"/>
          <w:sz w:val="24"/>
          <w:szCs w:val="24"/>
        </w:rPr>
        <w:t xml:space="preserve"> may not have as strong a microbiome effect</w:t>
      </w:r>
      <w:r w:rsidR="00822167" w:rsidRPr="004C20BC">
        <w:rPr>
          <w:rFonts w:ascii="Times New Roman" w:eastAsia="Times New Roman" w:hAnsi="Times New Roman" w:cs="Times New Roman"/>
          <w:sz w:val="24"/>
          <w:szCs w:val="24"/>
        </w:rPr>
        <w:t xml:space="preserve"> as the previous factors</w:t>
      </w:r>
      <w:r w:rsidR="00DE4954" w:rsidRPr="004C20BC">
        <w:rPr>
          <w:rFonts w:ascii="Times New Roman" w:eastAsia="Times New Roman" w:hAnsi="Times New Roman" w:cs="Times New Roman"/>
          <w:sz w:val="24"/>
          <w:szCs w:val="24"/>
        </w:rPr>
        <w:t xml:space="preserve"> but should still be taken into consideration and controlled </w:t>
      </w:r>
      <w:r w:rsidR="000070F5">
        <w:rPr>
          <w:rFonts w:ascii="Times New Roman" w:eastAsia="Times New Roman" w:hAnsi="Times New Roman" w:cs="Times New Roman"/>
          <w:sz w:val="24"/>
          <w:szCs w:val="24"/>
        </w:rPr>
        <w:t>during study design and interpretation of results</w:t>
      </w:r>
      <w:r w:rsidR="00DE4954" w:rsidRPr="004C20BC">
        <w:rPr>
          <w:rFonts w:ascii="Times New Roman" w:eastAsia="Times New Roman" w:hAnsi="Times New Roman" w:cs="Times New Roman"/>
          <w:sz w:val="24"/>
          <w:szCs w:val="24"/>
        </w:rPr>
        <w:t xml:space="preserve"> </w:t>
      </w:r>
      <w:r w:rsidR="004C20BC">
        <w:rPr>
          <w:rFonts w:ascii="Times New Roman" w:eastAsia="Times New Roman" w:hAnsi="Times New Roman" w:cs="Times New Roman"/>
          <w:noProof/>
          <w:sz w:val="24"/>
          <w:szCs w:val="24"/>
        </w:rPr>
        <w:t>(Liang, Bushman, &amp; FitzGerald, 2015)</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CA0609">
        <w:rPr>
          <w:rFonts w:ascii="Times New Roman" w:eastAsia="Times New Roman" w:hAnsi="Times New Roman" w:cs="Times New Roman"/>
          <w:sz w:val="24"/>
          <w:szCs w:val="24"/>
        </w:rPr>
        <w:t>P</w:t>
      </w:r>
      <w:r w:rsidR="00CA0609" w:rsidRPr="004C20BC">
        <w:rPr>
          <w:rFonts w:ascii="Times New Roman" w:eastAsia="Times New Roman" w:hAnsi="Times New Roman" w:cs="Times New Roman"/>
          <w:sz w:val="24"/>
          <w:szCs w:val="24"/>
        </w:rPr>
        <w:t xml:space="preserve">roviding </w:t>
      </w:r>
      <w:r w:rsidR="00CA0609">
        <w:rPr>
          <w:rFonts w:ascii="Times New Roman" w:eastAsia="Times New Roman" w:hAnsi="Times New Roman" w:cs="Times New Roman"/>
          <w:sz w:val="24"/>
          <w:szCs w:val="24"/>
        </w:rPr>
        <w:t>and m</w:t>
      </w:r>
      <w:r w:rsidR="00CA0609" w:rsidRPr="004C20BC">
        <w:rPr>
          <w:rFonts w:ascii="Times New Roman" w:eastAsia="Times New Roman" w:hAnsi="Times New Roman" w:cs="Times New Roman"/>
          <w:sz w:val="24"/>
          <w:szCs w:val="24"/>
        </w:rPr>
        <w:t xml:space="preserve">aintaining </w:t>
      </w:r>
      <w:r w:rsidR="00A26C88" w:rsidRPr="004C20BC">
        <w:rPr>
          <w:rFonts w:ascii="Times New Roman" w:eastAsia="Times New Roman" w:hAnsi="Times New Roman" w:cs="Times New Roman"/>
          <w:sz w:val="24"/>
          <w:szCs w:val="24"/>
        </w:rPr>
        <w:t xml:space="preserve">a </w:t>
      </w:r>
      <w:r w:rsidR="00822167" w:rsidRPr="004C20BC">
        <w:rPr>
          <w:rFonts w:ascii="Times New Roman" w:eastAsia="Times New Roman" w:hAnsi="Times New Roman" w:cs="Times New Roman"/>
          <w:noProof/>
          <w:sz w:val="24"/>
          <w:szCs w:val="24"/>
        </w:rPr>
        <w:t>rationale</w:t>
      </w:r>
      <w:r w:rsidR="00822167" w:rsidRPr="004C20BC">
        <w:rPr>
          <w:rFonts w:ascii="Times New Roman" w:eastAsia="Times New Roman" w:hAnsi="Times New Roman" w:cs="Times New Roman"/>
          <w:sz w:val="24"/>
          <w:szCs w:val="24"/>
        </w:rPr>
        <w:t xml:space="preserve"> for a </w:t>
      </w:r>
      <w:r w:rsidR="00822167" w:rsidRPr="004C20BC">
        <w:rPr>
          <w:rFonts w:ascii="Times New Roman" w:eastAsia="Times New Roman" w:hAnsi="Times New Roman" w:cs="Times New Roman"/>
          <w:sz w:val="24"/>
          <w:szCs w:val="24"/>
        </w:rPr>
        <w:lastRenderedPageBreak/>
        <w:t>consistent sampling time will account for potential variation in bacterial expression patterns throughout the circadian day.</w:t>
      </w:r>
      <w:r w:rsidR="003F14B1">
        <w:rPr>
          <w:rFonts w:ascii="Times New Roman" w:eastAsia="Times New Roman" w:hAnsi="Times New Roman" w:cs="Times New Roman"/>
          <w:sz w:val="24"/>
          <w:szCs w:val="24"/>
        </w:rPr>
        <w:t xml:space="preserve"> </w:t>
      </w:r>
    </w:p>
    <w:p w14:paraId="1BFAA351" w14:textId="3AE01CCB" w:rsidR="002C570B" w:rsidRPr="00967C61" w:rsidRDefault="00DE4954" w:rsidP="00CF37B0">
      <w:pPr>
        <w:spacing w:line="480" w:lineRule="auto"/>
        <w:jc w:val="center"/>
        <w:outlineLvl w:val="0"/>
        <w:rPr>
          <w:rFonts w:ascii="Times New Roman" w:eastAsia="Times New Roman" w:hAnsi="Times New Roman" w:cs="Times New Roman"/>
          <w:b/>
          <w:sz w:val="24"/>
          <w:szCs w:val="24"/>
        </w:rPr>
      </w:pPr>
      <w:r w:rsidRPr="004C20BC">
        <w:rPr>
          <w:rFonts w:ascii="Times New Roman" w:eastAsia="Times New Roman" w:hAnsi="Times New Roman" w:cs="Times New Roman"/>
          <w:b/>
          <w:sz w:val="24"/>
          <w:szCs w:val="24"/>
        </w:rPr>
        <w:t xml:space="preserve">Setting </w:t>
      </w:r>
      <w:r w:rsidR="00670CD6">
        <w:rPr>
          <w:rFonts w:ascii="Times New Roman" w:eastAsia="Times New Roman" w:hAnsi="Times New Roman" w:cs="Times New Roman"/>
          <w:b/>
          <w:sz w:val="24"/>
          <w:szCs w:val="24"/>
        </w:rPr>
        <w:t>U</w:t>
      </w:r>
      <w:r w:rsidRPr="004C20BC">
        <w:rPr>
          <w:rFonts w:ascii="Times New Roman" w:eastAsia="Times New Roman" w:hAnsi="Times New Roman" w:cs="Times New Roman"/>
          <w:b/>
          <w:sz w:val="24"/>
          <w:szCs w:val="24"/>
        </w:rPr>
        <w:t xml:space="preserve">p a </w:t>
      </w:r>
      <w:r w:rsidR="00CA0609">
        <w:rPr>
          <w:rFonts w:ascii="Times New Roman" w:eastAsia="Times New Roman" w:hAnsi="Times New Roman" w:cs="Times New Roman"/>
          <w:b/>
          <w:sz w:val="24"/>
          <w:szCs w:val="24"/>
        </w:rPr>
        <w:t>M</w:t>
      </w:r>
      <w:r w:rsidRPr="004C20BC">
        <w:rPr>
          <w:rFonts w:ascii="Times New Roman" w:eastAsia="Times New Roman" w:hAnsi="Times New Roman" w:cs="Times New Roman"/>
          <w:b/>
          <w:sz w:val="24"/>
          <w:szCs w:val="24"/>
        </w:rPr>
        <w:t xml:space="preserve">icrobiome </w:t>
      </w:r>
      <w:r w:rsidR="00CA0609">
        <w:rPr>
          <w:rFonts w:ascii="Times New Roman" w:eastAsia="Times New Roman" w:hAnsi="Times New Roman" w:cs="Times New Roman"/>
          <w:b/>
          <w:sz w:val="24"/>
          <w:szCs w:val="24"/>
        </w:rPr>
        <w:t>R</w:t>
      </w:r>
      <w:r w:rsidRPr="004C20BC">
        <w:rPr>
          <w:rFonts w:ascii="Times New Roman" w:eastAsia="Times New Roman" w:hAnsi="Times New Roman" w:cs="Times New Roman"/>
          <w:b/>
          <w:sz w:val="24"/>
          <w:szCs w:val="24"/>
        </w:rPr>
        <w:t xml:space="preserve">esearch </w:t>
      </w:r>
      <w:r w:rsidR="00CA0609">
        <w:rPr>
          <w:rFonts w:ascii="Times New Roman" w:eastAsia="Times New Roman" w:hAnsi="Times New Roman" w:cs="Times New Roman"/>
          <w:b/>
          <w:sz w:val="24"/>
          <w:szCs w:val="24"/>
        </w:rPr>
        <w:t>P</w:t>
      </w:r>
      <w:r w:rsidRPr="004C20BC">
        <w:rPr>
          <w:rFonts w:ascii="Times New Roman" w:eastAsia="Times New Roman" w:hAnsi="Times New Roman" w:cs="Times New Roman"/>
          <w:b/>
          <w:sz w:val="24"/>
          <w:szCs w:val="24"/>
        </w:rPr>
        <w:t>roject</w:t>
      </w:r>
    </w:p>
    <w:p w14:paraId="6B80DAF1" w14:textId="3DBC5BEF" w:rsidR="00D82F79" w:rsidRDefault="00DE4954" w:rsidP="00967C61">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 xml:space="preserve">Advances in human microbiome research </w:t>
      </w:r>
      <w:r w:rsidRPr="004C20BC">
        <w:rPr>
          <w:rFonts w:ascii="Times New Roman" w:eastAsia="Times New Roman" w:hAnsi="Times New Roman" w:cs="Times New Roman"/>
          <w:noProof/>
          <w:sz w:val="24"/>
          <w:szCs w:val="24"/>
        </w:rPr>
        <w:t>depend</w:t>
      </w:r>
      <w:r w:rsidR="00871E85" w:rsidRPr="004C20BC">
        <w:rPr>
          <w:rFonts w:ascii="Times New Roman" w:eastAsia="Times New Roman" w:hAnsi="Times New Roman" w:cs="Times New Roman"/>
          <w:noProof/>
          <w:sz w:val="24"/>
          <w:szCs w:val="24"/>
        </w:rPr>
        <w:t xml:space="preserve"> o</w:t>
      </w:r>
      <w:r w:rsidRPr="004C20BC">
        <w:rPr>
          <w:rFonts w:ascii="Times New Roman" w:eastAsia="Times New Roman" w:hAnsi="Times New Roman" w:cs="Times New Roman"/>
          <w:sz w:val="24"/>
          <w:szCs w:val="24"/>
        </w:rPr>
        <w:t>n precise study execution, control</w:t>
      </w:r>
      <w:r w:rsidR="00871CDC" w:rsidRPr="004C20BC">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 </w:t>
      </w:r>
      <w:r w:rsidRPr="004C20BC">
        <w:rPr>
          <w:rFonts w:ascii="Times New Roman" w:eastAsia="Times New Roman" w:hAnsi="Times New Roman" w:cs="Times New Roman"/>
          <w:noProof/>
          <w:sz w:val="24"/>
          <w:szCs w:val="24"/>
        </w:rPr>
        <w:t>and</w:t>
      </w:r>
      <w:r w:rsidRPr="004C20BC">
        <w:rPr>
          <w:rFonts w:ascii="Times New Roman" w:eastAsia="Times New Roman" w:hAnsi="Times New Roman" w:cs="Times New Roman"/>
          <w:sz w:val="24"/>
          <w:szCs w:val="24"/>
        </w:rPr>
        <w:t xml:space="preserve"> reproducibility</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262F56" w:rsidRPr="004C20BC">
        <w:rPr>
          <w:rFonts w:ascii="Times New Roman" w:eastAsia="Times New Roman" w:hAnsi="Times New Roman" w:cs="Times New Roman"/>
          <w:sz w:val="24"/>
          <w:szCs w:val="24"/>
        </w:rPr>
        <w:t xml:space="preserve">Aside from the factors described above, </w:t>
      </w:r>
      <w:r w:rsidR="00D82F79">
        <w:rPr>
          <w:rFonts w:ascii="Times New Roman" w:eastAsia="Times New Roman" w:hAnsi="Times New Roman" w:cs="Times New Roman"/>
          <w:sz w:val="24"/>
          <w:szCs w:val="24"/>
        </w:rPr>
        <w:t xml:space="preserve">researchers must consider a number of </w:t>
      </w:r>
      <w:r w:rsidR="00262F56" w:rsidRPr="004C20BC">
        <w:rPr>
          <w:rFonts w:ascii="Times New Roman" w:eastAsia="Times New Roman" w:hAnsi="Times New Roman" w:cs="Times New Roman"/>
          <w:sz w:val="24"/>
          <w:szCs w:val="24"/>
        </w:rPr>
        <w:t xml:space="preserve">other elements </w:t>
      </w:r>
      <w:r w:rsidRPr="004C20BC">
        <w:rPr>
          <w:rFonts w:ascii="Times New Roman" w:eastAsia="Times New Roman" w:hAnsi="Times New Roman" w:cs="Times New Roman"/>
          <w:sz w:val="24"/>
          <w:szCs w:val="24"/>
        </w:rPr>
        <w:t xml:space="preserve">to ensure </w:t>
      </w:r>
      <w:r w:rsidRPr="004C20BC">
        <w:rPr>
          <w:rFonts w:ascii="Times New Roman" w:eastAsia="Times New Roman" w:hAnsi="Times New Roman" w:cs="Times New Roman"/>
          <w:noProof/>
          <w:sz w:val="24"/>
          <w:szCs w:val="24"/>
        </w:rPr>
        <w:t>high</w:t>
      </w:r>
      <w:r w:rsidR="00CA0609">
        <w:rPr>
          <w:rFonts w:ascii="Times New Roman" w:eastAsia="Times New Roman" w:hAnsi="Times New Roman" w:cs="Times New Roman"/>
          <w:noProof/>
          <w:sz w:val="24"/>
          <w:szCs w:val="24"/>
        </w:rPr>
        <w:t>-</w:t>
      </w:r>
      <w:r w:rsidRPr="004C20BC">
        <w:rPr>
          <w:rFonts w:ascii="Times New Roman" w:eastAsia="Times New Roman" w:hAnsi="Times New Roman" w:cs="Times New Roman"/>
          <w:noProof/>
          <w:sz w:val="24"/>
          <w:szCs w:val="24"/>
        </w:rPr>
        <w:t>quality</w:t>
      </w:r>
      <w:r w:rsidRPr="004C20BC">
        <w:rPr>
          <w:rFonts w:ascii="Times New Roman" w:eastAsia="Times New Roman" w:hAnsi="Times New Roman" w:cs="Times New Roman"/>
          <w:sz w:val="24"/>
          <w:szCs w:val="24"/>
        </w:rPr>
        <w:t xml:space="preserve"> data analysis and results</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 xml:space="preserve">These </w:t>
      </w:r>
      <w:r w:rsidR="00D82F79">
        <w:rPr>
          <w:rFonts w:ascii="Times New Roman" w:eastAsia="Times New Roman" w:hAnsi="Times New Roman" w:cs="Times New Roman"/>
          <w:sz w:val="24"/>
          <w:szCs w:val="24"/>
        </w:rPr>
        <w:t xml:space="preserve">elements </w:t>
      </w:r>
      <w:r w:rsidRPr="004C20BC">
        <w:rPr>
          <w:rFonts w:ascii="Times New Roman" w:eastAsia="Times New Roman" w:hAnsi="Times New Roman" w:cs="Times New Roman"/>
          <w:sz w:val="24"/>
          <w:szCs w:val="24"/>
        </w:rPr>
        <w:t xml:space="preserve">include study design, </w:t>
      </w:r>
      <w:r w:rsidR="00D82F79" w:rsidRPr="004C20BC">
        <w:rPr>
          <w:rFonts w:ascii="Times New Roman" w:eastAsia="Times New Roman" w:hAnsi="Times New Roman" w:cs="Times New Roman"/>
          <w:sz w:val="24"/>
          <w:szCs w:val="24"/>
        </w:rPr>
        <w:t>sample</w:t>
      </w:r>
      <w:r w:rsidR="00D82F79">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collection methods, </w:t>
      </w:r>
      <w:r w:rsidR="00A26C88" w:rsidRPr="004C20BC">
        <w:rPr>
          <w:rFonts w:ascii="Times New Roman" w:eastAsia="Times New Roman" w:hAnsi="Times New Roman" w:cs="Times New Roman"/>
          <w:sz w:val="24"/>
          <w:szCs w:val="24"/>
        </w:rPr>
        <w:t xml:space="preserve">and </w:t>
      </w:r>
      <w:r w:rsidRPr="004C20BC">
        <w:rPr>
          <w:rFonts w:ascii="Times New Roman" w:eastAsia="Times New Roman" w:hAnsi="Times New Roman" w:cs="Times New Roman"/>
          <w:sz w:val="24"/>
          <w:szCs w:val="24"/>
        </w:rPr>
        <w:t>processing and storage for downstream analysis.</w:t>
      </w:r>
      <w:r w:rsidR="003F14B1">
        <w:rPr>
          <w:rFonts w:ascii="Times New Roman" w:eastAsia="Times New Roman" w:hAnsi="Times New Roman" w:cs="Times New Roman"/>
          <w:sz w:val="24"/>
          <w:szCs w:val="24"/>
        </w:rPr>
        <w:t xml:space="preserve"> </w:t>
      </w:r>
      <w:r w:rsidR="00D82F79">
        <w:rPr>
          <w:rFonts w:ascii="Times New Roman" w:eastAsia="Times New Roman" w:hAnsi="Times New Roman" w:cs="Times New Roman"/>
          <w:sz w:val="24"/>
          <w:szCs w:val="24"/>
        </w:rPr>
        <w:t>We provide a</w:t>
      </w:r>
      <w:r w:rsidR="00A363DC">
        <w:rPr>
          <w:rFonts w:ascii="Times New Roman" w:eastAsia="Times New Roman" w:hAnsi="Times New Roman" w:cs="Times New Roman"/>
          <w:sz w:val="24"/>
          <w:szCs w:val="24"/>
        </w:rPr>
        <w:t xml:space="preserve"> summary of </w:t>
      </w:r>
      <w:r w:rsidR="00D82F79">
        <w:rPr>
          <w:rFonts w:ascii="Times New Roman" w:eastAsia="Times New Roman" w:hAnsi="Times New Roman" w:cs="Times New Roman"/>
          <w:sz w:val="24"/>
          <w:szCs w:val="24"/>
        </w:rPr>
        <w:t xml:space="preserve">the </w:t>
      </w:r>
      <w:r w:rsidR="000A59BA">
        <w:rPr>
          <w:rFonts w:ascii="Times New Roman" w:eastAsia="Times New Roman" w:hAnsi="Times New Roman" w:cs="Times New Roman"/>
          <w:sz w:val="24"/>
          <w:szCs w:val="24"/>
        </w:rPr>
        <w:t xml:space="preserve">specific </w:t>
      </w:r>
      <w:r w:rsidR="00A363DC">
        <w:rPr>
          <w:rFonts w:ascii="Times New Roman" w:eastAsia="Times New Roman" w:hAnsi="Times New Roman" w:cs="Times New Roman"/>
          <w:sz w:val="24"/>
          <w:szCs w:val="24"/>
        </w:rPr>
        <w:t>recommendations for human and animal microbiome studies</w:t>
      </w:r>
      <w:r w:rsidR="00EB5F28">
        <w:rPr>
          <w:rFonts w:ascii="Times New Roman" w:eastAsia="Times New Roman" w:hAnsi="Times New Roman" w:cs="Times New Roman"/>
          <w:sz w:val="24"/>
          <w:szCs w:val="24"/>
        </w:rPr>
        <w:t xml:space="preserve"> </w:t>
      </w:r>
      <w:r w:rsidR="00D82F79">
        <w:rPr>
          <w:rFonts w:ascii="Times New Roman" w:eastAsia="Times New Roman" w:hAnsi="Times New Roman" w:cs="Times New Roman"/>
          <w:sz w:val="24"/>
          <w:szCs w:val="24"/>
        </w:rPr>
        <w:t xml:space="preserve">that we </w:t>
      </w:r>
      <w:r w:rsidR="00EB5F28">
        <w:rPr>
          <w:rFonts w:ascii="Times New Roman" w:eastAsia="Times New Roman" w:hAnsi="Times New Roman" w:cs="Times New Roman"/>
          <w:sz w:val="24"/>
          <w:szCs w:val="24"/>
        </w:rPr>
        <w:t xml:space="preserve">describe in this manuscript </w:t>
      </w:r>
      <w:r w:rsidR="00A363DC">
        <w:rPr>
          <w:rFonts w:ascii="Times New Roman" w:eastAsia="Times New Roman" w:hAnsi="Times New Roman" w:cs="Times New Roman"/>
          <w:sz w:val="24"/>
          <w:szCs w:val="24"/>
        </w:rPr>
        <w:t>in Table 2.</w:t>
      </w:r>
    </w:p>
    <w:p w14:paraId="7C807FA3" w14:textId="4A20F2F6" w:rsidR="003F59A6" w:rsidRPr="004C20BC" w:rsidRDefault="00D82F79" w:rsidP="00967C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&lt;Table 2 near here.&gt;</w:t>
      </w:r>
      <w:r w:rsidR="00A363DC">
        <w:rPr>
          <w:rFonts w:ascii="Times New Roman" w:eastAsia="Times New Roman" w:hAnsi="Times New Roman" w:cs="Times New Roman"/>
          <w:sz w:val="24"/>
          <w:szCs w:val="24"/>
        </w:rPr>
        <w:t xml:space="preserve"> </w:t>
      </w:r>
    </w:p>
    <w:p w14:paraId="11845EF2" w14:textId="306F8007" w:rsidR="002C570B" w:rsidRPr="004C20BC" w:rsidRDefault="00DE4954" w:rsidP="00BF0230">
      <w:pPr>
        <w:spacing w:line="480" w:lineRule="auto"/>
        <w:outlineLvl w:val="0"/>
        <w:rPr>
          <w:rFonts w:ascii="Times New Roman" w:eastAsia="Times New Roman" w:hAnsi="Times New Roman" w:cs="Times New Roman"/>
          <w:b/>
          <w:sz w:val="24"/>
          <w:szCs w:val="24"/>
        </w:rPr>
      </w:pPr>
      <w:r w:rsidRPr="004C20BC">
        <w:rPr>
          <w:rFonts w:ascii="Times New Roman" w:eastAsia="Times New Roman" w:hAnsi="Times New Roman" w:cs="Times New Roman"/>
          <w:b/>
          <w:sz w:val="24"/>
          <w:szCs w:val="24"/>
        </w:rPr>
        <w:t xml:space="preserve">Study </w:t>
      </w:r>
      <w:r w:rsidR="00CA0609">
        <w:rPr>
          <w:rFonts w:ascii="Times New Roman" w:eastAsia="Times New Roman" w:hAnsi="Times New Roman" w:cs="Times New Roman"/>
          <w:b/>
          <w:sz w:val="24"/>
          <w:szCs w:val="24"/>
        </w:rPr>
        <w:t>D</w:t>
      </w:r>
      <w:r w:rsidRPr="004C20BC">
        <w:rPr>
          <w:rFonts w:ascii="Times New Roman" w:eastAsia="Times New Roman" w:hAnsi="Times New Roman" w:cs="Times New Roman"/>
          <w:b/>
          <w:sz w:val="24"/>
          <w:szCs w:val="24"/>
        </w:rPr>
        <w:t>esign</w:t>
      </w:r>
    </w:p>
    <w:p w14:paraId="7F9BF867" w14:textId="4C904623" w:rsidR="00F56CA1" w:rsidRDefault="00CA0609" w:rsidP="00C93CCD">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Because </w:t>
      </w:r>
      <w:r w:rsidR="00DE4954" w:rsidRPr="004C20BC">
        <w:rPr>
          <w:rFonts w:ascii="Times New Roman" w:eastAsia="Times New Roman" w:hAnsi="Times New Roman" w:cs="Times New Roman"/>
          <w:sz w:val="24"/>
          <w:szCs w:val="24"/>
        </w:rPr>
        <w:t>no standard methods have yet been established in microbiome research, effect sizes vary by disorders</w:t>
      </w:r>
      <w:r w:rsidR="00822167" w:rsidRPr="004C20BC">
        <w:rPr>
          <w:rFonts w:ascii="Times New Roman" w:eastAsia="Times New Roman" w:hAnsi="Times New Roman" w:cs="Times New Roman"/>
          <w:sz w:val="24"/>
          <w:szCs w:val="24"/>
        </w:rPr>
        <w:t xml:space="preserve"> </w:t>
      </w:r>
      <w:r w:rsidR="00B578D5" w:rsidRPr="004C20BC">
        <w:rPr>
          <w:rFonts w:ascii="Times New Roman" w:eastAsia="Times New Roman" w:hAnsi="Times New Roman" w:cs="Times New Roman"/>
          <w:noProof/>
          <w:sz w:val="24"/>
          <w:szCs w:val="24"/>
        </w:rPr>
        <w:t>(Kelly et al., 2015; La Rosa et al., 2012)</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DE4954" w:rsidRPr="004C20BC">
        <w:rPr>
          <w:rFonts w:ascii="Times New Roman" w:eastAsia="Times New Roman" w:hAnsi="Times New Roman" w:cs="Times New Roman"/>
          <w:sz w:val="24"/>
          <w:szCs w:val="24"/>
        </w:rPr>
        <w:t>For singular microbiome studies, doing a pilot study first will help define adequate sample and effect sizes</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DE4954" w:rsidRPr="004C20BC">
        <w:rPr>
          <w:rFonts w:ascii="Times New Roman" w:eastAsia="Times New Roman" w:hAnsi="Times New Roman" w:cs="Times New Roman"/>
          <w:sz w:val="24"/>
          <w:szCs w:val="24"/>
        </w:rPr>
        <w:t>Alternatively, large cohort studies like the Human Microbiome Project and tools like “Evident”</w:t>
      </w:r>
      <w:r w:rsidR="003F628E" w:rsidRPr="004C20BC">
        <w:rPr>
          <w:rFonts w:ascii="Times New Roman" w:eastAsia="Times New Roman" w:hAnsi="Times New Roman" w:cs="Times New Roman"/>
          <w:sz w:val="24"/>
          <w:szCs w:val="24"/>
        </w:rPr>
        <w:t xml:space="preserve"> (</w:t>
      </w:r>
      <w:r w:rsidR="003F628E" w:rsidRPr="004C20BC">
        <w:rPr>
          <w:rFonts w:ascii="Times New Roman" w:hAnsi="Times New Roman" w:cs="Times New Roman"/>
          <w:sz w:val="24"/>
          <w:szCs w:val="24"/>
          <w:lang w:val="en-US"/>
        </w:rPr>
        <w:t>https://github.com/biocore/Evident)</w:t>
      </w:r>
      <w:r w:rsidR="003F14B1">
        <w:rPr>
          <w:rFonts w:ascii="Times New Roman" w:hAnsi="Times New Roman" w:cs="Times New Roman"/>
          <w:sz w:val="24"/>
          <w:szCs w:val="24"/>
          <w:lang w:val="en-US"/>
        </w:rPr>
        <w:t xml:space="preserve"> </w:t>
      </w:r>
      <w:r w:rsidR="00DE4954" w:rsidRPr="004C20BC">
        <w:rPr>
          <w:rFonts w:ascii="Times New Roman" w:eastAsia="Times New Roman" w:hAnsi="Times New Roman" w:cs="Times New Roman"/>
          <w:sz w:val="24"/>
          <w:szCs w:val="24"/>
        </w:rPr>
        <w:t xml:space="preserve">have published methods to estimate sample sizes based on projected effect </w:t>
      </w:r>
      <w:r w:rsidR="00B578D5" w:rsidRPr="004C20BC">
        <w:rPr>
          <w:rFonts w:ascii="Times New Roman" w:eastAsia="Times New Roman" w:hAnsi="Times New Roman" w:cs="Times New Roman"/>
          <w:sz w:val="24"/>
          <w:szCs w:val="24"/>
        </w:rPr>
        <w:t xml:space="preserve">sizes </w:t>
      </w:r>
      <w:r w:rsidR="00B578D5" w:rsidRPr="004C20BC">
        <w:rPr>
          <w:rFonts w:ascii="Times New Roman" w:eastAsia="Times New Roman" w:hAnsi="Times New Roman" w:cs="Times New Roman"/>
          <w:noProof/>
          <w:sz w:val="24"/>
          <w:szCs w:val="24"/>
        </w:rPr>
        <w:t>(Goodrich et al., 2014)</w:t>
      </w:r>
      <w:r w:rsidR="00DE4954"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p>
    <w:p w14:paraId="5D872FA0" w14:textId="0EC6E716" w:rsidR="002C570B" w:rsidRPr="004C20BC" w:rsidRDefault="00DE4954" w:rsidP="00BF0230">
      <w:pPr>
        <w:spacing w:line="480" w:lineRule="auto"/>
        <w:outlineLvl w:val="0"/>
        <w:rPr>
          <w:rFonts w:ascii="Times New Roman" w:eastAsia="Times New Roman" w:hAnsi="Times New Roman" w:cs="Times New Roman"/>
          <w:b/>
          <w:sz w:val="24"/>
          <w:szCs w:val="24"/>
        </w:rPr>
      </w:pPr>
      <w:r w:rsidRPr="004C20BC">
        <w:rPr>
          <w:rFonts w:ascii="Times New Roman" w:eastAsia="Times New Roman" w:hAnsi="Times New Roman" w:cs="Times New Roman"/>
          <w:b/>
          <w:sz w:val="24"/>
          <w:szCs w:val="24"/>
        </w:rPr>
        <w:t xml:space="preserve">Sample </w:t>
      </w:r>
      <w:r w:rsidR="00CA0609">
        <w:rPr>
          <w:rFonts w:ascii="Times New Roman" w:eastAsia="Times New Roman" w:hAnsi="Times New Roman" w:cs="Times New Roman"/>
          <w:b/>
          <w:sz w:val="24"/>
          <w:szCs w:val="24"/>
        </w:rPr>
        <w:t>C</w:t>
      </w:r>
      <w:r w:rsidRPr="004C20BC">
        <w:rPr>
          <w:rFonts w:ascii="Times New Roman" w:eastAsia="Times New Roman" w:hAnsi="Times New Roman" w:cs="Times New Roman"/>
          <w:b/>
          <w:sz w:val="24"/>
          <w:szCs w:val="24"/>
        </w:rPr>
        <w:t xml:space="preserve">ollection </w:t>
      </w:r>
      <w:r w:rsidR="00CA0609">
        <w:rPr>
          <w:rFonts w:ascii="Times New Roman" w:eastAsia="Times New Roman" w:hAnsi="Times New Roman" w:cs="Times New Roman"/>
          <w:b/>
          <w:sz w:val="24"/>
          <w:szCs w:val="24"/>
        </w:rPr>
        <w:t>M</w:t>
      </w:r>
      <w:r w:rsidRPr="004C20BC">
        <w:rPr>
          <w:rFonts w:ascii="Times New Roman" w:eastAsia="Times New Roman" w:hAnsi="Times New Roman" w:cs="Times New Roman"/>
          <w:b/>
          <w:sz w:val="24"/>
          <w:szCs w:val="24"/>
        </w:rPr>
        <w:t>ethods</w:t>
      </w:r>
    </w:p>
    <w:p w14:paraId="263B0829" w14:textId="1C5B98F3" w:rsidR="002C570B" w:rsidRPr="004C20BC" w:rsidRDefault="00DE4954" w:rsidP="00967C61">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 xml:space="preserve">Most biological sample collection protocols for human microbiome studies are noninvasive </w:t>
      </w:r>
      <w:r w:rsidR="00055C7A">
        <w:rPr>
          <w:rFonts w:ascii="Times New Roman" w:eastAsia="Times New Roman" w:hAnsi="Times New Roman" w:cs="Times New Roman"/>
          <w:sz w:val="24"/>
          <w:szCs w:val="24"/>
        </w:rPr>
        <w:t xml:space="preserve">or minimally invasive </w:t>
      </w:r>
      <w:r w:rsidRPr="004C20BC">
        <w:rPr>
          <w:rFonts w:ascii="Times New Roman" w:eastAsia="Times New Roman" w:hAnsi="Times New Roman" w:cs="Times New Roman"/>
          <w:sz w:val="24"/>
          <w:szCs w:val="24"/>
        </w:rPr>
        <w:t xml:space="preserve">and cause minimal risk to the participants (except for </w:t>
      </w:r>
      <w:r w:rsidRPr="004C20BC">
        <w:rPr>
          <w:rFonts w:ascii="Times New Roman" w:eastAsia="Times New Roman" w:hAnsi="Times New Roman" w:cs="Times New Roman"/>
          <w:noProof/>
          <w:sz w:val="24"/>
          <w:szCs w:val="24"/>
        </w:rPr>
        <w:t>collection</w:t>
      </w:r>
      <w:r w:rsidRPr="004C20BC">
        <w:rPr>
          <w:rFonts w:ascii="Times New Roman" w:eastAsia="Times New Roman" w:hAnsi="Times New Roman" w:cs="Times New Roman"/>
          <w:sz w:val="24"/>
          <w:szCs w:val="24"/>
        </w:rPr>
        <w:t xml:space="preserve"> of hard tissues from the oral cavity</w:t>
      </w:r>
      <w:r w:rsidR="00A26C88" w:rsidRPr="004C20BC">
        <w:rPr>
          <w:rFonts w:ascii="Times New Roman" w:eastAsia="Times New Roman" w:hAnsi="Times New Roman" w:cs="Times New Roman"/>
          <w:sz w:val="24"/>
          <w:szCs w:val="24"/>
        </w:rPr>
        <w:t xml:space="preserve"> and</w:t>
      </w:r>
      <w:r w:rsidRPr="004C20BC">
        <w:rPr>
          <w:rFonts w:ascii="Times New Roman" w:eastAsia="Times New Roman" w:hAnsi="Times New Roman" w:cs="Times New Roman"/>
          <w:sz w:val="24"/>
          <w:szCs w:val="24"/>
        </w:rPr>
        <w:t xml:space="preserve"> vagina </w:t>
      </w:r>
      <w:r w:rsidRPr="004C20BC">
        <w:rPr>
          <w:rFonts w:ascii="Times New Roman" w:eastAsia="Times New Roman" w:hAnsi="Times New Roman" w:cs="Times New Roman"/>
          <w:noProof/>
          <w:sz w:val="24"/>
          <w:szCs w:val="24"/>
        </w:rPr>
        <w:t>and</w:t>
      </w:r>
      <w:r w:rsidRPr="004C20BC">
        <w:rPr>
          <w:rFonts w:ascii="Times New Roman" w:eastAsia="Times New Roman" w:hAnsi="Times New Roman" w:cs="Times New Roman"/>
          <w:sz w:val="24"/>
          <w:szCs w:val="24"/>
        </w:rPr>
        <w:t xml:space="preserve"> rectal swabs</w:t>
      </w:r>
      <w:r w:rsidR="00D3719D">
        <w:rPr>
          <w:rFonts w:ascii="Times New Roman" w:eastAsia="Times New Roman" w:hAnsi="Times New Roman" w:cs="Times New Roman"/>
          <w:sz w:val="24"/>
          <w:szCs w:val="24"/>
        </w:rPr>
        <w:t xml:space="preserve">; </w:t>
      </w:r>
      <w:r w:rsidR="00FD5C5F" w:rsidRPr="004C20BC">
        <w:rPr>
          <w:rFonts w:ascii="Times New Roman" w:eastAsia="Times New Roman" w:hAnsi="Times New Roman" w:cs="Times New Roman"/>
          <w:noProof/>
          <w:sz w:val="24"/>
          <w:szCs w:val="24"/>
        </w:rPr>
        <w:t>Kuczynski et al., 2011; McInnes &amp; Cutting, 2010)</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132482" w:rsidRPr="004C20BC">
        <w:rPr>
          <w:rFonts w:ascii="Times New Roman" w:eastAsia="Times New Roman" w:hAnsi="Times New Roman" w:cs="Times New Roman"/>
          <w:sz w:val="24"/>
          <w:szCs w:val="24"/>
        </w:rPr>
        <w:t>A</w:t>
      </w:r>
      <w:r w:rsidR="000D771C" w:rsidRPr="004C20BC">
        <w:rPr>
          <w:rFonts w:ascii="Times New Roman" w:eastAsia="Times New Roman" w:hAnsi="Times New Roman" w:cs="Times New Roman"/>
          <w:sz w:val="24"/>
          <w:szCs w:val="24"/>
        </w:rPr>
        <w:t xml:space="preserve">lthough </w:t>
      </w:r>
      <w:r w:rsidR="00132482" w:rsidRPr="004C20BC">
        <w:rPr>
          <w:rFonts w:ascii="Times New Roman" w:eastAsia="Times New Roman" w:hAnsi="Times New Roman" w:cs="Times New Roman"/>
          <w:sz w:val="24"/>
          <w:szCs w:val="24"/>
        </w:rPr>
        <w:t>fecal sampling for microbiome studies is noninvasive, participants may view this route of sample collection as unpleasant</w:t>
      </w:r>
      <w:r w:rsidR="002F54DF">
        <w:rPr>
          <w:rFonts w:ascii="Times New Roman" w:eastAsia="Times New Roman" w:hAnsi="Times New Roman" w:cs="Times New Roman"/>
          <w:sz w:val="24"/>
          <w:szCs w:val="24"/>
        </w:rPr>
        <w:t xml:space="preserve">, and researchers </w:t>
      </w:r>
      <w:r w:rsidR="002F54DF">
        <w:rPr>
          <w:rFonts w:ascii="Times New Roman" w:eastAsia="Times New Roman" w:hAnsi="Times New Roman" w:cs="Times New Roman"/>
          <w:sz w:val="24"/>
          <w:szCs w:val="24"/>
        </w:rPr>
        <w:lastRenderedPageBreak/>
        <w:t>should consider and account for potential</w:t>
      </w:r>
      <w:r w:rsidR="00132482" w:rsidRPr="004C20BC">
        <w:rPr>
          <w:rFonts w:ascii="Times New Roman" w:eastAsia="Times New Roman" w:hAnsi="Times New Roman" w:cs="Times New Roman"/>
          <w:sz w:val="24"/>
          <w:szCs w:val="24"/>
        </w:rPr>
        <w:t xml:space="preserve"> attrition in participants in longitudinal studies</w:t>
      </w:r>
      <w:r w:rsidR="00526F6C" w:rsidRPr="004C20BC">
        <w:rPr>
          <w:rFonts w:ascii="Times New Roman" w:eastAsia="Times New Roman" w:hAnsi="Times New Roman" w:cs="Times New Roman"/>
          <w:sz w:val="24"/>
          <w:szCs w:val="24"/>
        </w:rPr>
        <w:t xml:space="preserve"> </w:t>
      </w:r>
      <w:r w:rsidR="00526F6C" w:rsidRPr="004C20BC">
        <w:rPr>
          <w:rFonts w:ascii="Times New Roman" w:eastAsia="Times New Roman" w:hAnsi="Times New Roman" w:cs="Times New Roman"/>
          <w:noProof/>
          <w:sz w:val="24"/>
          <w:szCs w:val="24"/>
        </w:rPr>
        <w:t>(Ricardo-Rodrigues et al., 2015)</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526F6C" w:rsidRPr="004C20BC">
        <w:rPr>
          <w:rFonts w:ascii="Times New Roman" w:eastAsia="Times New Roman" w:hAnsi="Times New Roman" w:cs="Times New Roman"/>
          <w:sz w:val="24"/>
          <w:szCs w:val="24"/>
        </w:rPr>
        <w:t>Devoting time to education</w:t>
      </w:r>
      <w:r w:rsidR="00132482" w:rsidRPr="004C20BC">
        <w:rPr>
          <w:rFonts w:ascii="Times New Roman" w:eastAsia="Times New Roman" w:hAnsi="Times New Roman" w:cs="Times New Roman"/>
          <w:sz w:val="24"/>
          <w:szCs w:val="24"/>
        </w:rPr>
        <w:t xml:space="preserve"> on procedures for sample collection and return can increase </w:t>
      </w:r>
      <w:r w:rsidR="00526F6C" w:rsidRPr="004C20BC">
        <w:rPr>
          <w:rFonts w:ascii="Times New Roman" w:eastAsia="Times New Roman" w:hAnsi="Times New Roman" w:cs="Times New Roman"/>
          <w:sz w:val="24"/>
          <w:szCs w:val="24"/>
        </w:rPr>
        <w:t>compliance and will increase the sample yield</w:t>
      </w:r>
      <w:r w:rsidR="00D74F05">
        <w:rPr>
          <w:rFonts w:ascii="Times New Roman" w:eastAsia="Times New Roman" w:hAnsi="Times New Roman" w:cs="Times New Roman"/>
          <w:sz w:val="24"/>
          <w:szCs w:val="24"/>
        </w:rPr>
        <w:t xml:space="preserve"> </w:t>
      </w:r>
      <w:r w:rsidR="00D74F05">
        <w:rPr>
          <w:rFonts w:ascii="Times New Roman" w:eastAsia="Times New Roman" w:hAnsi="Times New Roman" w:cs="Times New Roman"/>
          <w:noProof/>
          <w:sz w:val="24"/>
          <w:szCs w:val="24"/>
        </w:rPr>
        <w:t>(Wolf et al., 2001)</w:t>
      </w:r>
      <w:r w:rsidR="00526F6C"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p>
    <w:p w14:paraId="79FD05EF" w14:textId="7E12D5D8" w:rsidR="003003CA" w:rsidRPr="004C20BC" w:rsidRDefault="00087A6E" w:rsidP="00967C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Researchers collect s</w:t>
      </w:r>
      <w:r w:rsidR="00B608F7" w:rsidRPr="004C20BC">
        <w:rPr>
          <w:rFonts w:ascii="Times New Roman" w:eastAsia="Times New Roman" w:hAnsi="Times New Roman" w:cs="Times New Roman"/>
          <w:sz w:val="24"/>
          <w:szCs w:val="24"/>
        </w:rPr>
        <w:t xml:space="preserve">amples </w:t>
      </w:r>
      <w:r w:rsidR="00DE4954" w:rsidRPr="004C20BC">
        <w:rPr>
          <w:rFonts w:ascii="Times New Roman" w:eastAsia="Times New Roman" w:hAnsi="Times New Roman" w:cs="Times New Roman"/>
          <w:sz w:val="24"/>
          <w:szCs w:val="24"/>
        </w:rPr>
        <w:t>once or multiple times over a specific study period</w:t>
      </w:r>
      <w:r w:rsidR="00B608F7" w:rsidRPr="004C20BC">
        <w:rPr>
          <w:rFonts w:ascii="Times New Roman" w:eastAsia="Times New Roman" w:hAnsi="Times New Roman" w:cs="Times New Roman"/>
          <w:sz w:val="24"/>
          <w:szCs w:val="24"/>
        </w:rPr>
        <w:t xml:space="preserve">, and in some cases, </w:t>
      </w:r>
      <w:r w:rsidR="008A4606">
        <w:rPr>
          <w:rFonts w:ascii="Times New Roman" w:eastAsia="Times New Roman" w:hAnsi="Times New Roman" w:cs="Times New Roman"/>
          <w:sz w:val="24"/>
          <w:szCs w:val="24"/>
        </w:rPr>
        <w:t xml:space="preserve">favor </w:t>
      </w:r>
      <w:r w:rsidR="00C369E2" w:rsidRPr="004C20BC">
        <w:rPr>
          <w:rFonts w:ascii="Times New Roman" w:eastAsia="Times New Roman" w:hAnsi="Times New Roman" w:cs="Times New Roman"/>
          <w:sz w:val="24"/>
          <w:szCs w:val="24"/>
        </w:rPr>
        <w:t>longitudinal</w:t>
      </w:r>
      <w:r w:rsidR="00B608F7" w:rsidRPr="004C20BC">
        <w:rPr>
          <w:rFonts w:ascii="Times New Roman" w:eastAsia="Times New Roman" w:hAnsi="Times New Roman" w:cs="Times New Roman"/>
          <w:sz w:val="24"/>
          <w:szCs w:val="24"/>
        </w:rPr>
        <w:t xml:space="preserve"> studies </w:t>
      </w:r>
      <w:r w:rsidR="00C369E2" w:rsidRPr="004C20BC">
        <w:rPr>
          <w:rFonts w:ascii="Times New Roman" w:eastAsia="Times New Roman" w:hAnsi="Times New Roman" w:cs="Times New Roman"/>
          <w:noProof/>
          <w:sz w:val="24"/>
          <w:szCs w:val="24"/>
        </w:rPr>
        <w:t>(Faust, Lahti, Gonze, de Vos, &amp; Raes, 2015)</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EE7273">
        <w:rPr>
          <w:rFonts w:ascii="Times New Roman" w:eastAsia="Times New Roman" w:hAnsi="Times New Roman" w:cs="Times New Roman"/>
          <w:sz w:val="24"/>
          <w:szCs w:val="24"/>
        </w:rPr>
        <w:t>Regardless of the number of collection time points, however, a</w:t>
      </w:r>
      <w:r w:rsidR="009452C1" w:rsidRPr="004C20BC">
        <w:rPr>
          <w:rFonts w:ascii="Times New Roman" w:eastAsia="Times New Roman" w:hAnsi="Times New Roman" w:cs="Times New Roman"/>
          <w:sz w:val="24"/>
          <w:szCs w:val="24"/>
        </w:rPr>
        <w:t xml:space="preserve">ccurate collection techniques and sample handling are crucial </w:t>
      </w:r>
      <w:r w:rsidR="00EE7273">
        <w:rPr>
          <w:rFonts w:ascii="Times New Roman" w:eastAsia="Times New Roman" w:hAnsi="Times New Roman" w:cs="Times New Roman"/>
          <w:sz w:val="24"/>
          <w:szCs w:val="24"/>
        </w:rPr>
        <w:t>for</w:t>
      </w:r>
      <w:r w:rsidR="00EE7273" w:rsidRPr="004C20BC">
        <w:rPr>
          <w:rFonts w:ascii="Times New Roman" w:eastAsia="Times New Roman" w:hAnsi="Times New Roman" w:cs="Times New Roman"/>
          <w:sz w:val="24"/>
          <w:szCs w:val="24"/>
        </w:rPr>
        <w:t xml:space="preserve"> </w:t>
      </w:r>
      <w:r w:rsidR="009452C1" w:rsidRPr="004C20BC">
        <w:rPr>
          <w:rFonts w:ascii="Times New Roman" w:eastAsia="Times New Roman" w:hAnsi="Times New Roman" w:cs="Times New Roman"/>
          <w:sz w:val="24"/>
          <w:szCs w:val="24"/>
        </w:rPr>
        <w:t>prevent</w:t>
      </w:r>
      <w:r w:rsidR="00EE7273">
        <w:rPr>
          <w:rFonts w:ascii="Times New Roman" w:eastAsia="Times New Roman" w:hAnsi="Times New Roman" w:cs="Times New Roman"/>
          <w:sz w:val="24"/>
          <w:szCs w:val="24"/>
        </w:rPr>
        <w:t>ing</w:t>
      </w:r>
      <w:r w:rsidR="009452C1" w:rsidRPr="004C20BC">
        <w:rPr>
          <w:rFonts w:ascii="Times New Roman" w:eastAsia="Times New Roman" w:hAnsi="Times New Roman" w:cs="Times New Roman"/>
          <w:sz w:val="24"/>
          <w:szCs w:val="24"/>
        </w:rPr>
        <w:t xml:space="preserve"> sample contamination and </w:t>
      </w:r>
      <w:r w:rsidR="009452C1" w:rsidRPr="004C20BC">
        <w:rPr>
          <w:rFonts w:ascii="Times New Roman" w:eastAsia="Times New Roman" w:hAnsi="Times New Roman" w:cs="Times New Roman"/>
          <w:noProof/>
          <w:sz w:val="24"/>
          <w:szCs w:val="24"/>
        </w:rPr>
        <w:t>post</w:t>
      </w:r>
      <w:r w:rsidR="00A26C88" w:rsidRPr="004C20BC">
        <w:rPr>
          <w:rFonts w:ascii="Times New Roman" w:eastAsia="Times New Roman" w:hAnsi="Times New Roman" w:cs="Times New Roman"/>
          <w:noProof/>
          <w:sz w:val="24"/>
          <w:szCs w:val="24"/>
        </w:rPr>
        <w:t>-</w:t>
      </w:r>
      <w:r w:rsidR="005A02F7" w:rsidRPr="004C20BC">
        <w:rPr>
          <w:rFonts w:ascii="Times New Roman" w:eastAsia="Times New Roman" w:hAnsi="Times New Roman" w:cs="Times New Roman"/>
          <w:noProof/>
          <w:sz w:val="24"/>
          <w:szCs w:val="24"/>
        </w:rPr>
        <w:t>c</w:t>
      </w:r>
      <w:r w:rsidR="009452C1" w:rsidRPr="004C20BC">
        <w:rPr>
          <w:rFonts w:ascii="Times New Roman" w:eastAsia="Times New Roman" w:hAnsi="Times New Roman" w:cs="Times New Roman"/>
          <w:noProof/>
          <w:sz w:val="24"/>
          <w:szCs w:val="24"/>
        </w:rPr>
        <w:t>ollection</w:t>
      </w:r>
      <w:r w:rsidR="009452C1" w:rsidRPr="004C20BC">
        <w:rPr>
          <w:rFonts w:ascii="Times New Roman" w:eastAsia="Times New Roman" w:hAnsi="Times New Roman" w:cs="Times New Roman"/>
          <w:sz w:val="24"/>
          <w:szCs w:val="24"/>
        </w:rPr>
        <w:t xml:space="preserve"> microbial growth </w:t>
      </w:r>
      <w:r w:rsidR="007A73E4">
        <w:rPr>
          <w:rFonts w:ascii="Times New Roman" w:eastAsia="Times New Roman" w:hAnsi="Times New Roman" w:cs="Times New Roman"/>
          <w:noProof/>
          <w:sz w:val="24"/>
          <w:szCs w:val="24"/>
        </w:rPr>
        <w:t>(Jordan et al., 2017; Vogtmann et al., 2017)</w:t>
      </w:r>
      <w:r w:rsidR="00843016">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5845F2">
        <w:rPr>
          <w:rFonts w:ascii="Times New Roman" w:eastAsia="Times New Roman" w:hAnsi="Times New Roman" w:cs="Times New Roman"/>
          <w:sz w:val="24"/>
          <w:szCs w:val="24"/>
        </w:rPr>
        <w:t>Use of either r</w:t>
      </w:r>
      <w:r w:rsidR="00DE4954" w:rsidRPr="004C20BC">
        <w:rPr>
          <w:rFonts w:ascii="Times New Roman" w:eastAsia="Times New Roman" w:hAnsi="Times New Roman" w:cs="Times New Roman"/>
          <w:sz w:val="24"/>
          <w:szCs w:val="24"/>
        </w:rPr>
        <w:t>epeated sampling or time-series sampl</w:t>
      </w:r>
      <w:r w:rsidR="00A26C88" w:rsidRPr="004C20BC">
        <w:rPr>
          <w:rFonts w:ascii="Times New Roman" w:eastAsia="Times New Roman" w:hAnsi="Times New Roman" w:cs="Times New Roman"/>
          <w:sz w:val="24"/>
          <w:szCs w:val="24"/>
        </w:rPr>
        <w:t>ing</w:t>
      </w:r>
      <w:r w:rsidR="00DE4954" w:rsidRPr="004C20BC">
        <w:rPr>
          <w:rFonts w:ascii="Times New Roman" w:eastAsia="Times New Roman" w:hAnsi="Times New Roman" w:cs="Times New Roman"/>
          <w:sz w:val="24"/>
          <w:szCs w:val="24"/>
        </w:rPr>
        <w:t xml:space="preserve"> give</w:t>
      </w:r>
      <w:r w:rsidR="001514A0">
        <w:rPr>
          <w:rFonts w:ascii="Times New Roman" w:eastAsia="Times New Roman" w:hAnsi="Times New Roman" w:cs="Times New Roman"/>
          <w:sz w:val="24"/>
          <w:szCs w:val="24"/>
        </w:rPr>
        <w:t>s</w:t>
      </w:r>
      <w:r w:rsidR="00DE4954" w:rsidRPr="004C20BC">
        <w:rPr>
          <w:rFonts w:ascii="Times New Roman" w:eastAsia="Times New Roman" w:hAnsi="Times New Roman" w:cs="Times New Roman"/>
          <w:sz w:val="24"/>
          <w:szCs w:val="24"/>
        </w:rPr>
        <w:t xml:space="preserve"> insight </w:t>
      </w:r>
      <w:r w:rsidR="00EB2511">
        <w:rPr>
          <w:rFonts w:ascii="Times New Roman" w:eastAsia="Times New Roman" w:hAnsi="Times New Roman" w:cs="Times New Roman"/>
          <w:sz w:val="24"/>
          <w:szCs w:val="24"/>
        </w:rPr>
        <w:t xml:space="preserve">into </w:t>
      </w:r>
      <w:r w:rsidR="00DE4954" w:rsidRPr="004C20BC">
        <w:rPr>
          <w:rFonts w:ascii="Times New Roman" w:eastAsia="Times New Roman" w:hAnsi="Times New Roman" w:cs="Times New Roman"/>
          <w:sz w:val="24"/>
          <w:szCs w:val="24"/>
        </w:rPr>
        <w:t>the volatility, resilience, composition</w:t>
      </w:r>
      <w:r w:rsidR="00A26C88" w:rsidRPr="004C20BC">
        <w:rPr>
          <w:rFonts w:ascii="Times New Roman" w:eastAsia="Times New Roman" w:hAnsi="Times New Roman" w:cs="Times New Roman"/>
          <w:sz w:val="24"/>
          <w:szCs w:val="24"/>
        </w:rPr>
        <w:t>,</w:t>
      </w:r>
      <w:r w:rsidR="00DE4954" w:rsidRPr="004C20BC">
        <w:rPr>
          <w:rFonts w:ascii="Times New Roman" w:eastAsia="Times New Roman" w:hAnsi="Times New Roman" w:cs="Times New Roman"/>
          <w:sz w:val="24"/>
          <w:szCs w:val="24"/>
        </w:rPr>
        <w:t xml:space="preserve"> and relative abundance of microbial </w:t>
      </w:r>
      <w:r w:rsidR="00C369E2" w:rsidRPr="004C20BC">
        <w:rPr>
          <w:rFonts w:ascii="Times New Roman" w:eastAsia="Times New Roman" w:hAnsi="Times New Roman" w:cs="Times New Roman"/>
          <w:sz w:val="24"/>
          <w:szCs w:val="24"/>
        </w:rPr>
        <w:t>communities</w:t>
      </w:r>
      <w:r w:rsidR="00B608F7" w:rsidRPr="004C20BC">
        <w:rPr>
          <w:rFonts w:ascii="Times New Roman" w:eastAsia="Times New Roman" w:hAnsi="Times New Roman" w:cs="Times New Roman"/>
          <w:sz w:val="24"/>
          <w:szCs w:val="24"/>
        </w:rPr>
        <w:t xml:space="preserve"> and can provide baseline data for genetically distinct individuals</w:t>
      </w:r>
      <w:r w:rsidR="00C369E2" w:rsidRPr="004C20BC">
        <w:rPr>
          <w:rFonts w:ascii="Times New Roman" w:eastAsia="Times New Roman" w:hAnsi="Times New Roman" w:cs="Times New Roman"/>
          <w:sz w:val="24"/>
          <w:szCs w:val="24"/>
        </w:rPr>
        <w:t xml:space="preserve"> </w:t>
      </w:r>
      <w:r w:rsidR="00C369E2" w:rsidRPr="004C20BC">
        <w:rPr>
          <w:rFonts w:ascii="Times New Roman" w:eastAsia="Times New Roman" w:hAnsi="Times New Roman" w:cs="Times New Roman"/>
          <w:noProof/>
          <w:sz w:val="24"/>
          <w:szCs w:val="24"/>
        </w:rPr>
        <w:t>(David et al., 2014)</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055C7A">
        <w:rPr>
          <w:rFonts w:ascii="Times New Roman" w:eastAsia="Times New Roman" w:hAnsi="Times New Roman" w:cs="Times New Roman"/>
          <w:sz w:val="24"/>
          <w:szCs w:val="24"/>
        </w:rPr>
        <w:t xml:space="preserve">It should be noted that </w:t>
      </w:r>
      <w:r w:rsidR="00D679DF">
        <w:rPr>
          <w:rFonts w:ascii="Times New Roman" w:eastAsia="Times New Roman" w:hAnsi="Times New Roman" w:cs="Times New Roman"/>
          <w:sz w:val="24"/>
          <w:szCs w:val="24"/>
        </w:rPr>
        <w:t>because</w:t>
      </w:r>
      <w:r w:rsidR="00055C7A">
        <w:rPr>
          <w:rFonts w:ascii="Times New Roman" w:eastAsia="Times New Roman" w:hAnsi="Times New Roman" w:cs="Times New Roman"/>
          <w:sz w:val="24"/>
          <w:szCs w:val="24"/>
        </w:rPr>
        <w:t xml:space="preserve"> of genetics, diet and study compliance, human microbiome studies can have much higher </w:t>
      </w:r>
      <w:r w:rsidR="00D679DF">
        <w:rPr>
          <w:rFonts w:ascii="Times New Roman" w:eastAsia="Times New Roman" w:hAnsi="Times New Roman" w:cs="Times New Roman"/>
          <w:sz w:val="24"/>
          <w:szCs w:val="24"/>
        </w:rPr>
        <w:t>inter</w:t>
      </w:r>
      <w:r w:rsidR="00055C7A">
        <w:rPr>
          <w:rFonts w:ascii="Times New Roman" w:eastAsia="Times New Roman" w:hAnsi="Times New Roman" w:cs="Times New Roman"/>
          <w:sz w:val="24"/>
          <w:szCs w:val="24"/>
        </w:rPr>
        <w:t xml:space="preserve">individual variability than animal studies. </w:t>
      </w:r>
      <w:r w:rsidR="00DE4954" w:rsidRPr="004C20BC">
        <w:rPr>
          <w:rFonts w:ascii="Times New Roman" w:eastAsia="Times New Roman" w:hAnsi="Times New Roman" w:cs="Times New Roman"/>
          <w:sz w:val="24"/>
          <w:szCs w:val="24"/>
        </w:rPr>
        <w:t xml:space="preserve">For these reasons, </w:t>
      </w:r>
      <w:r w:rsidR="00B608F7" w:rsidRPr="004C20BC">
        <w:rPr>
          <w:rFonts w:ascii="Times New Roman" w:eastAsia="Times New Roman" w:hAnsi="Times New Roman" w:cs="Times New Roman"/>
          <w:sz w:val="24"/>
          <w:szCs w:val="24"/>
        </w:rPr>
        <w:t xml:space="preserve">longitudinal studies can </w:t>
      </w:r>
      <w:r w:rsidR="00DE4954" w:rsidRPr="004C20BC">
        <w:rPr>
          <w:rFonts w:ascii="Times New Roman" w:eastAsia="Times New Roman" w:hAnsi="Times New Roman" w:cs="Times New Roman"/>
          <w:sz w:val="24"/>
          <w:szCs w:val="24"/>
        </w:rPr>
        <w:t xml:space="preserve">provide a more comprehensive perspective on microbiota diversity (within-subject and between-subject diversities) </w:t>
      </w:r>
      <w:r w:rsidR="00B608F7" w:rsidRPr="004C20BC">
        <w:rPr>
          <w:rFonts w:ascii="Times New Roman" w:eastAsia="Times New Roman" w:hAnsi="Times New Roman" w:cs="Times New Roman"/>
          <w:sz w:val="24"/>
          <w:szCs w:val="24"/>
        </w:rPr>
        <w:t xml:space="preserve">compared to single </w:t>
      </w:r>
      <w:r w:rsidR="004D5876" w:rsidRPr="004C20BC">
        <w:rPr>
          <w:rFonts w:ascii="Times New Roman" w:eastAsia="Times New Roman" w:hAnsi="Times New Roman" w:cs="Times New Roman"/>
          <w:sz w:val="24"/>
          <w:szCs w:val="24"/>
        </w:rPr>
        <w:t>time</w:t>
      </w:r>
      <w:r w:rsidR="004D5876">
        <w:rPr>
          <w:rFonts w:ascii="Times New Roman" w:eastAsia="Times New Roman" w:hAnsi="Times New Roman" w:cs="Times New Roman"/>
          <w:sz w:val="24"/>
          <w:szCs w:val="24"/>
        </w:rPr>
        <w:t>-</w:t>
      </w:r>
      <w:r w:rsidR="00B608F7" w:rsidRPr="004C20BC">
        <w:rPr>
          <w:rFonts w:ascii="Times New Roman" w:eastAsia="Times New Roman" w:hAnsi="Times New Roman" w:cs="Times New Roman"/>
          <w:sz w:val="24"/>
          <w:szCs w:val="24"/>
        </w:rPr>
        <w:t>point cross-sectional sampling</w:t>
      </w:r>
      <w:r w:rsidR="00427100" w:rsidRPr="00FB10B0">
        <w:rPr>
          <w:rFonts w:ascii="Times New Roman" w:eastAsia="Times New Roman" w:hAnsi="Times New Roman" w:cs="Times New Roman"/>
          <w:sz w:val="24"/>
          <w:szCs w:val="24"/>
        </w:rPr>
        <w:t>.</w:t>
      </w:r>
      <w:r w:rsidR="003F14B1" w:rsidRPr="00FB10B0">
        <w:rPr>
          <w:rFonts w:ascii="Times New Roman" w:eastAsia="Times New Roman" w:hAnsi="Times New Roman" w:cs="Times New Roman"/>
          <w:sz w:val="24"/>
          <w:szCs w:val="24"/>
        </w:rPr>
        <w:t xml:space="preserve"> </w:t>
      </w:r>
      <w:r w:rsidR="00A619C3" w:rsidRPr="00CF37B0">
        <w:rPr>
          <w:rFonts w:ascii="Times New Roman" w:eastAsia="Times New Roman" w:hAnsi="Times New Roman" w:cs="Times New Roman"/>
          <w:sz w:val="24"/>
          <w:szCs w:val="24"/>
        </w:rPr>
        <w:t xml:space="preserve">Although previously </w:t>
      </w:r>
      <w:r w:rsidR="005845F2">
        <w:rPr>
          <w:rFonts w:ascii="Times New Roman" w:eastAsia="Times New Roman" w:hAnsi="Times New Roman" w:cs="Times New Roman"/>
          <w:sz w:val="24"/>
          <w:szCs w:val="24"/>
        </w:rPr>
        <w:t>cost prohibitive</w:t>
      </w:r>
      <w:r w:rsidR="00A619C3" w:rsidRPr="00CF37B0">
        <w:rPr>
          <w:rFonts w:ascii="Times New Roman" w:eastAsia="Times New Roman" w:hAnsi="Times New Roman" w:cs="Times New Roman"/>
          <w:sz w:val="24"/>
          <w:szCs w:val="24"/>
        </w:rPr>
        <w:t xml:space="preserve"> for many researchers due to the </w:t>
      </w:r>
      <w:r w:rsidR="00A619C3" w:rsidRPr="00CF37B0">
        <w:rPr>
          <w:rFonts w:ascii="Times New Roman" w:eastAsia="Times New Roman" w:hAnsi="Times New Roman" w:cs="Times New Roman"/>
          <w:noProof/>
          <w:sz w:val="24"/>
          <w:szCs w:val="24"/>
        </w:rPr>
        <w:t>historically</w:t>
      </w:r>
      <w:r w:rsidR="00A619C3" w:rsidRPr="00CF37B0">
        <w:rPr>
          <w:rFonts w:ascii="Times New Roman" w:eastAsia="Times New Roman" w:hAnsi="Times New Roman" w:cs="Times New Roman"/>
          <w:sz w:val="24"/>
          <w:szCs w:val="24"/>
        </w:rPr>
        <w:t xml:space="preserve"> high cost of microbiome sequencing, </w:t>
      </w:r>
      <w:r w:rsidR="005845F2">
        <w:rPr>
          <w:rFonts w:ascii="Times New Roman" w:eastAsia="Times New Roman" w:hAnsi="Times New Roman" w:cs="Times New Roman"/>
          <w:sz w:val="24"/>
          <w:szCs w:val="24"/>
        </w:rPr>
        <w:t xml:space="preserve">longitudinal microbiome studies have become more accessible to more investigators because of the reduced cost of </w:t>
      </w:r>
      <w:r w:rsidR="000407CA">
        <w:rPr>
          <w:rFonts w:ascii="Times New Roman" w:eastAsia="Times New Roman" w:hAnsi="Times New Roman" w:cs="Times New Roman"/>
          <w:sz w:val="24"/>
          <w:szCs w:val="24"/>
        </w:rPr>
        <w:t>next-generation sequencing</w:t>
      </w:r>
      <w:r w:rsidR="005845F2">
        <w:rPr>
          <w:rFonts w:ascii="Times New Roman" w:eastAsia="Times New Roman" w:hAnsi="Times New Roman" w:cs="Times New Roman"/>
          <w:sz w:val="24"/>
          <w:szCs w:val="24"/>
        </w:rPr>
        <w:t xml:space="preserve"> methods</w:t>
      </w:r>
      <w:r w:rsidR="000407CA">
        <w:rPr>
          <w:rFonts w:ascii="Times New Roman" w:eastAsia="Times New Roman" w:hAnsi="Times New Roman" w:cs="Times New Roman"/>
          <w:sz w:val="24"/>
          <w:szCs w:val="24"/>
        </w:rPr>
        <w:t xml:space="preserve"> and </w:t>
      </w:r>
      <w:r w:rsidR="00372DE9">
        <w:rPr>
          <w:rFonts w:ascii="Times New Roman" w:eastAsia="Times New Roman" w:hAnsi="Times New Roman" w:cs="Times New Roman"/>
          <w:sz w:val="24"/>
          <w:szCs w:val="24"/>
        </w:rPr>
        <w:t xml:space="preserve">increased automation </w:t>
      </w:r>
      <w:r w:rsidR="005845F2">
        <w:rPr>
          <w:rFonts w:ascii="Times New Roman" w:eastAsia="Times New Roman" w:hAnsi="Times New Roman" w:cs="Times New Roman"/>
          <w:sz w:val="24"/>
          <w:szCs w:val="24"/>
        </w:rPr>
        <w:t>for</w:t>
      </w:r>
      <w:r w:rsidR="00372DE9">
        <w:rPr>
          <w:rFonts w:ascii="Times New Roman" w:eastAsia="Times New Roman" w:hAnsi="Times New Roman" w:cs="Times New Roman"/>
          <w:sz w:val="24"/>
          <w:szCs w:val="24"/>
        </w:rPr>
        <w:t xml:space="preserve"> the DNA extraction and </w:t>
      </w:r>
      <w:r w:rsidR="00486BE8">
        <w:rPr>
          <w:rFonts w:ascii="Times New Roman" w:eastAsia="Times New Roman" w:hAnsi="Times New Roman" w:cs="Times New Roman"/>
          <w:sz w:val="24"/>
          <w:szCs w:val="24"/>
        </w:rPr>
        <w:t>sequencing</w:t>
      </w:r>
      <w:r w:rsidR="00372DE9">
        <w:rPr>
          <w:rFonts w:ascii="Times New Roman" w:eastAsia="Times New Roman" w:hAnsi="Times New Roman" w:cs="Times New Roman"/>
          <w:sz w:val="24"/>
          <w:szCs w:val="24"/>
        </w:rPr>
        <w:t xml:space="preserve"> processes.</w:t>
      </w:r>
      <w:r w:rsidR="00486BE8">
        <w:rPr>
          <w:rFonts w:ascii="Times New Roman" w:eastAsia="Times New Roman" w:hAnsi="Times New Roman" w:cs="Times New Roman"/>
          <w:sz w:val="24"/>
          <w:szCs w:val="24"/>
        </w:rPr>
        <w:t xml:space="preserve"> Therefore,</w:t>
      </w:r>
      <w:r w:rsidR="000407CA">
        <w:rPr>
          <w:rFonts w:ascii="Times New Roman" w:eastAsia="Times New Roman" w:hAnsi="Times New Roman" w:cs="Times New Roman"/>
          <w:sz w:val="24"/>
          <w:szCs w:val="24"/>
        </w:rPr>
        <w:t xml:space="preserve"> </w:t>
      </w:r>
      <w:r w:rsidR="00006DCD">
        <w:rPr>
          <w:rFonts w:ascii="Times New Roman" w:eastAsia="Times New Roman" w:hAnsi="Times New Roman" w:cs="Times New Roman"/>
          <w:sz w:val="24"/>
          <w:szCs w:val="24"/>
        </w:rPr>
        <w:t xml:space="preserve">investigators should plan to perform </w:t>
      </w:r>
      <w:r w:rsidR="00A619C3" w:rsidRPr="00CF37B0">
        <w:rPr>
          <w:rFonts w:ascii="Times New Roman" w:eastAsia="Times New Roman" w:hAnsi="Times New Roman" w:cs="Times New Roman"/>
          <w:sz w:val="24"/>
          <w:szCs w:val="24"/>
        </w:rPr>
        <w:t>r</w:t>
      </w:r>
      <w:r w:rsidR="00B608F7" w:rsidRPr="00FB10B0">
        <w:rPr>
          <w:rFonts w:ascii="Times New Roman" w:eastAsia="Times New Roman" w:hAnsi="Times New Roman" w:cs="Times New Roman"/>
          <w:sz w:val="24"/>
          <w:szCs w:val="24"/>
        </w:rPr>
        <w:t>eplicate sampling from the same individual</w:t>
      </w:r>
      <w:r w:rsidR="00EC7928" w:rsidRPr="00CF37B0">
        <w:rPr>
          <w:rFonts w:ascii="Times New Roman" w:eastAsia="Times New Roman" w:hAnsi="Times New Roman" w:cs="Times New Roman"/>
          <w:sz w:val="24"/>
          <w:szCs w:val="24"/>
        </w:rPr>
        <w:t xml:space="preserve"> </w:t>
      </w:r>
      <w:r w:rsidR="00FB10B0" w:rsidRPr="00CF37B0">
        <w:rPr>
          <w:rFonts w:ascii="Times New Roman" w:eastAsia="Times New Roman" w:hAnsi="Times New Roman" w:cs="Times New Roman"/>
          <w:noProof/>
          <w:sz w:val="24"/>
          <w:szCs w:val="24"/>
        </w:rPr>
        <w:t>(Gohl et al., 2016)</w:t>
      </w:r>
      <w:r w:rsidR="00427100" w:rsidRPr="00FB10B0">
        <w:rPr>
          <w:rFonts w:ascii="Times New Roman" w:eastAsia="Times New Roman" w:hAnsi="Times New Roman" w:cs="Times New Roman"/>
          <w:sz w:val="24"/>
          <w:szCs w:val="24"/>
        </w:rPr>
        <w:t>.</w:t>
      </w:r>
      <w:r w:rsidR="00FB10B0">
        <w:rPr>
          <w:rFonts w:ascii="Times New Roman" w:eastAsia="Times New Roman" w:hAnsi="Times New Roman" w:cs="Times New Roman"/>
          <w:sz w:val="24"/>
          <w:szCs w:val="24"/>
        </w:rPr>
        <w:t xml:space="preserve"> The numbers of recommended replicates vary based on the research question and statistical tests used, but generally two to three replicates are recommended per sample site</w:t>
      </w:r>
      <w:r w:rsidR="00CF37B0">
        <w:rPr>
          <w:rFonts w:ascii="Times New Roman" w:eastAsia="Times New Roman" w:hAnsi="Times New Roman" w:cs="Times New Roman"/>
          <w:sz w:val="24"/>
          <w:szCs w:val="24"/>
        </w:rPr>
        <w:t xml:space="preserve">. </w:t>
      </w:r>
      <w:r w:rsidR="00DE4954" w:rsidRPr="004C20BC">
        <w:rPr>
          <w:rFonts w:ascii="Times New Roman" w:eastAsia="Times New Roman" w:hAnsi="Times New Roman" w:cs="Times New Roman"/>
          <w:sz w:val="24"/>
          <w:szCs w:val="24"/>
        </w:rPr>
        <w:t xml:space="preserve">The </w:t>
      </w:r>
      <w:r w:rsidR="00DE4954" w:rsidRPr="00967C61">
        <w:rPr>
          <w:rFonts w:ascii="Times New Roman" w:eastAsia="Times New Roman" w:hAnsi="Times New Roman" w:cs="Times New Roman"/>
          <w:i/>
          <w:sz w:val="24"/>
          <w:szCs w:val="24"/>
        </w:rPr>
        <w:t>Manual of Procedures</w:t>
      </w:r>
      <w:r w:rsidR="00DE4954" w:rsidRPr="004C20BC">
        <w:rPr>
          <w:rFonts w:ascii="Times New Roman" w:eastAsia="Times New Roman" w:hAnsi="Times New Roman" w:cs="Times New Roman"/>
          <w:sz w:val="24"/>
          <w:szCs w:val="24"/>
        </w:rPr>
        <w:t xml:space="preserve"> for </w:t>
      </w:r>
      <w:r w:rsidR="00A26C88" w:rsidRPr="004C20BC">
        <w:rPr>
          <w:rFonts w:ascii="Times New Roman" w:eastAsia="Times New Roman" w:hAnsi="Times New Roman" w:cs="Times New Roman"/>
          <w:sz w:val="24"/>
          <w:szCs w:val="24"/>
        </w:rPr>
        <w:t xml:space="preserve">the </w:t>
      </w:r>
      <w:r w:rsidR="00DE4954" w:rsidRPr="004C20BC">
        <w:rPr>
          <w:rFonts w:ascii="Times New Roman" w:eastAsia="Times New Roman" w:hAnsi="Times New Roman" w:cs="Times New Roman"/>
          <w:sz w:val="24"/>
          <w:szCs w:val="24"/>
        </w:rPr>
        <w:t>Human Microbiome Project (HMP) ha</w:t>
      </w:r>
      <w:r w:rsidR="00CC2553">
        <w:rPr>
          <w:rFonts w:ascii="Times New Roman" w:eastAsia="Times New Roman" w:hAnsi="Times New Roman" w:cs="Times New Roman"/>
          <w:sz w:val="24"/>
          <w:szCs w:val="24"/>
        </w:rPr>
        <w:t>s</w:t>
      </w:r>
      <w:r w:rsidR="00DE4954" w:rsidRPr="004C20BC">
        <w:rPr>
          <w:rFonts w:ascii="Times New Roman" w:eastAsia="Times New Roman" w:hAnsi="Times New Roman" w:cs="Times New Roman"/>
          <w:sz w:val="24"/>
          <w:szCs w:val="24"/>
        </w:rPr>
        <w:t xml:space="preserve"> described in detail</w:t>
      </w:r>
      <w:r w:rsidR="00A26C88" w:rsidRPr="004C20BC">
        <w:rPr>
          <w:rFonts w:ascii="Times New Roman" w:eastAsia="Times New Roman" w:hAnsi="Times New Roman" w:cs="Times New Roman"/>
          <w:sz w:val="24"/>
          <w:szCs w:val="24"/>
        </w:rPr>
        <w:t xml:space="preserve"> the</w:t>
      </w:r>
      <w:r w:rsidR="00DE4954" w:rsidRPr="004C20BC">
        <w:rPr>
          <w:rFonts w:ascii="Times New Roman" w:eastAsia="Times New Roman" w:hAnsi="Times New Roman" w:cs="Times New Roman"/>
          <w:sz w:val="24"/>
          <w:szCs w:val="24"/>
        </w:rPr>
        <w:t xml:space="preserve"> </w:t>
      </w:r>
      <w:r w:rsidR="00DE4954" w:rsidRPr="004C20BC">
        <w:rPr>
          <w:rFonts w:ascii="Times New Roman" w:eastAsia="Times New Roman" w:hAnsi="Times New Roman" w:cs="Times New Roman"/>
          <w:sz w:val="24"/>
          <w:szCs w:val="24"/>
        </w:rPr>
        <w:lastRenderedPageBreak/>
        <w:t>methods for sample collection, transport</w:t>
      </w:r>
      <w:r w:rsidR="006A436F" w:rsidRPr="004C20BC">
        <w:rPr>
          <w:rFonts w:ascii="Times New Roman" w:eastAsia="Times New Roman" w:hAnsi="Times New Roman" w:cs="Times New Roman"/>
          <w:sz w:val="24"/>
          <w:szCs w:val="24"/>
        </w:rPr>
        <w:t>,</w:t>
      </w:r>
      <w:r w:rsidR="00DE4954" w:rsidRPr="004C20BC">
        <w:rPr>
          <w:rFonts w:ascii="Times New Roman" w:eastAsia="Times New Roman" w:hAnsi="Times New Roman" w:cs="Times New Roman"/>
          <w:sz w:val="24"/>
          <w:szCs w:val="24"/>
        </w:rPr>
        <w:t xml:space="preserve"> </w:t>
      </w:r>
      <w:r w:rsidR="00DE4954" w:rsidRPr="004C20BC">
        <w:rPr>
          <w:rFonts w:ascii="Times New Roman" w:eastAsia="Times New Roman" w:hAnsi="Times New Roman" w:cs="Times New Roman"/>
          <w:noProof/>
          <w:sz w:val="24"/>
          <w:szCs w:val="24"/>
        </w:rPr>
        <w:t>and</w:t>
      </w:r>
      <w:r w:rsidR="00DE4954" w:rsidRPr="004C20BC">
        <w:rPr>
          <w:rFonts w:ascii="Times New Roman" w:eastAsia="Times New Roman" w:hAnsi="Times New Roman" w:cs="Times New Roman"/>
          <w:sz w:val="24"/>
          <w:szCs w:val="24"/>
        </w:rPr>
        <w:t xml:space="preserve"> storage for each microbial habitat; the information is publicly accessible</w:t>
      </w:r>
      <w:r w:rsidR="00961810" w:rsidRPr="004C20BC">
        <w:rPr>
          <w:rFonts w:ascii="Times New Roman" w:eastAsia="Times New Roman" w:hAnsi="Times New Roman" w:cs="Times New Roman"/>
          <w:sz w:val="24"/>
          <w:szCs w:val="24"/>
        </w:rPr>
        <w:t xml:space="preserve"> </w:t>
      </w:r>
      <w:r w:rsidR="00A3487F" w:rsidRPr="004C20BC">
        <w:rPr>
          <w:rFonts w:ascii="Times New Roman" w:eastAsia="Times New Roman" w:hAnsi="Times New Roman" w:cs="Times New Roman"/>
          <w:noProof/>
          <w:sz w:val="24"/>
          <w:szCs w:val="24"/>
        </w:rPr>
        <w:t>(McInnes &amp; Cutting, 2010)</w:t>
      </w:r>
      <w:r w:rsidR="0096181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p>
    <w:p w14:paraId="4FBA7D5F" w14:textId="2DFA0AB2" w:rsidR="002C570B" w:rsidRPr="004C20BC" w:rsidRDefault="00DE4954" w:rsidP="00BF0230">
      <w:pPr>
        <w:spacing w:line="480" w:lineRule="auto"/>
        <w:outlineLvl w:val="0"/>
        <w:rPr>
          <w:rFonts w:ascii="Times New Roman" w:eastAsia="Times New Roman" w:hAnsi="Times New Roman" w:cs="Times New Roman"/>
          <w:b/>
          <w:sz w:val="24"/>
          <w:szCs w:val="24"/>
        </w:rPr>
      </w:pPr>
      <w:r w:rsidRPr="004C20BC">
        <w:rPr>
          <w:rFonts w:ascii="Times New Roman" w:eastAsia="Times New Roman" w:hAnsi="Times New Roman" w:cs="Times New Roman"/>
          <w:b/>
          <w:sz w:val="24"/>
          <w:szCs w:val="24"/>
        </w:rPr>
        <w:t xml:space="preserve">Sample </w:t>
      </w:r>
      <w:r w:rsidR="00CA0609">
        <w:rPr>
          <w:rFonts w:ascii="Times New Roman" w:eastAsia="Times New Roman" w:hAnsi="Times New Roman" w:cs="Times New Roman"/>
          <w:b/>
          <w:sz w:val="24"/>
          <w:szCs w:val="24"/>
        </w:rPr>
        <w:t>P</w:t>
      </w:r>
      <w:r w:rsidRPr="004C20BC">
        <w:rPr>
          <w:rFonts w:ascii="Times New Roman" w:eastAsia="Times New Roman" w:hAnsi="Times New Roman" w:cs="Times New Roman"/>
          <w:b/>
          <w:sz w:val="24"/>
          <w:szCs w:val="24"/>
        </w:rPr>
        <w:t xml:space="preserve">rocessing and </w:t>
      </w:r>
      <w:r w:rsidR="00CA0609">
        <w:rPr>
          <w:rFonts w:ascii="Times New Roman" w:eastAsia="Times New Roman" w:hAnsi="Times New Roman" w:cs="Times New Roman"/>
          <w:b/>
          <w:sz w:val="24"/>
          <w:szCs w:val="24"/>
        </w:rPr>
        <w:t>S</w:t>
      </w:r>
      <w:r w:rsidRPr="004C20BC">
        <w:rPr>
          <w:rFonts w:ascii="Times New Roman" w:eastAsia="Times New Roman" w:hAnsi="Times New Roman" w:cs="Times New Roman"/>
          <w:b/>
          <w:sz w:val="24"/>
          <w:szCs w:val="24"/>
        </w:rPr>
        <w:t>torage</w:t>
      </w:r>
    </w:p>
    <w:p w14:paraId="040CEFD2" w14:textId="33A2B196" w:rsidR="002C570B" w:rsidRPr="004C20BC" w:rsidRDefault="00CC2553" w:rsidP="00967C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2046D" w:rsidRPr="004C20BC">
        <w:rPr>
          <w:rFonts w:ascii="Times New Roman" w:eastAsia="Times New Roman" w:hAnsi="Times New Roman" w:cs="Times New Roman"/>
          <w:sz w:val="24"/>
          <w:szCs w:val="24"/>
        </w:rPr>
        <w:t xml:space="preserve">ethodologies </w:t>
      </w:r>
      <w:r w:rsidR="004300AF">
        <w:rPr>
          <w:rFonts w:ascii="Times New Roman" w:eastAsia="Times New Roman" w:hAnsi="Times New Roman" w:cs="Times New Roman"/>
          <w:sz w:val="24"/>
          <w:szCs w:val="24"/>
        </w:rPr>
        <w:t xml:space="preserve">used </w:t>
      </w:r>
      <w:r w:rsidR="0042046D" w:rsidRPr="004C20BC">
        <w:rPr>
          <w:rFonts w:ascii="Times New Roman" w:eastAsia="Times New Roman" w:hAnsi="Times New Roman" w:cs="Times New Roman"/>
          <w:sz w:val="24"/>
          <w:szCs w:val="24"/>
        </w:rPr>
        <w:t>for sample processing, storage</w:t>
      </w:r>
      <w:r w:rsidR="00DB35EA" w:rsidRPr="004C20BC">
        <w:rPr>
          <w:rFonts w:ascii="Times New Roman" w:eastAsia="Times New Roman" w:hAnsi="Times New Roman" w:cs="Times New Roman"/>
          <w:sz w:val="24"/>
          <w:szCs w:val="24"/>
        </w:rPr>
        <w:t>,</w:t>
      </w:r>
      <w:r w:rsidR="0042046D" w:rsidRPr="004C20BC">
        <w:rPr>
          <w:rFonts w:ascii="Times New Roman" w:eastAsia="Times New Roman" w:hAnsi="Times New Roman" w:cs="Times New Roman"/>
          <w:sz w:val="24"/>
          <w:szCs w:val="24"/>
        </w:rPr>
        <w:t xml:space="preserve"> and transport can impact DNA and RNA recovery and the final observed microbial community structure</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w:t>
      </w:r>
      <w:r w:rsidR="0042046D" w:rsidRPr="004C20BC">
        <w:rPr>
          <w:rFonts w:ascii="Times New Roman" w:eastAsia="Times New Roman" w:hAnsi="Times New Roman" w:cs="Times New Roman"/>
          <w:sz w:val="24"/>
          <w:szCs w:val="24"/>
        </w:rPr>
        <w:t>these steps occur at the beginning of the workflow, they affect all downstream stages</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DB35EA" w:rsidRPr="004C20BC">
        <w:rPr>
          <w:rFonts w:ascii="Times New Roman" w:eastAsia="Times New Roman" w:hAnsi="Times New Roman" w:cs="Times New Roman"/>
          <w:sz w:val="24"/>
          <w:szCs w:val="24"/>
        </w:rPr>
        <w:t>A s</w:t>
      </w:r>
      <w:r w:rsidR="0042046D" w:rsidRPr="004C20BC">
        <w:rPr>
          <w:rFonts w:ascii="Times New Roman" w:eastAsia="Times New Roman" w:hAnsi="Times New Roman" w:cs="Times New Roman"/>
          <w:sz w:val="24"/>
          <w:szCs w:val="24"/>
        </w:rPr>
        <w:t xml:space="preserve">tandardized sample tracking system using electronic and paper-based methods with an established labeling system will allow close monitoring of the samples </w:t>
      </w:r>
      <w:r w:rsidR="004300AF">
        <w:rPr>
          <w:rFonts w:ascii="Times New Roman" w:eastAsia="Times New Roman" w:hAnsi="Times New Roman" w:cs="Times New Roman"/>
          <w:sz w:val="24"/>
          <w:szCs w:val="24"/>
        </w:rPr>
        <w:t>through</w:t>
      </w:r>
      <w:r w:rsidR="004300AF" w:rsidRPr="004C20BC">
        <w:rPr>
          <w:rFonts w:ascii="Times New Roman" w:eastAsia="Times New Roman" w:hAnsi="Times New Roman" w:cs="Times New Roman"/>
          <w:sz w:val="24"/>
          <w:szCs w:val="24"/>
        </w:rPr>
        <w:t xml:space="preserve"> </w:t>
      </w:r>
      <w:r w:rsidR="0042046D" w:rsidRPr="004C20BC">
        <w:rPr>
          <w:rFonts w:ascii="Times New Roman" w:eastAsia="Times New Roman" w:hAnsi="Times New Roman" w:cs="Times New Roman"/>
          <w:noProof/>
          <w:sz w:val="24"/>
          <w:szCs w:val="24"/>
        </w:rPr>
        <w:t>collection</w:t>
      </w:r>
      <w:r w:rsidR="0042046D" w:rsidRPr="004C20BC">
        <w:rPr>
          <w:rFonts w:ascii="Times New Roman" w:eastAsia="Times New Roman" w:hAnsi="Times New Roman" w:cs="Times New Roman"/>
          <w:sz w:val="24"/>
          <w:szCs w:val="24"/>
        </w:rPr>
        <w:t>, processing, storage</w:t>
      </w:r>
      <w:r w:rsidR="00DB35EA" w:rsidRPr="004C20BC">
        <w:rPr>
          <w:rFonts w:ascii="Times New Roman" w:eastAsia="Times New Roman" w:hAnsi="Times New Roman" w:cs="Times New Roman"/>
          <w:sz w:val="24"/>
          <w:szCs w:val="24"/>
        </w:rPr>
        <w:t>,</w:t>
      </w:r>
      <w:r w:rsidR="0042046D" w:rsidRPr="004C20BC">
        <w:rPr>
          <w:rFonts w:ascii="Times New Roman" w:eastAsia="Times New Roman" w:hAnsi="Times New Roman" w:cs="Times New Roman"/>
          <w:sz w:val="24"/>
          <w:szCs w:val="24"/>
        </w:rPr>
        <w:t xml:space="preserve"> and downstream analysis</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42046D" w:rsidRPr="004C20BC">
        <w:rPr>
          <w:rFonts w:ascii="Times New Roman" w:eastAsia="Times New Roman" w:hAnsi="Times New Roman" w:cs="Times New Roman"/>
          <w:sz w:val="24"/>
          <w:szCs w:val="24"/>
        </w:rPr>
        <w:t xml:space="preserve">The tracking system is also critical for long-term storage </w:t>
      </w:r>
      <w:r>
        <w:rPr>
          <w:rFonts w:ascii="Times New Roman" w:eastAsia="Times New Roman" w:hAnsi="Times New Roman" w:cs="Times New Roman"/>
          <w:sz w:val="24"/>
          <w:szCs w:val="24"/>
        </w:rPr>
        <w:t xml:space="preserve">because </w:t>
      </w:r>
      <w:r w:rsidR="0042046D" w:rsidRPr="004C20BC">
        <w:rPr>
          <w:rFonts w:ascii="Times New Roman" w:eastAsia="Times New Roman" w:hAnsi="Times New Roman" w:cs="Times New Roman"/>
          <w:sz w:val="24"/>
          <w:szCs w:val="24"/>
        </w:rPr>
        <w:t xml:space="preserve">it could provide </w:t>
      </w:r>
      <w:r w:rsidR="0042046D" w:rsidRPr="004C20BC">
        <w:rPr>
          <w:rFonts w:ascii="Times New Roman" w:eastAsia="Times New Roman" w:hAnsi="Times New Roman" w:cs="Times New Roman"/>
          <w:noProof/>
          <w:sz w:val="24"/>
          <w:szCs w:val="24"/>
        </w:rPr>
        <w:t>precise</w:t>
      </w:r>
      <w:r w:rsidR="0042046D" w:rsidRPr="004C20BC">
        <w:rPr>
          <w:rFonts w:ascii="Times New Roman" w:eastAsia="Times New Roman" w:hAnsi="Times New Roman" w:cs="Times New Roman"/>
          <w:sz w:val="24"/>
          <w:szCs w:val="24"/>
        </w:rPr>
        <w:t xml:space="preserve"> location</w:t>
      </w:r>
      <w:r w:rsidR="00DB35EA" w:rsidRPr="004C20BC">
        <w:rPr>
          <w:rFonts w:ascii="Times New Roman" w:eastAsia="Times New Roman" w:hAnsi="Times New Roman" w:cs="Times New Roman"/>
          <w:sz w:val="24"/>
          <w:szCs w:val="24"/>
        </w:rPr>
        <w:t>s</w:t>
      </w:r>
      <w:r w:rsidR="0042046D" w:rsidRPr="004C20BC">
        <w:rPr>
          <w:rFonts w:ascii="Times New Roman" w:eastAsia="Times New Roman" w:hAnsi="Times New Roman" w:cs="Times New Roman"/>
          <w:sz w:val="24"/>
          <w:szCs w:val="24"/>
        </w:rPr>
        <w:t xml:space="preserve"> of samples in</w:t>
      </w:r>
      <w:r w:rsidR="004300AF">
        <w:rPr>
          <w:rFonts w:ascii="Times New Roman" w:eastAsia="Times New Roman" w:hAnsi="Times New Roman" w:cs="Times New Roman"/>
          <w:sz w:val="24"/>
          <w:szCs w:val="24"/>
        </w:rPr>
        <w:t xml:space="preserve"> an</w:t>
      </w:r>
      <w:r w:rsidR="0042046D" w:rsidRPr="004C20BC">
        <w:rPr>
          <w:rFonts w:ascii="Times New Roman" w:eastAsia="Times New Roman" w:hAnsi="Times New Roman" w:cs="Times New Roman"/>
          <w:sz w:val="24"/>
          <w:szCs w:val="24"/>
        </w:rPr>
        <w:t xml:space="preserve"> -80</w:t>
      </w:r>
      <w:r w:rsidR="00C14227" w:rsidRPr="00C14227">
        <w:rPr>
          <w:rFonts w:ascii="Cambria Math" w:eastAsia="Times New Roman" w:hAnsi="Cambria Math" w:cs="Cambria Math"/>
          <w:sz w:val="24"/>
          <w:szCs w:val="24"/>
          <w:vertAlign w:val="superscript"/>
        </w:rPr>
        <w:t>o</w:t>
      </w:r>
      <w:r w:rsidR="0042046D" w:rsidRPr="004C20BC">
        <w:rPr>
          <w:rFonts w:ascii="Times New Roman" w:eastAsia="Times New Roman" w:hAnsi="Times New Roman" w:cs="Times New Roman"/>
          <w:sz w:val="24"/>
          <w:szCs w:val="24"/>
        </w:rPr>
        <w:t>C freezer.</w:t>
      </w:r>
      <w:r w:rsidR="003F14B1">
        <w:rPr>
          <w:rFonts w:ascii="Times New Roman" w:eastAsia="Times New Roman" w:hAnsi="Times New Roman" w:cs="Times New Roman"/>
          <w:sz w:val="24"/>
          <w:szCs w:val="24"/>
        </w:rPr>
        <w:t xml:space="preserve"> </w:t>
      </w:r>
    </w:p>
    <w:p w14:paraId="2AC79208" w14:textId="05CA6E88" w:rsidR="005A0C99" w:rsidRPr="004C20BC" w:rsidRDefault="005A0C99" w:rsidP="00967C61">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 xml:space="preserve">Sample processing will generally follow </w:t>
      </w:r>
      <w:r w:rsidR="00CC2553">
        <w:rPr>
          <w:rFonts w:ascii="Times New Roman" w:eastAsia="Times New Roman" w:hAnsi="Times New Roman" w:cs="Times New Roman"/>
          <w:sz w:val="24"/>
          <w:szCs w:val="24"/>
        </w:rPr>
        <w:t xml:space="preserve">the instructions from </w:t>
      </w:r>
      <w:r w:rsidRPr="004C20BC">
        <w:rPr>
          <w:rFonts w:ascii="Times New Roman" w:eastAsia="Times New Roman" w:hAnsi="Times New Roman" w:cs="Times New Roman"/>
          <w:sz w:val="24"/>
          <w:szCs w:val="24"/>
        </w:rPr>
        <w:t>a commercial kit chosen based on the research question and previously published studies</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 xml:space="preserve">Sample storage prior to nucleic acid extraction includes flash freezing either on dry ice or liquid </w:t>
      </w:r>
      <w:r w:rsidR="00CC2553">
        <w:rPr>
          <w:rFonts w:ascii="Times New Roman" w:eastAsia="Times New Roman" w:hAnsi="Times New Roman" w:cs="Times New Roman"/>
          <w:sz w:val="24"/>
          <w:szCs w:val="24"/>
        </w:rPr>
        <w:t>n</w:t>
      </w:r>
      <w:r w:rsidRPr="004C20BC">
        <w:rPr>
          <w:rFonts w:ascii="Times New Roman" w:eastAsia="Times New Roman" w:hAnsi="Times New Roman" w:cs="Times New Roman"/>
          <w:sz w:val="24"/>
          <w:szCs w:val="24"/>
        </w:rPr>
        <w:t xml:space="preserve">itrogen followed by </w:t>
      </w:r>
      <w:r w:rsidRPr="004C20BC">
        <w:rPr>
          <w:rFonts w:ascii="Times New Roman" w:eastAsia="Times New Roman" w:hAnsi="Times New Roman" w:cs="Times New Roman"/>
          <w:noProof/>
          <w:sz w:val="24"/>
          <w:szCs w:val="24"/>
        </w:rPr>
        <w:t>long</w:t>
      </w:r>
      <w:r w:rsidR="00871E85" w:rsidRPr="004C20BC">
        <w:rPr>
          <w:rFonts w:ascii="Times New Roman" w:eastAsia="Times New Roman" w:hAnsi="Times New Roman" w:cs="Times New Roman"/>
          <w:noProof/>
          <w:sz w:val="24"/>
          <w:szCs w:val="24"/>
        </w:rPr>
        <w:t>-</w:t>
      </w:r>
      <w:r w:rsidRPr="004C20BC">
        <w:rPr>
          <w:rFonts w:ascii="Times New Roman" w:eastAsia="Times New Roman" w:hAnsi="Times New Roman" w:cs="Times New Roman"/>
          <w:noProof/>
          <w:sz w:val="24"/>
          <w:szCs w:val="24"/>
        </w:rPr>
        <w:t>term</w:t>
      </w:r>
      <w:r w:rsidRPr="004C20BC">
        <w:rPr>
          <w:rFonts w:ascii="Times New Roman" w:eastAsia="Times New Roman" w:hAnsi="Times New Roman" w:cs="Times New Roman"/>
          <w:sz w:val="24"/>
          <w:szCs w:val="24"/>
        </w:rPr>
        <w:t xml:space="preserve"> storage at -20</w:t>
      </w:r>
      <w:r w:rsidR="00C14227" w:rsidRPr="00C14227">
        <w:rPr>
          <w:rFonts w:ascii="Times New Roman" w:eastAsia="Times New Roman" w:hAnsi="Times New Roman" w:cs="Times New Roman"/>
          <w:sz w:val="24"/>
          <w:szCs w:val="24"/>
          <w:vertAlign w:val="superscript"/>
        </w:rPr>
        <w:t>o</w:t>
      </w:r>
      <w:r w:rsidRPr="004C20BC">
        <w:rPr>
          <w:rFonts w:ascii="Times New Roman" w:eastAsia="Times New Roman" w:hAnsi="Times New Roman" w:cs="Times New Roman"/>
          <w:sz w:val="24"/>
          <w:szCs w:val="24"/>
        </w:rPr>
        <w:t>C or -80</w:t>
      </w:r>
      <w:r w:rsidR="00C14227" w:rsidRPr="00C14227">
        <w:rPr>
          <w:rFonts w:ascii="Times New Roman" w:eastAsia="Times New Roman" w:hAnsi="Times New Roman" w:cs="Times New Roman"/>
          <w:sz w:val="24"/>
          <w:szCs w:val="24"/>
          <w:vertAlign w:val="superscript"/>
        </w:rPr>
        <w:t>o</w:t>
      </w:r>
      <w:r w:rsidRPr="004C20BC">
        <w:rPr>
          <w:rFonts w:ascii="Times New Roman" w:eastAsia="Times New Roman" w:hAnsi="Times New Roman" w:cs="Times New Roman"/>
          <w:sz w:val="24"/>
          <w:szCs w:val="24"/>
        </w:rPr>
        <w:t>C</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Commercially available alternatives allow for medium-term storage at room temperature in stabilizing and inactivating reagents, allowing for home</w:t>
      </w:r>
      <w:r w:rsidR="00A02E8A">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collection and postal shipment of oral, vaginal</w:t>
      </w:r>
      <w:r w:rsidR="00DB35EA" w:rsidRPr="004C20BC">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 and fecal </w:t>
      </w:r>
      <w:r w:rsidRPr="00C14227">
        <w:rPr>
          <w:rFonts w:ascii="Times New Roman" w:eastAsia="Times New Roman" w:hAnsi="Times New Roman" w:cs="Times New Roman"/>
          <w:sz w:val="24"/>
          <w:szCs w:val="24"/>
        </w:rPr>
        <w:t>samples (e.g., products</w:t>
      </w:r>
      <w:r w:rsidRPr="004C20BC">
        <w:rPr>
          <w:rFonts w:ascii="Times New Roman" w:eastAsia="Times New Roman" w:hAnsi="Times New Roman" w:cs="Times New Roman"/>
          <w:sz w:val="24"/>
          <w:szCs w:val="24"/>
        </w:rPr>
        <w:t xml:space="preserve"> from </w:t>
      </w:r>
      <w:r w:rsidR="00055C7A">
        <w:rPr>
          <w:rFonts w:ascii="Times New Roman" w:eastAsia="Times New Roman" w:hAnsi="Times New Roman" w:cs="Times New Roman"/>
          <w:sz w:val="24"/>
          <w:szCs w:val="24"/>
        </w:rPr>
        <w:t xml:space="preserve">companies such as </w:t>
      </w:r>
      <w:r w:rsidRPr="004C20BC">
        <w:rPr>
          <w:rFonts w:ascii="Times New Roman" w:eastAsia="Times New Roman" w:hAnsi="Times New Roman" w:cs="Times New Roman"/>
          <w:sz w:val="24"/>
          <w:szCs w:val="24"/>
        </w:rPr>
        <w:t xml:space="preserve">DNA </w:t>
      </w:r>
      <w:proofErr w:type="spellStart"/>
      <w:r w:rsidRPr="004C20BC">
        <w:rPr>
          <w:rFonts w:ascii="Times New Roman" w:eastAsia="Times New Roman" w:hAnsi="Times New Roman" w:cs="Times New Roman"/>
          <w:sz w:val="24"/>
          <w:szCs w:val="24"/>
        </w:rPr>
        <w:t>Genotek</w:t>
      </w:r>
      <w:proofErr w:type="spellEnd"/>
      <w:r w:rsidR="00055C7A">
        <w:rPr>
          <w:rFonts w:ascii="Times New Roman" w:eastAsia="Times New Roman" w:hAnsi="Times New Roman" w:cs="Times New Roman"/>
          <w:sz w:val="24"/>
          <w:szCs w:val="24"/>
        </w:rPr>
        <w:t>,</w:t>
      </w:r>
      <w:r w:rsidR="00055C7A" w:rsidRPr="004C20BC">
        <w:rPr>
          <w:rFonts w:ascii="Times New Roman" w:eastAsia="Times New Roman" w:hAnsi="Times New Roman" w:cs="Times New Roman"/>
          <w:sz w:val="24"/>
          <w:szCs w:val="24"/>
        </w:rPr>
        <w:t xml:space="preserve"> </w:t>
      </w:r>
      <w:proofErr w:type="spellStart"/>
      <w:r w:rsidRPr="004C20BC">
        <w:rPr>
          <w:rFonts w:ascii="Times New Roman" w:eastAsia="Times New Roman" w:hAnsi="Times New Roman" w:cs="Times New Roman"/>
          <w:sz w:val="24"/>
          <w:szCs w:val="24"/>
        </w:rPr>
        <w:t>Norgen</w:t>
      </w:r>
      <w:proofErr w:type="spellEnd"/>
      <w:r w:rsidRPr="004C20BC">
        <w:rPr>
          <w:rFonts w:ascii="Times New Roman" w:eastAsia="Times New Roman" w:hAnsi="Times New Roman" w:cs="Times New Roman"/>
          <w:sz w:val="24"/>
          <w:szCs w:val="24"/>
        </w:rPr>
        <w:t xml:space="preserve"> </w:t>
      </w:r>
      <w:proofErr w:type="spellStart"/>
      <w:r w:rsidRPr="004C20BC">
        <w:rPr>
          <w:rFonts w:ascii="Times New Roman" w:eastAsia="Times New Roman" w:hAnsi="Times New Roman" w:cs="Times New Roman"/>
          <w:sz w:val="24"/>
          <w:szCs w:val="24"/>
        </w:rPr>
        <w:t>Biotek</w:t>
      </w:r>
      <w:proofErr w:type="spellEnd"/>
      <w:r w:rsidR="00055C7A">
        <w:rPr>
          <w:rFonts w:ascii="Times New Roman" w:eastAsia="Times New Roman" w:hAnsi="Times New Roman" w:cs="Times New Roman"/>
          <w:sz w:val="24"/>
          <w:szCs w:val="24"/>
        </w:rPr>
        <w:t>,</w:t>
      </w:r>
      <w:r w:rsidR="00055C7A" w:rsidRPr="004C20BC">
        <w:rPr>
          <w:rFonts w:ascii="Times New Roman" w:eastAsia="Times New Roman" w:hAnsi="Times New Roman" w:cs="Times New Roman"/>
          <w:sz w:val="24"/>
          <w:szCs w:val="24"/>
        </w:rPr>
        <w:t xml:space="preserve"> </w:t>
      </w:r>
      <w:proofErr w:type="spellStart"/>
      <w:r w:rsidRPr="004C20BC">
        <w:rPr>
          <w:rFonts w:ascii="Times New Roman" w:eastAsia="Times New Roman" w:hAnsi="Times New Roman" w:cs="Times New Roman"/>
          <w:sz w:val="24"/>
          <w:szCs w:val="24"/>
        </w:rPr>
        <w:t>Zymo</w:t>
      </w:r>
      <w:proofErr w:type="spellEnd"/>
      <w:r w:rsidR="00055C7A">
        <w:rPr>
          <w:rFonts w:ascii="Times New Roman" w:eastAsia="Times New Roman" w:hAnsi="Times New Roman" w:cs="Times New Roman"/>
          <w:sz w:val="24"/>
          <w:szCs w:val="24"/>
        </w:rPr>
        <w:t>, and others</w:t>
      </w:r>
      <w:r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DNA-based analyses are less sensitive to short</w:t>
      </w:r>
      <w:r w:rsidR="00C25FAC">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t</w:t>
      </w:r>
      <w:r w:rsidR="00C25FAC">
        <w:rPr>
          <w:rFonts w:ascii="Times New Roman" w:eastAsia="Times New Roman" w:hAnsi="Times New Roman" w:cs="Times New Roman"/>
          <w:sz w:val="24"/>
          <w:szCs w:val="24"/>
        </w:rPr>
        <w:t>er</w:t>
      </w:r>
      <w:r w:rsidRPr="004C20BC">
        <w:rPr>
          <w:rFonts w:ascii="Times New Roman" w:eastAsia="Times New Roman" w:hAnsi="Times New Roman" w:cs="Times New Roman"/>
          <w:sz w:val="24"/>
          <w:szCs w:val="24"/>
        </w:rPr>
        <w:t>m environmental shifts than RNA-, metabolite</w:t>
      </w:r>
      <w:r w:rsidR="00581086">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or protein-based analysis</w:t>
      </w:r>
      <w:r w:rsidR="00581086">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 thus, DNA sampling is less onerous.</w:t>
      </w:r>
      <w:r w:rsidR="003F14B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 xml:space="preserve">Metabolomics or </w:t>
      </w:r>
      <w:proofErr w:type="spellStart"/>
      <w:r w:rsidRPr="004C20BC">
        <w:rPr>
          <w:rFonts w:ascii="Times New Roman" w:eastAsia="Times New Roman" w:hAnsi="Times New Roman" w:cs="Times New Roman"/>
          <w:sz w:val="24"/>
          <w:szCs w:val="24"/>
        </w:rPr>
        <w:t>metatranscriptomics</w:t>
      </w:r>
      <w:proofErr w:type="spellEnd"/>
      <w:r w:rsidRPr="004C20BC">
        <w:rPr>
          <w:rFonts w:ascii="Times New Roman" w:eastAsia="Times New Roman" w:hAnsi="Times New Roman" w:cs="Times New Roman"/>
          <w:sz w:val="24"/>
          <w:szCs w:val="24"/>
        </w:rPr>
        <w:t xml:space="preserve"> studies require more rigorous standardization of sample processing and storage methods</w:t>
      </w:r>
      <w:r w:rsidR="00EB7AFE" w:rsidRPr="004C20BC">
        <w:rPr>
          <w:rFonts w:ascii="Times New Roman" w:eastAsia="Times New Roman" w:hAnsi="Times New Roman" w:cs="Times New Roman"/>
          <w:sz w:val="24"/>
          <w:szCs w:val="24"/>
        </w:rPr>
        <w:t xml:space="preserve"> for</w:t>
      </w:r>
      <w:r w:rsidRPr="004C20BC">
        <w:rPr>
          <w:rFonts w:ascii="Times New Roman" w:eastAsia="Times New Roman" w:hAnsi="Times New Roman" w:cs="Times New Roman"/>
          <w:sz w:val="24"/>
          <w:szCs w:val="24"/>
        </w:rPr>
        <w:t xml:space="preserve"> rapid stabilization of samples</w:t>
      </w:r>
      <w:r w:rsidR="00EB7AFE" w:rsidRPr="004C20BC">
        <w:rPr>
          <w:rFonts w:ascii="Times New Roman" w:eastAsia="Times New Roman" w:hAnsi="Times New Roman" w:cs="Times New Roman"/>
          <w:sz w:val="24"/>
          <w:szCs w:val="24"/>
        </w:rPr>
        <w:t xml:space="preserve"> </w:t>
      </w:r>
      <w:r w:rsidR="00BF24F9" w:rsidRPr="004C20BC">
        <w:rPr>
          <w:rFonts w:ascii="Times New Roman" w:eastAsia="Times New Roman" w:hAnsi="Times New Roman" w:cs="Times New Roman"/>
          <w:sz w:val="24"/>
          <w:szCs w:val="24"/>
        </w:rPr>
        <w:t>due to the faster nature of byproduct degradation</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836C37" w:rsidRPr="004C20BC">
        <w:rPr>
          <w:rFonts w:ascii="Times New Roman" w:eastAsia="Times New Roman" w:hAnsi="Times New Roman" w:cs="Times New Roman"/>
          <w:sz w:val="24"/>
          <w:szCs w:val="24"/>
        </w:rPr>
        <w:t>For example, in metabolomics</w:t>
      </w:r>
      <w:r w:rsidR="00BF24F9" w:rsidRPr="004C20BC">
        <w:rPr>
          <w:rFonts w:ascii="Times New Roman" w:eastAsia="Times New Roman" w:hAnsi="Times New Roman" w:cs="Times New Roman"/>
          <w:sz w:val="24"/>
          <w:szCs w:val="24"/>
        </w:rPr>
        <w:t xml:space="preserve"> analysis protocols</w:t>
      </w:r>
      <w:r w:rsidR="00EB7AFE" w:rsidRPr="004C20BC">
        <w:rPr>
          <w:rFonts w:ascii="Times New Roman" w:eastAsia="Times New Roman" w:hAnsi="Times New Roman" w:cs="Times New Roman"/>
          <w:sz w:val="24"/>
          <w:szCs w:val="24"/>
        </w:rPr>
        <w:t>,</w:t>
      </w:r>
      <w:r w:rsidR="00836C37" w:rsidRPr="004C20BC">
        <w:rPr>
          <w:rFonts w:ascii="Times New Roman" w:eastAsia="Times New Roman" w:hAnsi="Times New Roman" w:cs="Times New Roman"/>
          <w:sz w:val="24"/>
          <w:szCs w:val="24"/>
        </w:rPr>
        <w:t xml:space="preserve"> </w:t>
      </w:r>
      <w:r w:rsidR="00BF24F9" w:rsidRPr="004C20BC">
        <w:rPr>
          <w:rFonts w:ascii="Times New Roman" w:eastAsia="Times New Roman" w:hAnsi="Times New Roman" w:cs="Times New Roman"/>
          <w:sz w:val="24"/>
          <w:szCs w:val="24"/>
        </w:rPr>
        <w:t xml:space="preserve">a standardized weight of </w:t>
      </w:r>
      <w:r w:rsidR="00BF24F9" w:rsidRPr="004C20BC">
        <w:rPr>
          <w:rFonts w:ascii="Times New Roman" w:eastAsia="Times New Roman" w:hAnsi="Times New Roman" w:cs="Times New Roman"/>
          <w:noProof/>
          <w:sz w:val="24"/>
          <w:szCs w:val="24"/>
        </w:rPr>
        <w:t>fecal</w:t>
      </w:r>
      <w:r w:rsidR="00BF24F9" w:rsidRPr="004C20BC">
        <w:rPr>
          <w:rFonts w:ascii="Times New Roman" w:eastAsia="Times New Roman" w:hAnsi="Times New Roman" w:cs="Times New Roman"/>
          <w:sz w:val="24"/>
          <w:szCs w:val="24"/>
        </w:rPr>
        <w:t xml:space="preserve"> sample is aliquoted to an Eppendorf tube, </w:t>
      </w:r>
      <w:r w:rsidR="00836C37" w:rsidRPr="004C20BC">
        <w:rPr>
          <w:rFonts w:ascii="Times New Roman" w:eastAsia="Times New Roman" w:hAnsi="Times New Roman" w:cs="Times New Roman"/>
          <w:sz w:val="24"/>
          <w:szCs w:val="24"/>
        </w:rPr>
        <w:t xml:space="preserve">flash frozen in liquid </w:t>
      </w:r>
      <w:r w:rsidR="00836C37" w:rsidRPr="004C20BC">
        <w:rPr>
          <w:rFonts w:ascii="Times New Roman" w:eastAsia="Times New Roman" w:hAnsi="Times New Roman" w:cs="Times New Roman"/>
          <w:sz w:val="24"/>
          <w:szCs w:val="24"/>
        </w:rPr>
        <w:lastRenderedPageBreak/>
        <w:t>nitrogen</w:t>
      </w:r>
      <w:r w:rsidR="00DB35EA" w:rsidRPr="004C20BC">
        <w:rPr>
          <w:rFonts w:ascii="Times New Roman" w:eastAsia="Times New Roman" w:hAnsi="Times New Roman" w:cs="Times New Roman"/>
          <w:sz w:val="24"/>
          <w:szCs w:val="24"/>
        </w:rPr>
        <w:t>,</w:t>
      </w:r>
      <w:r w:rsidR="00836C37" w:rsidRPr="004C20BC">
        <w:rPr>
          <w:rFonts w:ascii="Times New Roman" w:eastAsia="Times New Roman" w:hAnsi="Times New Roman" w:cs="Times New Roman"/>
          <w:sz w:val="24"/>
          <w:szCs w:val="24"/>
        </w:rPr>
        <w:t xml:space="preserve"> and </w:t>
      </w:r>
      <w:r w:rsidR="00BF24F9" w:rsidRPr="004C20BC">
        <w:rPr>
          <w:rFonts w:ascii="Times New Roman" w:eastAsia="Times New Roman" w:hAnsi="Times New Roman" w:cs="Times New Roman"/>
          <w:sz w:val="24"/>
          <w:szCs w:val="24"/>
        </w:rPr>
        <w:t xml:space="preserve">eventually </w:t>
      </w:r>
      <w:r w:rsidR="00836C37" w:rsidRPr="004C20BC">
        <w:rPr>
          <w:rFonts w:ascii="Times New Roman" w:eastAsia="Times New Roman" w:hAnsi="Times New Roman" w:cs="Times New Roman"/>
          <w:noProof/>
          <w:sz w:val="24"/>
          <w:szCs w:val="24"/>
        </w:rPr>
        <w:t>freeze dried</w:t>
      </w:r>
      <w:r w:rsidR="00836C37" w:rsidRPr="004C20BC">
        <w:rPr>
          <w:rFonts w:ascii="Times New Roman" w:eastAsia="Times New Roman" w:hAnsi="Times New Roman" w:cs="Times New Roman"/>
          <w:sz w:val="24"/>
          <w:szCs w:val="24"/>
        </w:rPr>
        <w:t xml:space="preserve"> by </w:t>
      </w:r>
      <w:r w:rsidR="00BF24F9" w:rsidRPr="004C20BC">
        <w:rPr>
          <w:rFonts w:ascii="Times New Roman" w:eastAsia="Times New Roman" w:hAnsi="Times New Roman" w:cs="Times New Roman"/>
          <w:sz w:val="24"/>
          <w:szCs w:val="24"/>
        </w:rPr>
        <w:t xml:space="preserve">lyophilization </w:t>
      </w:r>
      <w:r w:rsidR="00836C37" w:rsidRPr="004C20BC">
        <w:rPr>
          <w:rFonts w:ascii="Times New Roman" w:eastAsia="Times New Roman" w:hAnsi="Times New Roman" w:cs="Times New Roman"/>
          <w:sz w:val="24"/>
          <w:szCs w:val="24"/>
        </w:rPr>
        <w:t>before shipment for processing</w:t>
      </w:r>
      <w:r w:rsidR="00510C37" w:rsidRPr="004C20BC">
        <w:rPr>
          <w:rFonts w:ascii="Times New Roman" w:eastAsia="Times New Roman" w:hAnsi="Times New Roman" w:cs="Times New Roman"/>
          <w:sz w:val="24"/>
          <w:szCs w:val="24"/>
        </w:rPr>
        <w:t xml:space="preserve"> </w:t>
      </w:r>
      <w:r w:rsidR="00F4510D">
        <w:rPr>
          <w:rFonts w:ascii="Times New Roman" w:eastAsia="Times New Roman" w:hAnsi="Times New Roman" w:cs="Times New Roman"/>
          <w:sz w:val="24"/>
          <w:szCs w:val="24"/>
        </w:rPr>
        <w:t>i</w:t>
      </w:r>
      <w:r w:rsidR="00A32736">
        <w:rPr>
          <w:rFonts w:ascii="Times New Roman" w:eastAsia="Times New Roman" w:hAnsi="Times New Roman" w:cs="Times New Roman"/>
          <w:sz w:val="24"/>
          <w:szCs w:val="24"/>
        </w:rPr>
        <w:t>n order to ensure</w:t>
      </w:r>
      <w:r w:rsidR="00F4510D" w:rsidRPr="004C20BC">
        <w:rPr>
          <w:rFonts w:ascii="Times New Roman" w:eastAsia="Times New Roman" w:hAnsi="Times New Roman" w:cs="Times New Roman"/>
          <w:sz w:val="24"/>
          <w:szCs w:val="24"/>
        </w:rPr>
        <w:t xml:space="preserve"> </w:t>
      </w:r>
      <w:r w:rsidR="00510C37" w:rsidRPr="004C20BC">
        <w:rPr>
          <w:rFonts w:ascii="Times New Roman" w:eastAsia="Times New Roman" w:hAnsi="Times New Roman" w:cs="Times New Roman"/>
          <w:sz w:val="24"/>
          <w:szCs w:val="24"/>
        </w:rPr>
        <w:t>accuracy and reproducibility</w:t>
      </w:r>
      <w:r w:rsidR="00BF24F9" w:rsidRPr="004C20BC">
        <w:rPr>
          <w:rFonts w:ascii="Times New Roman" w:eastAsia="Times New Roman" w:hAnsi="Times New Roman" w:cs="Times New Roman"/>
          <w:sz w:val="24"/>
          <w:szCs w:val="24"/>
        </w:rPr>
        <w:t xml:space="preserve"> of sample results</w:t>
      </w:r>
      <w:r w:rsidR="00510C37" w:rsidRPr="004C20BC">
        <w:rPr>
          <w:rFonts w:ascii="Times New Roman" w:eastAsia="Times New Roman" w:hAnsi="Times New Roman" w:cs="Times New Roman"/>
          <w:sz w:val="24"/>
          <w:szCs w:val="24"/>
        </w:rPr>
        <w:t xml:space="preserve"> </w:t>
      </w:r>
      <w:r w:rsidR="00476ABF" w:rsidRPr="004C20BC">
        <w:rPr>
          <w:rFonts w:ascii="Times New Roman" w:eastAsia="Times New Roman" w:hAnsi="Times New Roman" w:cs="Times New Roman"/>
          <w:noProof/>
          <w:sz w:val="24"/>
          <w:szCs w:val="24"/>
        </w:rPr>
        <w:t>(Deda, Gika, &amp; Theodoridis, 2018)</w:t>
      </w:r>
      <w:r w:rsidR="00836C37"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p>
    <w:p w14:paraId="21029D99" w14:textId="5F72A421" w:rsidR="005A0C99" w:rsidRPr="004C20BC" w:rsidRDefault="005A0C99" w:rsidP="00967C61">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Maintaining constant environmental conditions is critical during storage and shipping</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 xml:space="preserve">The number of </w:t>
      </w:r>
      <w:proofErr w:type="gramStart"/>
      <w:r w:rsidRPr="004C20BC">
        <w:rPr>
          <w:rFonts w:ascii="Times New Roman" w:eastAsia="Times New Roman" w:hAnsi="Times New Roman" w:cs="Times New Roman"/>
          <w:sz w:val="24"/>
          <w:szCs w:val="24"/>
        </w:rPr>
        <w:t>freeze</w:t>
      </w:r>
      <w:proofErr w:type="gramEnd"/>
      <w:r w:rsidR="00A32736">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thaw cycles, resulting from fluctuation of environmental conditions</w:t>
      </w:r>
      <w:r w:rsidR="00581086">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 can impact microbial composition and </w:t>
      </w:r>
      <w:r w:rsidR="00A32736" w:rsidRPr="004C20BC">
        <w:rPr>
          <w:rFonts w:ascii="Times New Roman" w:eastAsia="Times New Roman" w:hAnsi="Times New Roman" w:cs="Times New Roman"/>
          <w:sz w:val="24"/>
          <w:szCs w:val="24"/>
        </w:rPr>
        <w:t>nucleic</w:t>
      </w:r>
      <w:r w:rsidR="00A32736">
        <w:rPr>
          <w:rFonts w:ascii="Times New Roman" w:eastAsia="Times New Roman" w:hAnsi="Times New Roman" w:cs="Times New Roman"/>
          <w:sz w:val="24"/>
          <w:szCs w:val="24"/>
        </w:rPr>
        <w:t>-</w:t>
      </w:r>
      <w:r w:rsidRPr="004C20BC">
        <w:rPr>
          <w:rFonts w:ascii="Times New Roman" w:eastAsia="Times New Roman" w:hAnsi="Times New Roman" w:cs="Times New Roman"/>
          <w:sz w:val="24"/>
          <w:szCs w:val="24"/>
        </w:rPr>
        <w:t xml:space="preserve">acid integrity </w:t>
      </w:r>
      <w:r w:rsidR="003F59A6" w:rsidRPr="004C20BC">
        <w:rPr>
          <w:rFonts w:ascii="Times New Roman" w:eastAsia="Times New Roman" w:hAnsi="Times New Roman" w:cs="Times New Roman"/>
          <w:noProof/>
          <w:sz w:val="24"/>
          <w:szCs w:val="24"/>
        </w:rPr>
        <w:t>(Sergeant, Constantinidou, Cogan, Penn, &amp; Pallen, 2012)</w:t>
      </w:r>
      <w:r w:rsidR="00C369E2" w:rsidRPr="004C20BC">
        <w:rPr>
          <w:rFonts w:ascii="Times New Roman" w:eastAsia="Times New Roman" w:hAnsi="Times New Roman" w:cs="Times New Roman"/>
          <w:noProof/>
          <w:sz w:val="24"/>
          <w:szCs w:val="24"/>
        </w:rPr>
        <w:t>.</w:t>
      </w:r>
      <w:r w:rsidR="003F14B1">
        <w:rPr>
          <w:rFonts w:ascii="Times New Roman" w:eastAsia="Times New Roman" w:hAnsi="Times New Roman" w:cs="Times New Roman"/>
          <w:noProof/>
          <w:sz w:val="24"/>
          <w:szCs w:val="24"/>
        </w:rPr>
        <w:t xml:space="preserve"> </w:t>
      </w:r>
      <w:r w:rsidR="0011710C">
        <w:rPr>
          <w:rFonts w:ascii="Times New Roman" w:eastAsia="Times New Roman" w:hAnsi="Times New Roman" w:cs="Times New Roman"/>
          <w:noProof/>
          <w:sz w:val="24"/>
          <w:szCs w:val="24"/>
        </w:rPr>
        <w:t>Investigators should t</w:t>
      </w:r>
      <w:r w:rsidRPr="004C20BC">
        <w:rPr>
          <w:rFonts w:ascii="Times New Roman" w:eastAsia="Times New Roman" w:hAnsi="Times New Roman" w:cs="Times New Roman"/>
          <w:noProof/>
          <w:sz w:val="24"/>
          <w:szCs w:val="24"/>
        </w:rPr>
        <w:t>horough</w:t>
      </w:r>
      <w:r w:rsidR="0011710C">
        <w:rPr>
          <w:rFonts w:ascii="Times New Roman" w:eastAsia="Times New Roman" w:hAnsi="Times New Roman" w:cs="Times New Roman"/>
          <w:noProof/>
          <w:sz w:val="24"/>
          <w:szCs w:val="24"/>
        </w:rPr>
        <w:t>ly</w:t>
      </w:r>
      <w:r w:rsidRPr="004C20BC">
        <w:rPr>
          <w:rFonts w:ascii="Times New Roman" w:eastAsia="Times New Roman" w:hAnsi="Times New Roman" w:cs="Times New Roman"/>
          <w:sz w:val="24"/>
          <w:szCs w:val="24"/>
        </w:rPr>
        <w:t xml:space="preserve"> document</w:t>
      </w:r>
      <w:r w:rsidR="0011710C">
        <w:rPr>
          <w:rFonts w:ascii="Times New Roman" w:eastAsia="Times New Roman" w:hAnsi="Times New Roman" w:cs="Times New Roman"/>
          <w:sz w:val="24"/>
          <w:szCs w:val="24"/>
        </w:rPr>
        <w:t xml:space="preserve"> any</w:t>
      </w:r>
      <w:r w:rsidRPr="004C20BC">
        <w:rPr>
          <w:rFonts w:ascii="Times New Roman" w:eastAsia="Times New Roman" w:hAnsi="Times New Roman" w:cs="Times New Roman"/>
          <w:sz w:val="24"/>
          <w:szCs w:val="24"/>
        </w:rPr>
        <w:t xml:space="preserve"> </w:t>
      </w:r>
      <w:r w:rsidR="0011710C">
        <w:rPr>
          <w:rFonts w:ascii="Times New Roman" w:eastAsia="Times New Roman" w:hAnsi="Times New Roman" w:cs="Times New Roman"/>
          <w:sz w:val="24"/>
          <w:szCs w:val="24"/>
        </w:rPr>
        <w:t>significant</w:t>
      </w:r>
      <w:r w:rsidR="0011710C" w:rsidRPr="004C20BC">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 xml:space="preserve">environmental changes </w:t>
      </w:r>
      <w:r w:rsidR="0011710C">
        <w:rPr>
          <w:rFonts w:ascii="Times New Roman" w:eastAsia="Times New Roman" w:hAnsi="Times New Roman" w:cs="Times New Roman"/>
          <w:sz w:val="24"/>
          <w:szCs w:val="24"/>
        </w:rPr>
        <w:t xml:space="preserve">that </w:t>
      </w:r>
      <w:r w:rsidRPr="004C20BC">
        <w:rPr>
          <w:rFonts w:ascii="Times New Roman" w:eastAsia="Times New Roman" w:hAnsi="Times New Roman" w:cs="Times New Roman"/>
          <w:sz w:val="24"/>
          <w:szCs w:val="24"/>
        </w:rPr>
        <w:t>occur to samples</w:t>
      </w:r>
      <w:r w:rsidR="0011710C">
        <w:rPr>
          <w:rFonts w:ascii="Times New Roman" w:eastAsia="Times New Roman" w:hAnsi="Times New Roman" w:cs="Times New Roman"/>
          <w:sz w:val="24"/>
          <w:szCs w:val="24"/>
        </w:rPr>
        <w:t xml:space="preserve"> and should then account for potential</w:t>
      </w:r>
      <w:r w:rsidR="0011710C" w:rsidRPr="004C20BC">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effects on the data with statistical modeling</w:t>
      </w:r>
      <w:r w:rsidR="00851E1C" w:rsidRPr="004C20BC">
        <w:rPr>
          <w:rFonts w:ascii="Times New Roman" w:eastAsia="Times New Roman" w:hAnsi="Times New Roman" w:cs="Times New Roman"/>
          <w:sz w:val="24"/>
          <w:szCs w:val="24"/>
        </w:rPr>
        <w:t xml:space="preserve"> </w:t>
      </w:r>
      <w:r w:rsidR="00851E1C" w:rsidRPr="004C20BC">
        <w:rPr>
          <w:rFonts w:ascii="Times New Roman" w:eastAsia="Times New Roman" w:hAnsi="Times New Roman" w:cs="Times New Roman"/>
          <w:noProof/>
          <w:sz w:val="24"/>
          <w:szCs w:val="24"/>
        </w:rPr>
        <w:t>(Chen et al., 2012)</w:t>
      </w:r>
      <w:r w:rsidR="00851E1C"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p>
    <w:p w14:paraId="1EF9BD1E" w14:textId="73291CAF" w:rsidR="00592EE6" w:rsidRPr="004C20BC" w:rsidRDefault="00592EE6" w:rsidP="00BF0230">
      <w:pPr>
        <w:spacing w:line="480" w:lineRule="auto"/>
        <w:jc w:val="center"/>
        <w:outlineLvl w:val="0"/>
        <w:rPr>
          <w:rFonts w:ascii="Times New Roman" w:eastAsia="Times New Roman" w:hAnsi="Times New Roman" w:cs="Times New Roman"/>
          <w:sz w:val="24"/>
          <w:szCs w:val="24"/>
        </w:rPr>
      </w:pPr>
      <w:r w:rsidRPr="004C20BC">
        <w:rPr>
          <w:rFonts w:ascii="Times New Roman" w:hAnsi="Times New Roman" w:cs="Times New Roman"/>
          <w:b/>
          <w:sz w:val="24"/>
          <w:szCs w:val="24"/>
        </w:rPr>
        <w:t>Microbiome Sequencing Methods</w:t>
      </w:r>
    </w:p>
    <w:p w14:paraId="16ECC3F1" w14:textId="5735B274" w:rsidR="005A0C99" w:rsidRPr="00967C61" w:rsidRDefault="00C93CCD" w:rsidP="00967C61">
      <w:pPr>
        <w:spacing w:line="480" w:lineRule="auto"/>
        <w:ind w:firstLine="720"/>
        <w:rPr>
          <w:rFonts w:ascii="Times New Roman" w:hAnsi="Times New Roman" w:cs="Times New Roman"/>
          <w:sz w:val="24"/>
          <w:szCs w:val="24"/>
        </w:rPr>
      </w:pPr>
      <w:r>
        <w:rPr>
          <w:rFonts w:ascii="Times New Roman" w:hAnsi="Times New Roman" w:cs="Times New Roman"/>
          <w:sz w:val="24"/>
          <w:szCs w:val="24"/>
        </w:rPr>
        <w:t>Rigorous</w:t>
      </w:r>
      <w:r w:rsidR="00C84FAB" w:rsidRPr="004C20BC">
        <w:rPr>
          <w:rFonts w:ascii="Times New Roman" w:hAnsi="Times New Roman" w:cs="Times New Roman"/>
          <w:sz w:val="24"/>
          <w:szCs w:val="24"/>
        </w:rPr>
        <w:t xml:space="preserve"> </w:t>
      </w:r>
      <w:r w:rsidR="005A0C99" w:rsidRPr="004C20BC">
        <w:rPr>
          <w:rFonts w:ascii="Times New Roman" w:hAnsi="Times New Roman" w:cs="Times New Roman"/>
          <w:sz w:val="24"/>
          <w:szCs w:val="24"/>
        </w:rPr>
        <w:t>study design, sample collection and storage and controlling for environmental confounders are all important factors in planning microbiome research, but understanding and proper selection of appropriate sequencing methods is vital for a successful study</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A0C99" w:rsidRPr="004C20BC">
        <w:rPr>
          <w:rFonts w:ascii="Times New Roman" w:hAnsi="Times New Roman" w:cs="Times New Roman"/>
          <w:sz w:val="24"/>
          <w:szCs w:val="24"/>
        </w:rPr>
        <w:t>Despite the power of cultivation-independent molecular methods, all such methods contribute bias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A0C99" w:rsidRPr="004C20BC">
        <w:rPr>
          <w:rFonts w:ascii="Times New Roman" w:hAnsi="Times New Roman" w:cs="Times New Roman"/>
          <w:sz w:val="24"/>
          <w:szCs w:val="24"/>
        </w:rPr>
        <w:t xml:space="preserve">Sequencing results, therefore, are a proxy for the </w:t>
      </w:r>
      <w:r w:rsidR="001758F7">
        <w:rPr>
          <w:rFonts w:ascii="Times New Roman" w:hAnsi="Times New Roman" w:cs="Times New Roman"/>
          <w:sz w:val="24"/>
          <w:szCs w:val="24"/>
        </w:rPr>
        <w:t>"</w:t>
      </w:r>
      <w:r w:rsidR="005A0C99" w:rsidRPr="004C20BC">
        <w:rPr>
          <w:rFonts w:ascii="Times New Roman" w:hAnsi="Times New Roman" w:cs="Times New Roman"/>
          <w:sz w:val="24"/>
          <w:szCs w:val="24"/>
        </w:rPr>
        <w:t>true</w:t>
      </w:r>
      <w:r w:rsidR="001758F7">
        <w:rPr>
          <w:rFonts w:ascii="Times New Roman" w:hAnsi="Times New Roman" w:cs="Times New Roman"/>
          <w:sz w:val="24"/>
          <w:szCs w:val="24"/>
        </w:rPr>
        <w:t>"</w:t>
      </w:r>
      <w:r w:rsidR="005A0C99" w:rsidRPr="004C20BC">
        <w:rPr>
          <w:rFonts w:ascii="Times New Roman" w:hAnsi="Times New Roman" w:cs="Times New Roman"/>
          <w:sz w:val="24"/>
          <w:szCs w:val="24"/>
        </w:rPr>
        <w:t xml:space="preserve"> microbial community, and it is important to understand the limitations of different molecular approaches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720820">
        <w:rPr>
          <w:rFonts w:ascii="Times New Roman" w:hAnsi="Times New Roman" w:cs="Times New Roman"/>
          <w:sz w:val="24"/>
          <w:szCs w:val="24"/>
        </w:rPr>
        <w:t>In this section we</w:t>
      </w:r>
      <w:r w:rsidR="005A0C99" w:rsidRPr="004C20BC">
        <w:rPr>
          <w:rFonts w:ascii="Times New Roman" w:hAnsi="Times New Roman" w:cs="Times New Roman"/>
          <w:sz w:val="24"/>
          <w:szCs w:val="24"/>
        </w:rPr>
        <w:t xml:space="preserve"> </w:t>
      </w:r>
      <w:r w:rsidR="001758F7">
        <w:rPr>
          <w:rFonts w:ascii="Times New Roman" w:hAnsi="Times New Roman" w:cs="Times New Roman"/>
          <w:sz w:val="24"/>
          <w:szCs w:val="24"/>
        </w:rPr>
        <w:t>review</w:t>
      </w:r>
      <w:r w:rsidR="005A0C99" w:rsidRPr="004C20BC">
        <w:rPr>
          <w:rFonts w:ascii="Times New Roman" w:hAnsi="Times New Roman" w:cs="Times New Roman"/>
          <w:sz w:val="24"/>
          <w:szCs w:val="24"/>
        </w:rPr>
        <w:t xml:space="preserve"> some commonly used approaches for microbiome sequencing.</w:t>
      </w:r>
      <w:r w:rsidR="003F14B1">
        <w:rPr>
          <w:rFonts w:ascii="Times New Roman" w:hAnsi="Times New Roman" w:cs="Times New Roman"/>
          <w:sz w:val="24"/>
          <w:szCs w:val="24"/>
        </w:rPr>
        <w:t xml:space="preserve"> </w:t>
      </w:r>
    </w:p>
    <w:p w14:paraId="344AB934" w14:textId="77777777" w:rsidR="00592EE6" w:rsidRPr="004C20BC" w:rsidRDefault="00592EE6" w:rsidP="00BF0230">
      <w:pPr>
        <w:spacing w:line="480" w:lineRule="auto"/>
        <w:outlineLvl w:val="0"/>
        <w:rPr>
          <w:rFonts w:ascii="Times New Roman" w:hAnsi="Times New Roman" w:cs="Times New Roman"/>
          <w:b/>
          <w:sz w:val="24"/>
          <w:szCs w:val="24"/>
        </w:rPr>
      </w:pPr>
      <w:r w:rsidRPr="004C20BC">
        <w:rPr>
          <w:rFonts w:ascii="Times New Roman" w:hAnsi="Times New Roman" w:cs="Times New Roman"/>
          <w:b/>
          <w:sz w:val="24"/>
          <w:szCs w:val="24"/>
        </w:rPr>
        <w:t>16S rRNA Sequencing vs. Shotgun Metagenomics Sequencing</w:t>
      </w:r>
    </w:p>
    <w:p w14:paraId="18673612" w14:textId="613FD4CA" w:rsidR="0054104A" w:rsidRPr="004C20BC" w:rsidRDefault="00592EE6" w:rsidP="00967C61">
      <w:pPr>
        <w:spacing w:line="480" w:lineRule="auto"/>
        <w:ind w:firstLine="720"/>
        <w:rPr>
          <w:rFonts w:ascii="Times New Roman" w:hAnsi="Times New Roman" w:cs="Times New Roman"/>
          <w:sz w:val="24"/>
          <w:szCs w:val="24"/>
        </w:rPr>
      </w:pPr>
      <w:r w:rsidRPr="004C20BC">
        <w:rPr>
          <w:rFonts w:ascii="Times New Roman" w:hAnsi="Times New Roman" w:cs="Times New Roman"/>
          <w:sz w:val="24"/>
          <w:szCs w:val="24"/>
        </w:rPr>
        <w:t>Before</w:t>
      </w:r>
      <w:r w:rsidR="00055C7A">
        <w:rPr>
          <w:rFonts w:ascii="Times New Roman" w:hAnsi="Times New Roman" w:cs="Times New Roman"/>
          <w:sz w:val="24"/>
          <w:szCs w:val="24"/>
        </w:rPr>
        <w:t xml:space="preserve"> the development of nucleic-</w:t>
      </w:r>
      <w:r w:rsidR="00720820">
        <w:rPr>
          <w:rFonts w:ascii="Times New Roman" w:hAnsi="Times New Roman" w:cs="Times New Roman"/>
          <w:sz w:val="24"/>
          <w:szCs w:val="24"/>
        </w:rPr>
        <w:t>acid-</w:t>
      </w:r>
      <w:r w:rsidR="00055C7A">
        <w:rPr>
          <w:rFonts w:ascii="Times New Roman" w:hAnsi="Times New Roman" w:cs="Times New Roman"/>
          <w:sz w:val="24"/>
          <w:szCs w:val="24"/>
        </w:rPr>
        <w:t>based molecular tools, including DNA-based</w:t>
      </w:r>
      <w:r w:rsidRPr="004C20BC">
        <w:rPr>
          <w:rFonts w:ascii="Times New Roman" w:hAnsi="Times New Roman" w:cs="Times New Roman"/>
          <w:sz w:val="24"/>
          <w:szCs w:val="24"/>
        </w:rPr>
        <w:t xml:space="preserve"> amplification techniques such as</w:t>
      </w:r>
      <w:r w:rsidR="00055C7A">
        <w:rPr>
          <w:rFonts w:ascii="Times New Roman" w:hAnsi="Times New Roman" w:cs="Times New Roman"/>
          <w:sz w:val="24"/>
          <w:szCs w:val="24"/>
        </w:rPr>
        <w:t xml:space="preserve"> the</w:t>
      </w:r>
      <w:r w:rsidRPr="004C20BC">
        <w:rPr>
          <w:rFonts w:ascii="Times New Roman" w:hAnsi="Times New Roman" w:cs="Times New Roman"/>
          <w:sz w:val="24"/>
          <w:szCs w:val="24"/>
        </w:rPr>
        <w:t xml:space="preserve"> polymerase chain reaction (PCR), </w:t>
      </w:r>
      <w:r w:rsidR="00055C7A">
        <w:rPr>
          <w:rFonts w:ascii="Times New Roman" w:hAnsi="Times New Roman" w:cs="Times New Roman"/>
          <w:sz w:val="24"/>
          <w:szCs w:val="24"/>
        </w:rPr>
        <w:t xml:space="preserve">characterization of </w:t>
      </w:r>
      <w:r w:rsidRPr="004C20BC">
        <w:rPr>
          <w:rFonts w:ascii="Times New Roman" w:hAnsi="Times New Roman" w:cs="Times New Roman"/>
          <w:sz w:val="24"/>
          <w:szCs w:val="24"/>
        </w:rPr>
        <w:t xml:space="preserve">the human microbiota was limited to </w:t>
      </w:r>
      <w:r w:rsidR="00055C7A">
        <w:rPr>
          <w:rFonts w:ascii="Times New Roman" w:hAnsi="Times New Roman" w:cs="Times New Roman"/>
          <w:sz w:val="24"/>
          <w:szCs w:val="24"/>
        </w:rPr>
        <w:t xml:space="preserve">microscopy and laboratory cultivation of </w:t>
      </w:r>
      <w:r w:rsidRPr="004C20BC">
        <w:rPr>
          <w:rFonts w:ascii="Times New Roman" w:hAnsi="Times New Roman" w:cs="Times New Roman"/>
          <w:sz w:val="24"/>
          <w:szCs w:val="24"/>
        </w:rPr>
        <w:t xml:space="preserve">organisms </w:t>
      </w:r>
      <w:r w:rsidRPr="004C20BC">
        <w:rPr>
          <w:rFonts w:ascii="Times New Roman" w:hAnsi="Times New Roman" w:cs="Times New Roman"/>
          <w:noProof/>
          <w:sz w:val="24"/>
          <w:szCs w:val="24"/>
        </w:rPr>
        <w:t>(Ursell</w:t>
      </w:r>
      <w:r w:rsidR="00720820">
        <w:rPr>
          <w:rFonts w:ascii="Times New Roman" w:hAnsi="Times New Roman" w:cs="Times New Roman"/>
          <w:noProof/>
          <w:sz w:val="24"/>
          <w:szCs w:val="24"/>
        </w:rPr>
        <w:t xml:space="preserve"> et al.</w:t>
      </w:r>
      <w:r w:rsidRPr="004C20BC">
        <w:rPr>
          <w:rFonts w:ascii="Times New Roman" w:hAnsi="Times New Roman" w:cs="Times New Roman"/>
          <w:noProof/>
          <w:sz w:val="24"/>
          <w:szCs w:val="24"/>
        </w:rPr>
        <w:t>, 2012)</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Consequently, the microorganisms that were studied in depth were those that could be successfully grown </w:t>
      </w:r>
      <w:r w:rsidRPr="00C503DD">
        <w:rPr>
          <w:rFonts w:ascii="Times New Roman" w:hAnsi="Times New Roman" w:cs="Times New Roman"/>
          <w:sz w:val="24"/>
          <w:szCs w:val="24"/>
        </w:rPr>
        <w:t>in vitro</w:t>
      </w:r>
      <w:r w:rsidRPr="004C20BC">
        <w:rPr>
          <w:rFonts w:ascii="Times New Roman" w:hAnsi="Times New Roman" w:cs="Times New Roman"/>
          <w:sz w:val="24"/>
          <w:szCs w:val="24"/>
        </w:rPr>
        <w:t xml:space="preserve"> </w:t>
      </w:r>
      <w:r w:rsidR="002925CE">
        <w:rPr>
          <w:rFonts w:ascii="Times New Roman" w:hAnsi="Times New Roman" w:cs="Times New Roman"/>
          <w:sz w:val="24"/>
          <w:szCs w:val="24"/>
        </w:rPr>
        <w:t>(</w:t>
      </w:r>
      <w:r w:rsidRPr="004C20BC">
        <w:rPr>
          <w:rFonts w:ascii="Times New Roman" w:hAnsi="Times New Roman" w:cs="Times New Roman"/>
          <w:sz w:val="24"/>
          <w:szCs w:val="24"/>
        </w:rPr>
        <w:t xml:space="preserve">such as </w:t>
      </w:r>
      <w:r w:rsidRPr="004C20BC">
        <w:rPr>
          <w:rFonts w:ascii="Times New Roman" w:hAnsi="Times New Roman" w:cs="Times New Roman"/>
          <w:i/>
          <w:sz w:val="24"/>
          <w:szCs w:val="24"/>
        </w:rPr>
        <w:t>Escherichia coli</w:t>
      </w:r>
      <w:r w:rsidR="00C93CCD">
        <w:rPr>
          <w:rFonts w:ascii="Times New Roman" w:hAnsi="Times New Roman" w:cs="Times New Roman"/>
          <w:sz w:val="24"/>
          <w:szCs w:val="24"/>
        </w:rPr>
        <w:t>) but</w:t>
      </w:r>
      <w:r w:rsidRPr="004C20BC">
        <w:rPr>
          <w:rFonts w:ascii="Times New Roman" w:hAnsi="Times New Roman" w:cs="Times New Roman"/>
          <w:sz w:val="24"/>
          <w:szCs w:val="24"/>
        </w:rPr>
        <w:t xml:space="preserve"> were not necessarily dominant organisms in the </w:t>
      </w:r>
      <w:r w:rsidR="00055C7A">
        <w:rPr>
          <w:rFonts w:ascii="Times New Roman" w:hAnsi="Times New Roman" w:cs="Times New Roman"/>
          <w:sz w:val="24"/>
          <w:szCs w:val="24"/>
        </w:rPr>
        <w:t>original sample</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This </w:t>
      </w:r>
      <w:r w:rsidR="008E2432">
        <w:rPr>
          <w:rFonts w:ascii="Times New Roman" w:hAnsi="Times New Roman" w:cs="Times New Roman"/>
          <w:sz w:val="24"/>
          <w:szCs w:val="24"/>
        </w:rPr>
        <w:t xml:space="preserve">limitation </w:t>
      </w:r>
      <w:r w:rsidRPr="004C20BC">
        <w:rPr>
          <w:rFonts w:ascii="Times New Roman" w:hAnsi="Times New Roman" w:cs="Times New Roman"/>
          <w:sz w:val="24"/>
          <w:szCs w:val="24"/>
        </w:rPr>
        <w:t xml:space="preserve">led to </w:t>
      </w:r>
      <w:r w:rsidR="00055C7A">
        <w:rPr>
          <w:rFonts w:ascii="Times New Roman" w:hAnsi="Times New Roman" w:cs="Times New Roman"/>
          <w:sz w:val="24"/>
          <w:szCs w:val="24"/>
        </w:rPr>
        <w:t xml:space="preserve">a sparse view of complex microbial </w:t>
      </w:r>
      <w:r w:rsidR="00055C7A">
        <w:rPr>
          <w:rFonts w:ascii="Times New Roman" w:hAnsi="Times New Roman" w:cs="Times New Roman"/>
          <w:sz w:val="24"/>
          <w:szCs w:val="24"/>
        </w:rPr>
        <w:lastRenderedPageBreak/>
        <w:t>communities, elsewhere</w:t>
      </w:r>
      <w:r w:rsidR="00055C7A" w:rsidRPr="004C20BC">
        <w:rPr>
          <w:rFonts w:ascii="Times New Roman" w:hAnsi="Times New Roman" w:cs="Times New Roman"/>
          <w:sz w:val="24"/>
          <w:szCs w:val="24"/>
        </w:rPr>
        <w:t xml:space="preserve"> </w:t>
      </w:r>
      <w:r w:rsidR="00055C7A">
        <w:rPr>
          <w:rFonts w:ascii="Times New Roman" w:hAnsi="Times New Roman" w:cs="Times New Roman"/>
          <w:sz w:val="24"/>
          <w:szCs w:val="24"/>
        </w:rPr>
        <w:t>labeled</w:t>
      </w:r>
      <w:r w:rsidRPr="004C20BC">
        <w:rPr>
          <w:rFonts w:ascii="Times New Roman" w:hAnsi="Times New Roman" w:cs="Times New Roman"/>
          <w:sz w:val="24"/>
          <w:szCs w:val="24"/>
        </w:rPr>
        <w:t xml:space="preserve"> </w:t>
      </w:r>
      <w:r w:rsidR="00DE5A84" w:rsidRPr="004C20BC">
        <w:rPr>
          <w:rFonts w:ascii="Times New Roman" w:hAnsi="Times New Roman" w:cs="Times New Roman"/>
          <w:sz w:val="24"/>
          <w:szCs w:val="24"/>
        </w:rPr>
        <w:t xml:space="preserve">the </w:t>
      </w:r>
      <w:r w:rsidR="002925CE">
        <w:rPr>
          <w:rFonts w:ascii="Times New Roman" w:hAnsi="Times New Roman" w:cs="Times New Roman"/>
          <w:sz w:val="24"/>
          <w:szCs w:val="24"/>
        </w:rPr>
        <w:t>"</w:t>
      </w:r>
      <w:r w:rsidR="00DE5A84" w:rsidRPr="004C20BC">
        <w:rPr>
          <w:rFonts w:ascii="Times New Roman" w:hAnsi="Times New Roman" w:cs="Times New Roman"/>
          <w:sz w:val="24"/>
          <w:szCs w:val="24"/>
        </w:rPr>
        <w:t>great plate count anomaly</w:t>
      </w:r>
      <w:r w:rsidR="002925CE">
        <w:rPr>
          <w:rFonts w:ascii="Times New Roman" w:hAnsi="Times New Roman" w:cs="Times New Roman"/>
          <w:sz w:val="24"/>
          <w:szCs w:val="24"/>
        </w:rPr>
        <w:t>"</w:t>
      </w:r>
      <w:r w:rsidR="00DE5A84" w:rsidRPr="004C20BC">
        <w:rPr>
          <w:rFonts w:ascii="Times New Roman" w:hAnsi="Times New Roman" w:cs="Times New Roman"/>
          <w:sz w:val="24"/>
          <w:szCs w:val="24"/>
        </w:rPr>
        <w:t xml:space="preserve"> </w:t>
      </w:r>
      <w:r w:rsidR="00DE5A84" w:rsidRPr="004C20BC">
        <w:rPr>
          <w:rFonts w:ascii="Times New Roman" w:hAnsi="Times New Roman" w:cs="Times New Roman"/>
          <w:noProof/>
          <w:sz w:val="24"/>
          <w:szCs w:val="24"/>
        </w:rPr>
        <w:t>(Staley &amp; Konopka, 1985)</w:t>
      </w:r>
      <w:r w:rsidR="00DE5A84" w:rsidRPr="004C20BC">
        <w:rPr>
          <w:rFonts w:ascii="Times New Roman" w:hAnsi="Times New Roman" w:cs="Times New Roman"/>
          <w:sz w:val="24"/>
          <w:szCs w:val="24"/>
        </w:rPr>
        <w:t xml:space="preserve">, </w:t>
      </w:r>
      <w:r w:rsidRPr="004C20BC">
        <w:rPr>
          <w:rFonts w:ascii="Times New Roman" w:hAnsi="Times New Roman" w:cs="Times New Roman"/>
          <w:sz w:val="24"/>
          <w:szCs w:val="24"/>
        </w:rPr>
        <w:t xml:space="preserve">and prevented scientists from comprehensively identifying microbial populations throughout the body. Although important developments in cultivation approaches have enabled recovery of previously </w:t>
      </w:r>
      <w:r w:rsidR="002925CE">
        <w:rPr>
          <w:rFonts w:ascii="Times New Roman" w:hAnsi="Times New Roman" w:cs="Times New Roman"/>
          <w:sz w:val="24"/>
          <w:szCs w:val="24"/>
        </w:rPr>
        <w:t>"</w:t>
      </w:r>
      <w:r w:rsidRPr="004C20BC">
        <w:rPr>
          <w:rFonts w:ascii="Times New Roman" w:hAnsi="Times New Roman" w:cs="Times New Roman"/>
          <w:sz w:val="24"/>
          <w:szCs w:val="24"/>
        </w:rPr>
        <w:t>unculturable</w:t>
      </w:r>
      <w:r w:rsidR="002925CE">
        <w:rPr>
          <w:rFonts w:ascii="Times New Roman" w:hAnsi="Times New Roman" w:cs="Times New Roman"/>
          <w:sz w:val="24"/>
          <w:szCs w:val="24"/>
        </w:rPr>
        <w:t>"</w:t>
      </w:r>
      <w:r w:rsidRPr="004C20BC">
        <w:rPr>
          <w:rFonts w:ascii="Times New Roman" w:hAnsi="Times New Roman" w:cs="Times New Roman"/>
          <w:sz w:val="24"/>
          <w:szCs w:val="24"/>
        </w:rPr>
        <w:t xml:space="preserve"> organisms</w:t>
      </w:r>
      <w:r w:rsidR="00DE5A84" w:rsidRPr="004C20BC">
        <w:rPr>
          <w:rFonts w:ascii="Times New Roman" w:hAnsi="Times New Roman" w:cs="Times New Roman"/>
          <w:sz w:val="24"/>
          <w:szCs w:val="24"/>
        </w:rPr>
        <w:t xml:space="preserve"> </w:t>
      </w:r>
      <w:r w:rsidR="00891AE2" w:rsidRPr="004C20BC">
        <w:rPr>
          <w:rFonts w:ascii="Times New Roman" w:hAnsi="Times New Roman" w:cs="Times New Roman"/>
          <w:noProof/>
          <w:sz w:val="24"/>
          <w:szCs w:val="24"/>
        </w:rPr>
        <w:t>(Nichols et al., 2010)</w:t>
      </w:r>
      <w:r w:rsidR="00DE5A84" w:rsidRPr="004C20BC">
        <w:rPr>
          <w:rFonts w:ascii="Times New Roman" w:hAnsi="Times New Roman" w:cs="Times New Roman"/>
          <w:sz w:val="24"/>
          <w:szCs w:val="24"/>
        </w:rPr>
        <w:t>,</w:t>
      </w:r>
      <w:r w:rsidRPr="004C20BC">
        <w:rPr>
          <w:rFonts w:ascii="Times New Roman" w:hAnsi="Times New Roman" w:cs="Times New Roman"/>
          <w:sz w:val="24"/>
          <w:szCs w:val="24"/>
        </w:rPr>
        <w:t xml:space="preserve"> </w:t>
      </w:r>
      <w:r w:rsidR="002925CE">
        <w:rPr>
          <w:rFonts w:ascii="Times New Roman" w:hAnsi="Times New Roman" w:cs="Times New Roman"/>
          <w:sz w:val="24"/>
          <w:szCs w:val="24"/>
        </w:rPr>
        <w:t xml:space="preserve">most </w:t>
      </w:r>
      <w:r w:rsidRPr="004C20BC">
        <w:rPr>
          <w:rFonts w:ascii="Times New Roman" w:hAnsi="Times New Roman" w:cs="Times New Roman"/>
          <w:sz w:val="24"/>
          <w:szCs w:val="24"/>
        </w:rPr>
        <w:t xml:space="preserve">organisms remain </w:t>
      </w:r>
      <w:r w:rsidR="00F43A30">
        <w:rPr>
          <w:rFonts w:ascii="Times New Roman" w:hAnsi="Times New Roman" w:cs="Times New Roman"/>
          <w:sz w:val="24"/>
          <w:szCs w:val="24"/>
        </w:rPr>
        <w:t>resistant</w:t>
      </w:r>
      <w:r w:rsidR="00F43A30" w:rsidRPr="004C20BC">
        <w:rPr>
          <w:rFonts w:ascii="Times New Roman" w:hAnsi="Times New Roman" w:cs="Times New Roman"/>
          <w:sz w:val="24"/>
          <w:szCs w:val="24"/>
        </w:rPr>
        <w:t xml:space="preserve"> </w:t>
      </w:r>
      <w:r w:rsidRPr="004C20BC">
        <w:rPr>
          <w:rFonts w:ascii="Times New Roman" w:hAnsi="Times New Roman" w:cs="Times New Roman"/>
          <w:sz w:val="24"/>
          <w:szCs w:val="24"/>
        </w:rPr>
        <w:t>to growth under laboratory conditions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To circumvent such difficulties, cultivation-independent methods have been </w:t>
      </w:r>
      <w:r w:rsidR="00FD7BDA">
        <w:rPr>
          <w:rFonts w:ascii="Times New Roman" w:hAnsi="Times New Roman" w:cs="Times New Roman"/>
          <w:sz w:val="24"/>
          <w:szCs w:val="24"/>
        </w:rPr>
        <w:t xml:space="preserve">widely </w:t>
      </w:r>
      <w:r w:rsidRPr="004C20BC">
        <w:rPr>
          <w:rFonts w:ascii="Times New Roman" w:hAnsi="Times New Roman" w:cs="Times New Roman"/>
          <w:sz w:val="24"/>
          <w:szCs w:val="24"/>
        </w:rPr>
        <w:t>employed to characterize complex microbial communities</w:t>
      </w:r>
      <w:r w:rsidR="00891AE2" w:rsidRPr="004C20BC">
        <w:rPr>
          <w:rFonts w:ascii="Times New Roman" w:hAnsi="Times New Roman" w:cs="Times New Roman"/>
          <w:sz w:val="24"/>
          <w:szCs w:val="24"/>
        </w:rPr>
        <w:t xml:space="preserve"> </w:t>
      </w:r>
      <w:r w:rsidR="00891AE2" w:rsidRPr="004C20BC">
        <w:rPr>
          <w:rFonts w:ascii="Times New Roman" w:hAnsi="Times New Roman" w:cs="Times New Roman"/>
          <w:noProof/>
          <w:sz w:val="24"/>
          <w:szCs w:val="24"/>
        </w:rPr>
        <w:t>(Amann, Ludwig, &amp; Schleifer, 1995)</w:t>
      </w:r>
      <w:r w:rsidR="00891AE2"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31AFC2A7" w14:textId="3D3D473D" w:rsidR="00592EE6" w:rsidRPr="004C20BC" w:rsidRDefault="00592EE6" w:rsidP="00967C61">
      <w:pPr>
        <w:spacing w:line="480" w:lineRule="auto"/>
        <w:ind w:firstLine="720"/>
        <w:rPr>
          <w:rFonts w:ascii="Times New Roman" w:hAnsi="Times New Roman" w:cs="Times New Roman"/>
          <w:sz w:val="24"/>
          <w:szCs w:val="24"/>
        </w:rPr>
      </w:pPr>
      <w:r w:rsidRPr="004C20BC">
        <w:rPr>
          <w:rFonts w:ascii="Times New Roman" w:hAnsi="Times New Roman" w:cs="Times New Roman"/>
          <w:sz w:val="24"/>
          <w:szCs w:val="24"/>
        </w:rPr>
        <w:t xml:space="preserve">The most commonly used methods today include 16S ribosomal RNA (rRNA) gene amplicon sequencing and </w:t>
      </w:r>
      <w:r w:rsidR="001F07E2">
        <w:rPr>
          <w:rFonts w:ascii="Times New Roman" w:hAnsi="Times New Roman" w:cs="Times New Roman"/>
          <w:sz w:val="24"/>
          <w:szCs w:val="24"/>
        </w:rPr>
        <w:t>“</w:t>
      </w:r>
      <w:r w:rsidRPr="004C20BC">
        <w:rPr>
          <w:rFonts w:ascii="Times New Roman" w:hAnsi="Times New Roman" w:cs="Times New Roman"/>
          <w:sz w:val="24"/>
          <w:szCs w:val="24"/>
        </w:rPr>
        <w:t>shotgun</w:t>
      </w:r>
      <w:r w:rsidR="001F07E2">
        <w:rPr>
          <w:rFonts w:ascii="Times New Roman" w:hAnsi="Times New Roman" w:cs="Times New Roman"/>
          <w:sz w:val="24"/>
          <w:szCs w:val="24"/>
        </w:rPr>
        <w:t>”</w:t>
      </w:r>
      <w:r w:rsidRPr="004C20BC">
        <w:rPr>
          <w:rFonts w:ascii="Times New Roman" w:hAnsi="Times New Roman" w:cs="Times New Roman"/>
          <w:sz w:val="24"/>
          <w:szCs w:val="24"/>
        </w:rPr>
        <w:t xml:space="preserve"> metagenome sequencing</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Both approaches are culture-independent techniques that use DNA sequence data to infer the presence</w:t>
      </w:r>
      <w:r w:rsidR="00FD7BDA">
        <w:rPr>
          <w:rFonts w:ascii="Times New Roman" w:hAnsi="Times New Roman" w:cs="Times New Roman"/>
          <w:sz w:val="24"/>
          <w:szCs w:val="24"/>
        </w:rPr>
        <w:t xml:space="preserve"> and relative abundance</w:t>
      </w:r>
      <w:r w:rsidRPr="004C20BC">
        <w:rPr>
          <w:rFonts w:ascii="Times New Roman" w:hAnsi="Times New Roman" w:cs="Times New Roman"/>
          <w:sz w:val="24"/>
          <w:szCs w:val="24"/>
        </w:rPr>
        <w:t xml:space="preserve"> of microorganisms and specific genes from those organisms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The use of molecular sequence data to identify microorganisms is </w:t>
      </w:r>
      <w:r w:rsidR="001F07E2">
        <w:rPr>
          <w:rFonts w:ascii="Times New Roman" w:hAnsi="Times New Roman" w:cs="Times New Roman"/>
          <w:sz w:val="24"/>
          <w:szCs w:val="24"/>
        </w:rPr>
        <w:t>necessary</w:t>
      </w:r>
      <w:r w:rsidRPr="004C20BC">
        <w:rPr>
          <w:rFonts w:ascii="Times New Roman" w:hAnsi="Times New Roman" w:cs="Times New Roman"/>
          <w:sz w:val="24"/>
          <w:szCs w:val="24"/>
        </w:rPr>
        <w:t xml:space="preserve"> </w:t>
      </w:r>
      <w:r w:rsidR="002925CE">
        <w:rPr>
          <w:rFonts w:ascii="Times New Roman" w:hAnsi="Times New Roman" w:cs="Times New Roman"/>
          <w:sz w:val="24"/>
          <w:szCs w:val="24"/>
        </w:rPr>
        <w:t xml:space="preserve">because </w:t>
      </w:r>
      <w:r w:rsidRPr="004C20BC">
        <w:rPr>
          <w:rFonts w:ascii="Times New Roman" w:hAnsi="Times New Roman" w:cs="Times New Roman"/>
          <w:sz w:val="24"/>
          <w:szCs w:val="24"/>
        </w:rPr>
        <w:t>microorganisms have a limited number of morphologies and look similar</w:t>
      </w:r>
      <w:r w:rsidR="00B85E76">
        <w:rPr>
          <w:rFonts w:ascii="Times New Roman" w:hAnsi="Times New Roman" w:cs="Times New Roman"/>
          <w:sz w:val="24"/>
          <w:szCs w:val="24"/>
        </w:rPr>
        <w:t xml:space="preserve"> to one another</w:t>
      </w:r>
      <w:r w:rsidRPr="004C20BC">
        <w:rPr>
          <w:rFonts w:ascii="Times New Roman" w:hAnsi="Times New Roman" w:cs="Times New Roman"/>
          <w:sz w:val="24"/>
          <w:szCs w:val="24"/>
        </w:rPr>
        <w:t xml:space="preserve">, and many organisms share functional features </w:t>
      </w:r>
      <w:r w:rsidR="00327052" w:rsidRPr="004C20BC">
        <w:rPr>
          <w:rFonts w:ascii="Times New Roman" w:hAnsi="Times New Roman" w:cs="Times New Roman"/>
          <w:sz w:val="24"/>
          <w:szCs w:val="24"/>
        </w:rPr>
        <w:t xml:space="preserve">or phenotypes </w:t>
      </w:r>
      <w:r w:rsidRPr="004C20BC">
        <w:rPr>
          <w:rFonts w:ascii="Times New Roman" w:hAnsi="Times New Roman" w:cs="Times New Roman"/>
          <w:sz w:val="24"/>
          <w:szCs w:val="24"/>
        </w:rPr>
        <w:t>(</w:t>
      </w:r>
      <w:r w:rsidRPr="00C503DD">
        <w:rPr>
          <w:rFonts w:ascii="Times New Roman" w:hAnsi="Times New Roman" w:cs="Times New Roman"/>
          <w:sz w:val="24"/>
          <w:szCs w:val="24"/>
        </w:rPr>
        <w:t>e.g.,</w:t>
      </w:r>
      <w:r w:rsidRPr="004C20BC">
        <w:rPr>
          <w:rFonts w:ascii="Times New Roman" w:hAnsi="Times New Roman" w:cs="Times New Roman"/>
          <w:sz w:val="24"/>
          <w:szCs w:val="24"/>
        </w:rPr>
        <w:t xml:space="preserve"> metabolic activity) even when </w:t>
      </w:r>
      <w:r w:rsidR="00B85E76">
        <w:rPr>
          <w:rFonts w:ascii="Times New Roman" w:hAnsi="Times New Roman" w:cs="Times New Roman"/>
          <w:sz w:val="24"/>
          <w:szCs w:val="24"/>
        </w:rPr>
        <w:t xml:space="preserve">they are </w:t>
      </w:r>
      <w:r w:rsidRPr="004C20BC">
        <w:rPr>
          <w:rFonts w:ascii="Times New Roman" w:hAnsi="Times New Roman" w:cs="Times New Roman"/>
          <w:sz w:val="24"/>
          <w:szCs w:val="24"/>
        </w:rPr>
        <w:t>not closely related</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Prior studies in which </w:t>
      </w:r>
      <w:r w:rsidR="00B85E76">
        <w:rPr>
          <w:rFonts w:ascii="Times New Roman" w:hAnsi="Times New Roman" w:cs="Times New Roman"/>
          <w:sz w:val="24"/>
          <w:szCs w:val="24"/>
        </w:rPr>
        <w:t xml:space="preserve">investigators used </w:t>
      </w:r>
      <w:r w:rsidRPr="004C20BC">
        <w:rPr>
          <w:rFonts w:ascii="Times New Roman" w:hAnsi="Times New Roman" w:cs="Times New Roman"/>
          <w:sz w:val="24"/>
          <w:szCs w:val="24"/>
        </w:rPr>
        <w:t xml:space="preserve">morphology or metabolic activity as a guide to phylogeny were </w:t>
      </w:r>
      <w:r w:rsidR="00B85E76">
        <w:rPr>
          <w:rFonts w:ascii="Times New Roman" w:hAnsi="Times New Roman" w:cs="Times New Roman"/>
          <w:sz w:val="24"/>
          <w:szCs w:val="24"/>
        </w:rPr>
        <w:t xml:space="preserve">eventually </w:t>
      </w:r>
      <w:r w:rsidRPr="004C20BC">
        <w:rPr>
          <w:rFonts w:ascii="Times New Roman" w:hAnsi="Times New Roman" w:cs="Times New Roman"/>
          <w:sz w:val="24"/>
          <w:szCs w:val="24"/>
        </w:rPr>
        <w:t xml:space="preserve">revealed to be highly problematic </w:t>
      </w:r>
      <w:r w:rsidR="00891AE2" w:rsidRPr="004C20BC">
        <w:rPr>
          <w:rFonts w:ascii="Times New Roman" w:hAnsi="Times New Roman" w:cs="Times New Roman"/>
          <w:noProof/>
          <w:sz w:val="24"/>
          <w:szCs w:val="24"/>
        </w:rPr>
        <w:t>(Fox et al., 1980)</w:t>
      </w:r>
      <w:r w:rsidR="00891AE2"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DNA-dependent analyses also allow for the identification and classification of many types of organisms that are historically laborious or </w:t>
      </w:r>
      <w:r w:rsidR="00327052" w:rsidRPr="004C20BC">
        <w:rPr>
          <w:rFonts w:ascii="Times New Roman" w:hAnsi="Times New Roman" w:cs="Times New Roman"/>
          <w:sz w:val="24"/>
          <w:szCs w:val="24"/>
        </w:rPr>
        <w:t xml:space="preserve">currently </w:t>
      </w:r>
      <w:r w:rsidRPr="004C20BC">
        <w:rPr>
          <w:rFonts w:ascii="Times New Roman" w:hAnsi="Times New Roman" w:cs="Times New Roman"/>
          <w:sz w:val="24"/>
          <w:szCs w:val="24"/>
        </w:rPr>
        <w:t xml:space="preserve">impossible to grow in a controlled laboratory setting </w:t>
      </w:r>
      <w:r w:rsidRPr="004C20BC">
        <w:rPr>
          <w:rFonts w:ascii="Times New Roman" w:hAnsi="Times New Roman" w:cs="Times New Roman"/>
          <w:noProof/>
          <w:sz w:val="24"/>
          <w:szCs w:val="24"/>
        </w:rPr>
        <w:t>(Morgan &amp; Huttenhower, 2012)</w:t>
      </w:r>
      <w:r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C67821">
        <w:rPr>
          <w:rFonts w:ascii="Times New Roman" w:hAnsi="Times New Roman" w:cs="Times New Roman"/>
          <w:sz w:val="24"/>
          <w:szCs w:val="24"/>
        </w:rPr>
        <w:t>In addition</w:t>
      </w:r>
      <w:r w:rsidR="00C01859">
        <w:rPr>
          <w:rFonts w:ascii="Times New Roman" w:hAnsi="Times New Roman" w:cs="Times New Roman"/>
          <w:sz w:val="24"/>
          <w:szCs w:val="24"/>
        </w:rPr>
        <w:t xml:space="preserve">, </w:t>
      </w:r>
      <w:r w:rsidR="00C67821">
        <w:rPr>
          <w:rFonts w:ascii="Times New Roman" w:hAnsi="Times New Roman" w:cs="Times New Roman"/>
          <w:sz w:val="24"/>
          <w:szCs w:val="24"/>
        </w:rPr>
        <w:t>these</w:t>
      </w:r>
      <w:r w:rsidR="00C01859">
        <w:rPr>
          <w:rFonts w:ascii="Times New Roman" w:hAnsi="Times New Roman" w:cs="Times New Roman"/>
          <w:sz w:val="24"/>
          <w:szCs w:val="24"/>
        </w:rPr>
        <w:t xml:space="preserve"> methods have been more accessible to a broad range of scientists due to the availability of highly reliable commercial kits and limited equipment needs. Less specific experience is needed to perform DNA extraction, PCR and sequencing than </w:t>
      </w:r>
      <w:r w:rsidR="00C67821">
        <w:rPr>
          <w:rFonts w:ascii="Times New Roman" w:hAnsi="Times New Roman" w:cs="Times New Roman"/>
          <w:sz w:val="24"/>
          <w:szCs w:val="24"/>
        </w:rPr>
        <w:t xml:space="preserve">to perform </w:t>
      </w:r>
      <w:r w:rsidR="00C01859">
        <w:rPr>
          <w:rFonts w:ascii="Times New Roman" w:hAnsi="Times New Roman" w:cs="Times New Roman"/>
          <w:sz w:val="24"/>
          <w:szCs w:val="24"/>
        </w:rPr>
        <w:t xml:space="preserve">cultivation, and many of these tasks can be outsourced to external facilities. Thus, </w:t>
      </w:r>
      <w:r w:rsidR="00C67821">
        <w:rPr>
          <w:rFonts w:ascii="Times New Roman" w:hAnsi="Times New Roman" w:cs="Times New Roman"/>
          <w:sz w:val="24"/>
          <w:szCs w:val="24"/>
        </w:rPr>
        <w:t xml:space="preserve">researchers require </w:t>
      </w:r>
      <w:r w:rsidR="00C01859">
        <w:rPr>
          <w:rFonts w:ascii="Times New Roman" w:hAnsi="Times New Roman" w:cs="Times New Roman"/>
          <w:sz w:val="24"/>
          <w:szCs w:val="24"/>
        </w:rPr>
        <w:t xml:space="preserve">a basic understanding of these processes for properly interpreting results. </w:t>
      </w:r>
      <w:r w:rsidR="007366B7">
        <w:rPr>
          <w:rFonts w:ascii="Times New Roman" w:hAnsi="Times New Roman" w:cs="Times New Roman"/>
          <w:sz w:val="24"/>
          <w:szCs w:val="24"/>
        </w:rPr>
        <w:lastRenderedPageBreak/>
        <w:t>M</w:t>
      </w:r>
      <w:r w:rsidRPr="004C20BC">
        <w:rPr>
          <w:rFonts w:ascii="Times New Roman" w:hAnsi="Times New Roman" w:cs="Times New Roman"/>
          <w:sz w:val="24"/>
          <w:szCs w:val="24"/>
        </w:rPr>
        <w:t xml:space="preserve">ajor advances in sequencing technology, </w:t>
      </w:r>
      <w:r w:rsidRPr="004C20BC">
        <w:rPr>
          <w:rFonts w:ascii="Times New Roman" w:hAnsi="Times New Roman" w:cs="Times New Roman"/>
          <w:noProof/>
          <w:sz w:val="24"/>
          <w:szCs w:val="24"/>
        </w:rPr>
        <w:t>bioinformatic</w:t>
      </w:r>
      <w:r w:rsidRPr="004C20BC">
        <w:rPr>
          <w:rFonts w:ascii="Times New Roman" w:hAnsi="Times New Roman" w:cs="Times New Roman"/>
          <w:sz w:val="24"/>
          <w:szCs w:val="24"/>
        </w:rPr>
        <w:t xml:space="preserve"> algorithms</w:t>
      </w:r>
      <w:r w:rsidR="007E1032" w:rsidRPr="004C20BC">
        <w:rPr>
          <w:rFonts w:ascii="Times New Roman" w:hAnsi="Times New Roman" w:cs="Times New Roman"/>
          <w:sz w:val="24"/>
          <w:szCs w:val="24"/>
        </w:rPr>
        <w:t>,</w:t>
      </w:r>
      <w:r w:rsidRPr="004C20BC">
        <w:rPr>
          <w:rFonts w:ascii="Times New Roman" w:hAnsi="Times New Roman" w:cs="Times New Roman"/>
          <w:sz w:val="24"/>
          <w:szCs w:val="24"/>
        </w:rPr>
        <w:t xml:space="preserve"> </w:t>
      </w:r>
      <w:r w:rsidRPr="004C20BC">
        <w:rPr>
          <w:rFonts w:ascii="Times New Roman" w:hAnsi="Times New Roman" w:cs="Times New Roman"/>
          <w:noProof/>
          <w:sz w:val="24"/>
          <w:szCs w:val="24"/>
        </w:rPr>
        <w:t>and</w:t>
      </w:r>
      <w:r w:rsidRPr="004C20BC">
        <w:rPr>
          <w:rFonts w:ascii="Times New Roman" w:hAnsi="Times New Roman" w:cs="Times New Roman"/>
          <w:sz w:val="24"/>
          <w:szCs w:val="24"/>
        </w:rPr>
        <w:t xml:space="preserve"> computational capacity have facilitated the development of </w:t>
      </w:r>
      <w:r w:rsidR="00C01859">
        <w:rPr>
          <w:rFonts w:ascii="Times New Roman" w:hAnsi="Times New Roman" w:cs="Times New Roman"/>
          <w:sz w:val="24"/>
          <w:szCs w:val="24"/>
        </w:rPr>
        <w:t>the throughput of</w:t>
      </w:r>
      <w:r w:rsidR="00C01859" w:rsidRPr="004C20BC">
        <w:rPr>
          <w:rFonts w:ascii="Times New Roman" w:hAnsi="Times New Roman" w:cs="Times New Roman"/>
          <w:sz w:val="24"/>
          <w:szCs w:val="24"/>
        </w:rPr>
        <w:t xml:space="preserve"> </w:t>
      </w:r>
      <w:r w:rsidRPr="004C20BC">
        <w:rPr>
          <w:rFonts w:ascii="Times New Roman" w:hAnsi="Times New Roman" w:cs="Times New Roman"/>
          <w:sz w:val="24"/>
          <w:szCs w:val="24"/>
        </w:rPr>
        <w:t>these methods</w:t>
      </w:r>
      <w:r w:rsidR="00C01859">
        <w:rPr>
          <w:rFonts w:ascii="Times New Roman" w:hAnsi="Times New Roman" w:cs="Times New Roman"/>
          <w:sz w:val="24"/>
          <w:szCs w:val="24"/>
        </w:rPr>
        <w:t>, concomitant with reduced cost</w:t>
      </w:r>
      <w:r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19732960" w14:textId="7B4FC9FC" w:rsidR="00592EE6" w:rsidRPr="004C20BC" w:rsidRDefault="00592EE6" w:rsidP="007366B7">
      <w:pPr>
        <w:spacing w:line="480" w:lineRule="auto"/>
        <w:ind w:firstLine="720"/>
        <w:outlineLvl w:val="0"/>
        <w:rPr>
          <w:rFonts w:ascii="Times New Roman" w:hAnsi="Times New Roman" w:cs="Times New Roman"/>
          <w:sz w:val="24"/>
          <w:szCs w:val="24"/>
        </w:rPr>
      </w:pPr>
      <w:r w:rsidRPr="004C20BC">
        <w:rPr>
          <w:rFonts w:ascii="Times New Roman" w:hAnsi="Times New Roman" w:cs="Times New Roman"/>
          <w:b/>
          <w:sz w:val="24"/>
          <w:szCs w:val="24"/>
        </w:rPr>
        <w:t xml:space="preserve">16S rRNA </w:t>
      </w:r>
      <w:r w:rsidR="007366B7">
        <w:rPr>
          <w:rFonts w:ascii="Times New Roman" w:hAnsi="Times New Roman" w:cs="Times New Roman"/>
          <w:b/>
          <w:sz w:val="24"/>
          <w:szCs w:val="24"/>
        </w:rPr>
        <w:t>g</w:t>
      </w:r>
      <w:r w:rsidRPr="004C20BC">
        <w:rPr>
          <w:rFonts w:ascii="Times New Roman" w:hAnsi="Times New Roman" w:cs="Times New Roman"/>
          <w:b/>
          <w:sz w:val="24"/>
          <w:szCs w:val="24"/>
        </w:rPr>
        <w:t xml:space="preserve">ene </w:t>
      </w:r>
      <w:r w:rsidR="007366B7">
        <w:rPr>
          <w:rFonts w:ascii="Times New Roman" w:hAnsi="Times New Roman" w:cs="Times New Roman"/>
          <w:b/>
          <w:sz w:val="24"/>
          <w:szCs w:val="24"/>
        </w:rPr>
        <w:t>a</w:t>
      </w:r>
      <w:r w:rsidRPr="004C20BC">
        <w:rPr>
          <w:rFonts w:ascii="Times New Roman" w:hAnsi="Times New Roman" w:cs="Times New Roman"/>
          <w:b/>
          <w:sz w:val="24"/>
          <w:szCs w:val="24"/>
        </w:rPr>
        <w:t xml:space="preserve">mplicon </w:t>
      </w:r>
      <w:r w:rsidR="007366B7">
        <w:rPr>
          <w:rFonts w:ascii="Times New Roman" w:hAnsi="Times New Roman" w:cs="Times New Roman"/>
          <w:b/>
          <w:sz w:val="24"/>
          <w:szCs w:val="24"/>
        </w:rPr>
        <w:t>s</w:t>
      </w:r>
      <w:r w:rsidRPr="004C20BC">
        <w:rPr>
          <w:rFonts w:ascii="Times New Roman" w:hAnsi="Times New Roman" w:cs="Times New Roman"/>
          <w:b/>
          <w:sz w:val="24"/>
          <w:szCs w:val="24"/>
        </w:rPr>
        <w:t>equencing.</w:t>
      </w:r>
      <w:r w:rsidR="007366B7">
        <w:rPr>
          <w:rFonts w:ascii="Times New Roman" w:hAnsi="Times New Roman" w:cs="Times New Roman"/>
          <w:b/>
          <w:sz w:val="24"/>
          <w:szCs w:val="24"/>
        </w:rPr>
        <w:t xml:space="preserve"> </w:t>
      </w:r>
      <w:r w:rsidRPr="004C20BC">
        <w:rPr>
          <w:rFonts w:ascii="Times New Roman" w:hAnsi="Times New Roman" w:cs="Times New Roman"/>
          <w:sz w:val="24"/>
          <w:szCs w:val="24"/>
        </w:rPr>
        <w:t xml:space="preserve">Until recently, the most common method for investigating the microbiome was 16S rRNA gene amplicon sequencing </w:t>
      </w:r>
      <w:r w:rsidR="00891AE2" w:rsidRPr="004C20BC">
        <w:rPr>
          <w:rFonts w:ascii="Times New Roman" w:hAnsi="Times New Roman" w:cs="Times New Roman"/>
          <w:noProof/>
          <w:sz w:val="24"/>
          <w:szCs w:val="24"/>
        </w:rPr>
        <w:t>(Schmidt, DeLong, &amp; Pace, 1991).</w:t>
      </w:r>
      <w:r w:rsidR="003F14B1">
        <w:rPr>
          <w:rFonts w:ascii="Times New Roman" w:hAnsi="Times New Roman" w:cs="Times New Roman"/>
          <w:noProof/>
          <w:sz w:val="24"/>
          <w:szCs w:val="24"/>
        </w:rPr>
        <w:t xml:space="preserve"> </w:t>
      </w:r>
      <w:r w:rsidRPr="004C20BC">
        <w:rPr>
          <w:rFonts w:ascii="Times New Roman" w:hAnsi="Times New Roman" w:cs="Times New Roman"/>
          <w:noProof/>
          <w:sz w:val="24"/>
          <w:szCs w:val="24"/>
        </w:rPr>
        <w:t>The</w:t>
      </w:r>
      <w:r w:rsidRPr="004C20BC">
        <w:rPr>
          <w:rFonts w:ascii="Times New Roman" w:hAnsi="Times New Roman" w:cs="Times New Roman"/>
          <w:sz w:val="24"/>
          <w:szCs w:val="24"/>
        </w:rPr>
        <w:t xml:space="preserve"> rRNAs were identified as phylogenetic markers very early on</w:t>
      </w:r>
      <w:r w:rsidR="00891AE2" w:rsidRPr="004C20BC">
        <w:rPr>
          <w:rFonts w:ascii="Times New Roman" w:hAnsi="Times New Roman" w:cs="Times New Roman"/>
          <w:sz w:val="24"/>
          <w:szCs w:val="24"/>
        </w:rPr>
        <w:t xml:space="preserve"> </w:t>
      </w:r>
      <w:r w:rsidR="002D259C" w:rsidRPr="004C20BC">
        <w:rPr>
          <w:rFonts w:ascii="Times New Roman" w:hAnsi="Times New Roman" w:cs="Times New Roman"/>
          <w:noProof/>
          <w:sz w:val="24"/>
          <w:szCs w:val="24"/>
        </w:rPr>
        <w:t>(Woese &amp; Fox, 1977)</w:t>
      </w:r>
      <w:r w:rsidRPr="004C20BC">
        <w:rPr>
          <w:rFonts w:ascii="Times New Roman" w:hAnsi="Times New Roman" w:cs="Times New Roman"/>
          <w:sz w:val="24"/>
          <w:szCs w:val="24"/>
        </w:rPr>
        <w:t xml:space="preserve"> due to a number of favorable features: a) the presence of r</w:t>
      </w:r>
      <w:r w:rsidR="00327052" w:rsidRPr="004C20BC">
        <w:rPr>
          <w:rFonts w:ascii="Times New Roman" w:hAnsi="Times New Roman" w:cs="Times New Roman"/>
          <w:sz w:val="24"/>
          <w:szCs w:val="24"/>
        </w:rPr>
        <w:t>RNA genes</w:t>
      </w:r>
      <w:r w:rsidRPr="004C20BC">
        <w:rPr>
          <w:rFonts w:ascii="Times New Roman" w:hAnsi="Times New Roman" w:cs="Times New Roman"/>
          <w:sz w:val="24"/>
          <w:szCs w:val="24"/>
        </w:rPr>
        <w:t xml:space="preserve"> in all known organisms due to </w:t>
      </w:r>
      <w:r w:rsidR="00422734">
        <w:rPr>
          <w:rFonts w:ascii="Times New Roman" w:hAnsi="Times New Roman" w:cs="Times New Roman"/>
          <w:sz w:val="24"/>
          <w:szCs w:val="24"/>
        </w:rPr>
        <w:t>the</w:t>
      </w:r>
      <w:r w:rsidR="00422734" w:rsidRPr="004C20BC">
        <w:rPr>
          <w:rFonts w:ascii="Times New Roman" w:hAnsi="Times New Roman" w:cs="Times New Roman"/>
          <w:sz w:val="24"/>
          <w:szCs w:val="24"/>
        </w:rPr>
        <w:t xml:space="preserve"> </w:t>
      </w:r>
      <w:r w:rsidRPr="004C20BC">
        <w:rPr>
          <w:rFonts w:ascii="Times New Roman" w:hAnsi="Times New Roman" w:cs="Times New Roman"/>
          <w:sz w:val="24"/>
          <w:szCs w:val="24"/>
        </w:rPr>
        <w:t xml:space="preserve">integral role </w:t>
      </w:r>
      <w:r w:rsidR="00327052" w:rsidRPr="004C20BC">
        <w:rPr>
          <w:rFonts w:ascii="Times New Roman" w:hAnsi="Times New Roman" w:cs="Times New Roman"/>
          <w:sz w:val="24"/>
          <w:szCs w:val="24"/>
        </w:rPr>
        <w:t xml:space="preserve">of rRNA </w:t>
      </w:r>
      <w:r w:rsidRPr="004C20BC">
        <w:rPr>
          <w:rFonts w:ascii="Times New Roman" w:hAnsi="Times New Roman" w:cs="Times New Roman"/>
          <w:sz w:val="24"/>
          <w:szCs w:val="24"/>
        </w:rPr>
        <w:t>as a component of the ribosome and</w:t>
      </w:r>
      <w:r w:rsidR="00422734">
        <w:rPr>
          <w:rFonts w:ascii="Times New Roman" w:hAnsi="Times New Roman" w:cs="Times New Roman"/>
          <w:sz w:val="24"/>
          <w:szCs w:val="24"/>
        </w:rPr>
        <w:t>,</w:t>
      </w:r>
      <w:r w:rsidRPr="004C20BC">
        <w:rPr>
          <w:rFonts w:ascii="Times New Roman" w:hAnsi="Times New Roman" w:cs="Times New Roman"/>
          <w:sz w:val="24"/>
          <w:szCs w:val="24"/>
        </w:rPr>
        <w:t xml:space="preserve"> therefore, in messenger RNA translation </w:t>
      </w:r>
      <w:r w:rsidRPr="004C20BC">
        <w:rPr>
          <w:rFonts w:ascii="Times New Roman" w:hAnsi="Times New Roman" w:cs="Times New Roman"/>
          <w:noProof/>
          <w:sz w:val="24"/>
          <w:szCs w:val="24"/>
        </w:rPr>
        <w:t>(Birtel, Walser, Pichon, Burgmann, &amp; Matthews, 2015)</w:t>
      </w:r>
      <w:r w:rsidRPr="004C20BC">
        <w:rPr>
          <w:rFonts w:ascii="Times New Roman" w:hAnsi="Times New Roman" w:cs="Times New Roman"/>
          <w:sz w:val="24"/>
          <w:szCs w:val="24"/>
        </w:rPr>
        <w:t xml:space="preserve">; b) the presence of highly conserved regions of the gene, allowing for the design of broad-range PCR primers; c) the presence of highly variable regions, allowing for the use of the gene for phylogenetic analysis; d) the low rate of rRNA </w:t>
      </w:r>
      <w:r w:rsidR="00327052" w:rsidRPr="004C20BC">
        <w:rPr>
          <w:rFonts w:ascii="Times New Roman" w:hAnsi="Times New Roman" w:cs="Times New Roman"/>
          <w:sz w:val="24"/>
          <w:szCs w:val="24"/>
        </w:rPr>
        <w:t xml:space="preserve">lateral </w:t>
      </w:r>
      <w:r w:rsidRPr="004C20BC">
        <w:rPr>
          <w:rFonts w:ascii="Times New Roman" w:hAnsi="Times New Roman" w:cs="Times New Roman"/>
          <w:sz w:val="24"/>
          <w:szCs w:val="24"/>
        </w:rPr>
        <w:t xml:space="preserve">gene transfer between different </w:t>
      </w:r>
      <w:r w:rsidR="00327052" w:rsidRPr="004C20BC">
        <w:rPr>
          <w:rFonts w:ascii="Times New Roman" w:hAnsi="Times New Roman" w:cs="Times New Roman"/>
          <w:sz w:val="24"/>
          <w:szCs w:val="24"/>
        </w:rPr>
        <w:t>microbial lineages</w:t>
      </w:r>
      <w:r w:rsidR="0054104A" w:rsidRPr="004C20BC">
        <w:rPr>
          <w:rFonts w:ascii="Times New Roman" w:hAnsi="Times New Roman" w:cs="Times New Roman"/>
          <w:sz w:val="24"/>
          <w:szCs w:val="24"/>
        </w:rPr>
        <w:t xml:space="preserve"> </w:t>
      </w:r>
      <w:r w:rsidR="00F453CC" w:rsidRPr="004C20BC">
        <w:rPr>
          <w:rFonts w:ascii="Times New Roman" w:hAnsi="Times New Roman" w:cs="Times New Roman"/>
          <w:noProof/>
          <w:sz w:val="24"/>
          <w:szCs w:val="24"/>
        </w:rPr>
        <w:t>(Kurland, Canback, &amp; Berg, 2003)</w:t>
      </w:r>
      <w:r w:rsidR="00327052" w:rsidRPr="004C20BC">
        <w:rPr>
          <w:rFonts w:ascii="Times New Roman" w:hAnsi="Times New Roman" w:cs="Times New Roman"/>
          <w:sz w:val="24"/>
          <w:szCs w:val="24"/>
        </w:rPr>
        <w:t>;</w:t>
      </w:r>
      <w:r w:rsidRPr="004C20BC">
        <w:rPr>
          <w:rFonts w:ascii="Times New Roman" w:hAnsi="Times New Roman" w:cs="Times New Roman"/>
          <w:sz w:val="24"/>
          <w:szCs w:val="24"/>
        </w:rPr>
        <w:t xml:space="preserve"> and e) the absence of translation of the gene, thereby avoiding codon degeneracy issues</w:t>
      </w:r>
      <w:r w:rsidR="00543ACB" w:rsidRPr="004C20BC">
        <w:rPr>
          <w:rFonts w:ascii="Times New Roman" w:hAnsi="Times New Roman" w:cs="Times New Roman"/>
          <w:sz w:val="24"/>
          <w:szCs w:val="24"/>
        </w:rPr>
        <w:t xml:space="preserve"> that complicate PCR primer design</w:t>
      </w:r>
      <w:r w:rsidR="00C01859">
        <w:rPr>
          <w:rFonts w:ascii="Times New Roman" w:hAnsi="Times New Roman" w:cs="Times New Roman"/>
          <w:sz w:val="24"/>
          <w:szCs w:val="24"/>
        </w:rPr>
        <w:t xml:space="preserve"> in protein-coding genes</w:t>
      </w:r>
      <w:r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720715CC" w14:textId="73806779" w:rsidR="00592EE6" w:rsidRDefault="009F1A78" w:rsidP="00967C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w:t>
      </w:r>
      <w:r w:rsidR="00543ACB" w:rsidRPr="004C20BC">
        <w:rPr>
          <w:rFonts w:ascii="Times New Roman" w:hAnsi="Times New Roman" w:cs="Times New Roman"/>
          <w:sz w:val="24"/>
          <w:szCs w:val="24"/>
        </w:rPr>
        <w:t>the small-subunit (SSU) rRNA gene (</w:t>
      </w:r>
      <w:r w:rsidR="00543ACB" w:rsidRPr="00C14227">
        <w:rPr>
          <w:rFonts w:ascii="Times New Roman" w:hAnsi="Times New Roman" w:cs="Times New Roman"/>
          <w:sz w:val="24"/>
          <w:szCs w:val="24"/>
        </w:rPr>
        <w:t>i.e., 1</w:t>
      </w:r>
      <w:r w:rsidR="00543ACB" w:rsidRPr="004C20BC">
        <w:rPr>
          <w:rFonts w:ascii="Times New Roman" w:hAnsi="Times New Roman" w:cs="Times New Roman"/>
          <w:sz w:val="24"/>
          <w:szCs w:val="24"/>
        </w:rPr>
        <w:t xml:space="preserve">6S or 18S rRNA gene) </w:t>
      </w:r>
      <w:r w:rsidR="00592EE6" w:rsidRPr="004C20BC">
        <w:rPr>
          <w:rFonts w:ascii="Times New Roman" w:hAnsi="Times New Roman" w:cs="Times New Roman"/>
          <w:sz w:val="24"/>
          <w:szCs w:val="24"/>
        </w:rPr>
        <w:t xml:space="preserve">is present in the genomes of all microorganisms, the regions of the gene that </w:t>
      </w:r>
      <w:r w:rsidR="00592EE6" w:rsidRPr="004C20BC">
        <w:rPr>
          <w:rFonts w:ascii="Times New Roman" w:hAnsi="Times New Roman" w:cs="Times New Roman"/>
          <w:noProof/>
          <w:sz w:val="24"/>
          <w:szCs w:val="24"/>
        </w:rPr>
        <w:t>are</w:t>
      </w:r>
      <w:r w:rsidR="00592EE6" w:rsidRPr="004C20BC">
        <w:rPr>
          <w:rFonts w:ascii="Times New Roman" w:hAnsi="Times New Roman" w:cs="Times New Roman"/>
          <w:sz w:val="24"/>
          <w:szCs w:val="24"/>
        </w:rPr>
        <w:t xml:space="preserve"> highly conserved (or unchanged) are ideal target sites for so-called universal primers</w:t>
      </w:r>
      <w:r w:rsidR="00EB56F2"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3A4424" w:rsidRPr="004C20BC">
        <w:rPr>
          <w:rFonts w:ascii="Times New Roman" w:hAnsi="Times New Roman" w:cs="Times New Roman"/>
          <w:sz w:val="24"/>
          <w:szCs w:val="24"/>
        </w:rPr>
        <w:t>Universal primers</w:t>
      </w:r>
      <w:r w:rsidR="00592EE6" w:rsidRPr="004C20BC">
        <w:rPr>
          <w:rFonts w:ascii="Times New Roman" w:hAnsi="Times New Roman" w:cs="Times New Roman"/>
          <w:sz w:val="24"/>
          <w:szCs w:val="24"/>
        </w:rPr>
        <w:t xml:space="preserve"> </w:t>
      </w:r>
      <w:r w:rsidR="00543ACB" w:rsidRPr="004C20BC">
        <w:rPr>
          <w:rFonts w:ascii="Times New Roman" w:hAnsi="Times New Roman" w:cs="Times New Roman"/>
          <w:sz w:val="24"/>
          <w:szCs w:val="24"/>
        </w:rPr>
        <w:t>are</w:t>
      </w:r>
      <w:r w:rsidR="00592EE6" w:rsidRPr="004C20BC">
        <w:rPr>
          <w:rFonts w:ascii="Times New Roman" w:hAnsi="Times New Roman" w:cs="Times New Roman"/>
          <w:sz w:val="24"/>
          <w:szCs w:val="24"/>
        </w:rPr>
        <w:t xml:space="preserve"> used to target a wide range of microorganisms, including unknown organisms that have not been cultivated</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92EE6" w:rsidRPr="004C20BC">
        <w:rPr>
          <w:rFonts w:ascii="Times New Roman" w:hAnsi="Times New Roman" w:cs="Times New Roman"/>
          <w:sz w:val="24"/>
          <w:szCs w:val="24"/>
        </w:rPr>
        <w:t xml:space="preserve">Between these highly conserved regions in the 16S rRNA gene are nine hypervariable regions </w:t>
      </w:r>
      <w:r w:rsidR="00EB56F2" w:rsidRPr="004C20BC">
        <w:rPr>
          <w:rFonts w:ascii="Times New Roman" w:hAnsi="Times New Roman" w:cs="Times New Roman"/>
          <w:sz w:val="24"/>
          <w:szCs w:val="24"/>
        </w:rPr>
        <w:t>that</w:t>
      </w:r>
      <w:r w:rsidR="00592EE6" w:rsidRPr="004C20BC">
        <w:rPr>
          <w:rFonts w:ascii="Times New Roman" w:hAnsi="Times New Roman" w:cs="Times New Roman"/>
          <w:sz w:val="24"/>
          <w:szCs w:val="24"/>
        </w:rPr>
        <w:t xml:space="preserve"> have changed over the course of microbial evolution</w:t>
      </w:r>
      <w:r w:rsidR="003A4424" w:rsidRPr="004C20BC">
        <w:rPr>
          <w:rFonts w:ascii="Times New Roman" w:hAnsi="Times New Roman" w:cs="Times New Roman"/>
          <w:sz w:val="24"/>
          <w:szCs w:val="24"/>
        </w:rPr>
        <w:t xml:space="preserve"> (</w:t>
      </w:r>
      <w:r w:rsidR="003A4424" w:rsidRPr="00967C61">
        <w:rPr>
          <w:rFonts w:ascii="Times New Roman" w:hAnsi="Times New Roman" w:cs="Times New Roman"/>
          <w:sz w:val="24"/>
          <w:szCs w:val="24"/>
        </w:rPr>
        <w:t>Figure 2)</w:t>
      </w:r>
      <w:r w:rsidR="00427100" w:rsidRPr="00967C61">
        <w:rPr>
          <w:rFonts w:ascii="Times New Roman" w:hAnsi="Times New Roman" w:cs="Times New Roman"/>
          <w:sz w:val="24"/>
          <w:szCs w:val="24"/>
        </w:rPr>
        <w:t>.</w:t>
      </w:r>
      <w:r w:rsidR="003F14B1">
        <w:rPr>
          <w:rFonts w:ascii="Times New Roman" w:hAnsi="Times New Roman" w:cs="Times New Roman"/>
          <w:sz w:val="24"/>
          <w:szCs w:val="24"/>
        </w:rPr>
        <w:t xml:space="preserve"> </w:t>
      </w:r>
      <w:r w:rsidR="00592EE6" w:rsidRPr="004C20BC">
        <w:rPr>
          <w:rFonts w:ascii="Times New Roman" w:hAnsi="Times New Roman" w:cs="Times New Roman"/>
          <w:sz w:val="24"/>
          <w:szCs w:val="24"/>
        </w:rPr>
        <w:t>These regions</w:t>
      </w:r>
      <w:r w:rsidR="00EB56F2" w:rsidRPr="004C20BC">
        <w:rPr>
          <w:rFonts w:ascii="Times New Roman" w:hAnsi="Times New Roman" w:cs="Times New Roman"/>
          <w:sz w:val="24"/>
          <w:szCs w:val="24"/>
        </w:rPr>
        <w:t>, which</w:t>
      </w:r>
      <w:r w:rsidR="00592EE6" w:rsidRPr="004C20BC">
        <w:rPr>
          <w:rFonts w:ascii="Times New Roman" w:hAnsi="Times New Roman" w:cs="Times New Roman"/>
          <w:sz w:val="24"/>
          <w:szCs w:val="24"/>
        </w:rPr>
        <w:t xml:space="preserve"> are more similar between closely related organisms and more different between more distantly related </w:t>
      </w:r>
      <w:r w:rsidR="00C01665" w:rsidRPr="004C20BC">
        <w:rPr>
          <w:rFonts w:ascii="Times New Roman" w:hAnsi="Times New Roman" w:cs="Times New Roman"/>
          <w:sz w:val="24"/>
          <w:szCs w:val="24"/>
        </w:rPr>
        <w:t>organisms</w:t>
      </w:r>
      <w:r w:rsidR="00EB56F2" w:rsidRPr="004C20BC">
        <w:rPr>
          <w:rFonts w:ascii="Times New Roman" w:hAnsi="Times New Roman" w:cs="Times New Roman"/>
          <w:sz w:val="24"/>
          <w:szCs w:val="24"/>
        </w:rPr>
        <w:t>,</w:t>
      </w:r>
      <w:r w:rsidR="00C01665" w:rsidRPr="004C20BC">
        <w:rPr>
          <w:rFonts w:ascii="Times New Roman" w:hAnsi="Times New Roman" w:cs="Times New Roman"/>
          <w:sz w:val="24"/>
          <w:szCs w:val="24"/>
        </w:rPr>
        <w:t xml:space="preserve"> </w:t>
      </w:r>
      <w:r w:rsidR="00592EE6" w:rsidRPr="004C20BC">
        <w:rPr>
          <w:rFonts w:ascii="Times New Roman" w:hAnsi="Times New Roman" w:cs="Times New Roman"/>
          <w:sz w:val="24"/>
          <w:szCs w:val="24"/>
        </w:rPr>
        <w:t>can thereby serve as a guide to microbial taxonomy</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92EE6" w:rsidRPr="004C20BC">
        <w:rPr>
          <w:rFonts w:ascii="Times New Roman" w:hAnsi="Times New Roman" w:cs="Times New Roman"/>
          <w:sz w:val="24"/>
          <w:szCs w:val="24"/>
        </w:rPr>
        <w:t xml:space="preserve">For taxonomic </w:t>
      </w:r>
      <w:r w:rsidR="00592EE6" w:rsidRPr="004C20BC">
        <w:rPr>
          <w:rFonts w:ascii="Times New Roman" w:hAnsi="Times New Roman" w:cs="Times New Roman"/>
          <w:sz w:val="24"/>
          <w:szCs w:val="24"/>
        </w:rPr>
        <w:lastRenderedPageBreak/>
        <w:t>purposes, the full 16S rRNA gene</w:t>
      </w:r>
      <w:r w:rsidR="00C93CCD">
        <w:rPr>
          <w:rFonts w:ascii="Times New Roman" w:hAnsi="Times New Roman" w:cs="Times New Roman"/>
          <w:sz w:val="24"/>
          <w:szCs w:val="24"/>
        </w:rPr>
        <w:t xml:space="preserve"> (approximately 1542 bp in </w:t>
      </w:r>
      <w:r w:rsidR="00C93CCD">
        <w:rPr>
          <w:rFonts w:ascii="Times New Roman" w:hAnsi="Times New Roman" w:cs="Times New Roman"/>
          <w:i/>
          <w:sz w:val="24"/>
          <w:szCs w:val="24"/>
        </w:rPr>
        <w:t>E. coli</w:t>
      </w:r>
      <w:r w:rsidR="00C93CCD">
        <w:rPr>
          <w:rFonts w:ascii="Times New Roman" w:hAnsi="Times New Roman" w:cs="Times New Roman"/>
          <w:sz w:val="24"/>
          <w:szCs w:val="24"/>
        </w:rPr>
        <w:t>, see Figure 2)</w:t>
      </w:r>
      <w:r w:rsidR="00592EE6" w:rsidRPr="004C20BC">
        <w:rPr>
          <w:rFonts w:ascii="Times New Roman" w:hAnsi="Times New Roman" w:cs="Times New Roman"/>
          <w:sz w:val="24"/>
          <w:szCs w:val="24"/>
        </w:rPr>
        <w:t xml:space="preserve"> </w:t>
      </w:r>
      <w:r w:rsidR="00C93CCD" w:rsidRPr="004C20BC">
        <w:rPr>
          <w:rFonts w:ascii="Times New Roman" w:hAnsi="Times New Roman" w:cs="Times New Roman"/>
          <w:sz w:val="24"/>
          <w:szCs w:val="24"/>
        </w:rPr>
        <w:t xml:space="preserve">is traditionally used </w:t>
      </w:r>
      <w:r w:rsidR="00C93CCD">
        <w:rPr>
          <w:rFonts w:ascii="Times New Roman" w:hAnsi="Times New Roman" w:cs="Times New Roman"/>
          <w:noProof/>
          <w:sz w:val="24"/>
          <w:szCs w:val="24"/>
        </w:rPr>
        <w:t>(Brosius, Palmer, Kennedy, &amp; Noller, 1978)</w:t>
      </w:r>
      <w:r w:rsidR="00592EE6"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92EE6" w:rsidRPr="004C20BC">
        <w:rPr>
          <w:rFonts w:ascii="Times New Roman" w:hAnsi="Times New Roman" w:cs="Times New Roman"/>
          <w:sz w:val="24"/>
          <w:szCs w:val="24"/>
        </w:rPr>
        <w:t xml:space="preserve">When attempting to determine if two microorganisms belong to the same species </w:t>
      </w:r>
      <w:r w:rsidR="00BF7780" w:rsidRPr="004C20BC">
        <w:rPr>
          <w:rFonts w:ascii="Times New Roman" w:hAnsi="Times New Roman" w:cs="Times New Roman"/>
          <w:noProof/>
          <w:sz w:val="24"/>
          <w:szCs w:val="24"/>
        </w:rPr>
        <w:t>(itself a difficult concept in the field of microbiology; Rossello-Mora &amp; Amann, 2001)</w:t>
      </w:r>
      <w:r w:rsidR="00EB56F2" w:rsidRPr="004C20BC">
        <w:rPr>
          <w:rFonts w:ascii="Times New Roman" w:hAnsi="Times New Roman" w:cs="Times New Roman"/>
          <w:sz w:val="24"/>
          <w:szCs w:val="24"/>
        </w:rPr>
        <w:t>,</w:t>
      </w:r>
      <w:r w:rsidR="00592EE6" w:rsidRPr="004C20BC">
        <w:rPr>
          <w:rFonts w:ascii="Times New Roman" w:hAnsi="Times New Roman" w:cs="Times New Roman"/>
          <w:sz w:val="24"/>
          <w:szCs w:val="24"/>
        </w:rPr>
        <w:t xml:space="preserve"> </w:t>
      </w:r>
      <w:r w:rsidR="00944A70">
        <w:rPr>
          <w:rFonts w:ascii="Times New Roman" w:hAnsi="Times New Roman" w:cs="Times New Roman"/>
          <w:sz w:val="24"/>
          <w:szCs w:val="24"/>
        </w:rPr>
        <w:t xml:space="preserve">researchers have traditionally used </w:t>
      </w:r>
      <w:r w:rsidR="00592EE6" w:rsidRPr="004C20BC">
        <w:rPr>
          <w:rFonts w:ascii="Times New Roman" w:hAnsi="Times New Roman" w:cs="Times New Roman"/>
          <w:sz w:val="24"/>
          <w:szCs w:val="24"/>
        </w:rPr>
        <w:t xml:space="preserve">a threshold of 97% similarity for </w:t>
      </w:r>
      <w:r w:rsidR="00C01859">
        <w:rPr>
          <w:rFonts w:ascii="Times New Roman" w:hAnsi="Times New Roman" w:cs="Times New Roman"/>
          <w:sz w:val="24"/>
          <w:szCs w:val="24"/>
        </w:rPr>
        <w:t>exclusion (</w:t>
      </w:r>
      <w:r w:rsidR="00C01859" w:rsidRPr="00C503DD">
        <w:rPr>
          <w:rFonts w:ascii="Times New Roman" w:hAnsi="Times New Roman" w:cs="Times New Roman"/>
          <w:sz w:val="24"/>
          <w:szCs w:val="24"/>
        </w:rPr>
        <w:t>i.e.</w:t>
      </w:r>
      <w:r w:rsidR="00C01859" w:rsidRPr="00944A70">
        <w:rPr>
          <w:rFonts w:ascii="Times New Roman" w:hAnsi="Times New Roman" w:cs="Times New Roman"/>
          <w:sz w:val="24"/>
          <w:szCs w:val="24"/>
        </w:rPr>
        <w:t>,</w:t>
      </w:r>
      <w:r w:rsidR="00C01859">
        <w:rPr>
          <w:rFonts w:ascii="Times New Roman" w:hAnsi="Times New Roman" w:cs="Times New Roman"/>
          <w:sz w:val="24"/>
          <w:szCs w:val="24"/>
        </w:rPr>
        <w:t xml:space="preserve"> two organisms with 16S rRNA genes with lower than 97% </w:t>
      </w:r>
      <w:r w:rsidR="00944A70">
        <w:rPr>
          <w:rFonts w:ascii="Times New Roman" w:hAnsi="Times New Roman" w:cs="Times New Roman"/>
          <w:sz w:val="24"/>
          <w:szCs w:val="24"/>
        </w:rPr>
        <w:t xml:space="preserve">similarity </w:t>
      </w:r>
      <w:r w:rsidR="00C01859">
        <w:rPr>
          <w:rFonts w:ascii="Times New Roman" w:hAnsi="Times New Roman" w:cs="Times New Roman"/>
          <w:sz w:val="24"/>
          <w:szCs w:val="24"/>
        </w:rPr>
        <w:t>are considered to be distinct species</w:t>
      </w:r>
      <w:r w:rsidR="00DC6960">
        <w:rPr>
          <w:rFonts w:ascii="Times New Roman" w:hAnsi="Times New Roman" w:cs="Times New Roman"/>
          <w:sz w:val="24"/>
          <w:szCs w:val="24"/>
        </w:rPr>
        <w:t xml:space="preserve">; </w:t>
      </w:r>
      <w:r w:rsidR="00C01665" w:rsidRPr="004C20BC">
        <w:rPr>
          <w:rFonts w:ascii="Times New Roman" w:hAnsi="Times New Roman" w:cs="Times New Roman"/>
          <w:noProof/>
          <w:sz w:val="24"/>
          <w:szCs w:val="24"/>
        </w:rPr>
        <w:t>Stackebrandt &amp; Goebel, 1994)</w:t>
      </w:r>
      <w:r w:rsidR="00592EE6"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81140B">
        <w:rPr>
          <w:rFonts w:ascii="Times New Roman" w:hAnsi="Times New Roman" w:cs="Times New Roman"/>
          <w:sz w:val="24"/>
          <w:szCs w:val="24"/>
        </w:rPr>
        <w:t>T</w:t>
      </w:r>
      <w:r w:rsidR="00592EE6" w:rsidRPr="004C20BC">
        <w:rPr>
          <w:rFonts w:ascii="Times New Roman" w:hAnsi="Times New Roman" w:cs="Times New Roman"/>
          <w:sz w:val="24"/>
          <w:szCs w:val="24"/>
        </w:rPr>
        <w:t>hough some of the newest sequencing technologies are able to sequence the entire 16S rRNA gene (</w:t>
      </w:r>
      <w:r w:rsidR="00CF37B0">
        <w:rPr>
          <w:rFonts w:ascii="Times New Roman" w:hAnsi="Times New Roman" w:cs="Times New Roman"/>
          <w:sz w:val="24"/>
          <w:szCs w:val="24"/>
        </w:rPr>
        <w:t>e.g.</w:t>
      </w:r>
      <w:r w:rsidR="00581086">
        <w:rPr>
          <w:rFonts w:ascii="Times New Roman" w:hAnsi="Times New Roman" w:cs="Times New Roman"/>
          <w:sz w:val="24"/>
          <w:szCs w:val="24"/>
        </w:rPr>
        <w:t>,</w:t>
      </w:r>
      <w:r w:rsidR="0081140B">
        <w:rPr>
          <w:rFonts w:ascii="Times New Roman" w:hAnsi="Times New Roman" w:cs="Times New Roman"/>
          <w:sz w:val="24"/>
          <w:szCs w:val="24"/>
        </w:rPr>
        <w:t xml:space="preserve"> </w:t>
      </w:r>
      <w:r w:rsidR="00592EE6" w:rsidRPr="004C20BC">
        <w:rPr>
          <w:rFonts w:ascii="Times New Roman" w:hAnsi="Times New Roman" w:cs="Times New Roman"/>
          <w:sz w:val="24"/>
          <w:szCs w:val="24"/>
        </w:rPr>
        <w:t>Oxford Nanopore and Pacific Biosciences), historically, much shorter sequences have been employed for analysis of microbial communities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92EE6" w:rsidRPr="004C20BC">
        <w:rPr>
          <w:rFonts w:ascii="Times New Roman" w:hAnsi="Times New Roman" w:cs="Times New Roman"/>
          <w:sz w:val="24"/>
          <w:szCs w:val="24"/>
        </w:rPr>
        <w:t xml:space="preserve">Even now, full gene sequencing is expensive and requires sophisticated sequencing pipelines </w:t>
      </w:r>
      <w:r w:rsidR="00292D09">
        <w:rPr>
          <w:rFonts w:ascii="Times New Roman" w:hAnsi="Times New Roman" w:cs="Times New Roman"/>
          <w:noProof/>
          <w:sz w:val="24"/>
          <w:szCs w:val="24"/>
        </w:rPr>
        <w:t>(B. Yang, Wang, &amp; Qian, 2016)</w:t>
      </w:r>
      <w:r w:rsidR="00592EE6"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6C3E91CA" w14:textId="24B3724B" w:rsidR="005B531A" w:rsidRPr="004C20BC" w:rsidRDefault="005B531A" w:rsidP="00967C61">
      <w:pPr>
        <w:spacing w:line="480" w:lineRule="auto"/>
        <w:ind w:firstLine="720"/>
        <w:rPr>
          <w:rFonts w:ascii="Times New Roman" w:hAnsi="Times New Roman" w:cs="Times New Roman"/>
          <w:sz w:val="24"/>
          <w:szCs w:val="24"/>
        </w:rPr>
      </w:pPr>
      <w:r>
        <w:rPr>
          <w:rFonts w:ascii="Times New Roman" w:hAnsi="Times New Roman" w:cs="Times New Roman"/>
          <w:sz w:val="24"/>
          <w:szCs w:val="24"/>
        </w:rPr>
        <w:t>&lt;Figure 2 near here.&gt;</w:t>
      </w:r>
    </w:p>
    <w:p w14:paraId="0FDEC70A" w14:textId="2930CC9D" w:rsidR="00E02AA3" w:rsidRDefault="00592EE6" w:rsidP="00967C61">
      <w:pPr>
        <w:spacing w:line="480" w:lineRule="auto"/>
        <w:ind w:firstLine="720"/>
        <w:rPr>
          <w:rFonts w:ascii="Times New Roman" w:hAnsi="Times New Roman" w:cs="Times New Roman"/>
          <w:sz w:val="24"/>
          <w:szCs w:val="24"/>
        </w:rPr>
      </w:pPr>
      <w:r w:rsidRPr="004C20BC">
        <w:rPr>
          <w:rFonts w:ascii="Times New Roman" w:hAnsi="Times New Roman" w:cs="Times New Roman"/>
          <w:sz w:val="24"/>
          <w:szCs w:val="24"/>
        </w:rPr>
        <w:t xml:space="preserve">The more traditional approach </w:t>
      </w:r>
      <w:r w:rsidR="0022011E">
        <w:rPr>
          <w:rFonts w:ascii="Times New Roman" w:hAnsi="Times New Roman" w:cs="Times New Roman"/>
          <w:sz w:val="24"/>
          <w:szCs w:val="24"/>
        </w:rPr>
        <w:t xml:space="preserve">to 16S rRNA sequencing </w:t>
      </w:r>
      <w:r w:rsidRPr="004C20BC">
        <w:rPr>
          <w:rFonts w:ascii="Times New Roman" w:hAnsi="Times New Roman" w:cs="Times New Roman"/>
          <w:sz w:val="24"/>
          <w:szCs w:val="24"/>
        </w:rPr>
        <w:t>has been to choose one or two hypervariable regions to target via PCR for short-read next-generation sequencing (NGS)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The ability to acquire a very large number of short sequences (on the scale of 100</w:t>
      </w:r>
      <w:r w:rsidR="004C704F">
        <w:rPr>
          <w:rFonts w:ascii="Times New Roman" w:hAnsi="Times New Roman" w:cs="Times New Roman"/>
          <w:sz w:val="24"/>
          <w:szCs w:val="24"/>
        </w:rPr>
        <w:t>–</w:t>
      </w:r>
      <w:r w:rsidRPr="004C20BC">
        <w:rPr>
          <w:rFonts w:ascii="Times New Roman" w:hAnsi="Times New Roman" w:cs="Times New Roman"/>
          <w:sz w:val="24"/>
          <w:szCs w:val="24"/>
        </w:rPr>
        <w:t xml:space="preserve">500 </w:t>
      </w:r>
      <w:r w:rsidR="00C93CCD">
        <w:rPr>
          <w:rFonts w:ascii="Times New Roman" w:hAnsi="Times New Roman" w:cs="Times New Roman"/>
          <w:sz w:val="24"/>
          <w:szCs w:val="24"/>
        </w:rPr>
        <w:t>base pairs [</w:t>
      </w:r>
      <w:r w:rsidRPr="004C20BC">
        <w:rPr>
          <w:rFonts w:ascii="Times New Roman" w:hAnsi="Times New Roman" w:cs="Times New Roman"/>
          <w:sz w:val="24"/>
          <w:szCs w:val="24"/>
        </w:rPr>
        <w:t>bp</w:t>
      </w:r>
      <w:r w:rsidR="00C93CCD">
        <w:rPr>
          <w:rFonts w:ascii="Times New Roman" w:hAnsi="Times New Roman" w:cs="Times New Roman"/>
          <w:sz w:val="24"/>
          <w:szCs w:val="24"/>
        </w:rPr>
        <w:t>]</w:t>
      </w:r>
      <w:r w:rsidRPr="004C20BC">
        <w:rPr>
          <w:rFonts w:ascii="Times New Roman" w:hAnsi="Times New Roman" w:cs="Times New Roman"/>
          <w:sz w:val="24"/>
          <w:szCs w:val="24"/>
        </w:rPr>
        <w:t xml:space="preserve">) </w:t>
      </w:r>
      <w:r w:rsidR="004C704F">
        <w:rPr>
          <w:rFonts w:ascii="Times New Roman" w:hAnsi="Times New Roman" w:cs="Times New Roman"/>
          <w:sz w:val="24"/>
          <w:szCs w:val="24"/>
        </w:rPr>
        <w:t>necessitated</w:t>
      </w:r>
      <w:r w:rsidR="004C704F" w:rsidRPr="004C20BC">
        <w:rPr>
          <w:rFonts w:ascii="Times New Roman" w:hAnsi="Times New Roman" w:cs="Times New Roman"/>
          <w:sz w:val="24"/>
          <w:szCs w:val="24"/>
        </w:rPr>
        <w:t xml:space="preserve"> </w:t>
      </w:r>
      <w:r w:rsidRPr="004C20BC">
        <w:rPr>
          <w:rFonts w:ascii="Times New Roman" w:hAnsi="Times New Roman" w:cs="Times New Roman"/>
          <w:sz w:val="24"/>
          <w:szCs w:val="24"/>
        </w:rPr>
        <w:t>the development of new techniques to allow for rapid analysis of large datasets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Prior to starting a microbiome study, it is important </w:t>
      </w:r>
      <w:r w:rsidR="004C704F">
        <w:rPr>
          <w:rFonts w:ascii="Times New Roman" w:hAnsi="Times New Roman" w:cs="Times New Roman"/>
          <w:sz w:val="24"/>
          <w:szCs w:val="24"/>
        </w:rPr>
        <w:t xml:space="preserve">that researchers </w:t>
      </w:r>
      <w:r w:rsidRPr="004C20BC">
        <w:rPr>
          <w:rFonts w:ascii="Times New Roman" w:hAnsi="Times New Roman" w:cs="Times New Roman"/>
          <w:sz w:val="24"/>
          <w:szCs w:val="24"/>
        </w:rPr>
        <w:t xml:space="preserve">consult both the literature and experts in </w:t>
      </w:r>
      <w:r w:rsidRPr="004C20BC">
        <w:rPr>
          <w:rFonts w:ascii="Times New Roman" w:hAnsi="Times New Roman" w:cs="Times New Roman"/>
          <w:noProof/>
          <w:sz w:val="24"/>
          <w:szCs w:val="24"/>
        </w:rPr>
        <w:t>field</w:t>
      </w:r>
      <w:r w:rsidRPr="004C20BC">
        <w:rPr>
          <w:rFonts w:ascii="Times New Roman" w:hAnsi="Times New Roman" w:cs="Times New Roman"/>
          <w:sz w:val="24"/>
          <w:szCs w:val="24"/>
        </w:rPr>
        <w:t xml:space="preserve">; this </w:t>
      </w:r>
      <w:r w:rsidR="003A1ADD">
        <w:rPr>
          <w:rFonts w:ascii="Times New Roman" w:hAnsi="Times New Roman" w:cs="Times New Roman"/>
          <w:sz w:val="24"/>
          <w:szCs w:val="24"/>
        </w:rPr>
        <w:t xml:space="preserve">practice </w:t>
      </w:r>
      <w:r w:rsidRPr="004C20BC">
        <w:rPr>
          <w:rFonts w:ascii="Times New Roman" w:hAnsi="Times New Roman" w:cs="Times New Roman"/>
          <w:sz w:val="24"/>
          <w:szCs w:val="24"/>
        </w:rPr>
        <w:t xml:space="preserve">can help </w:t>
      </w:r>
      <w:r w:rsidR="003A1ADD">
        <w:rPr>
          <w:rFonts w:ascii="Times New Roman" w:hAnsi="Times New Roman" w:cs="Times New Roman"/>
          <w:sz w:val="24"/>
          <w:szCs w:val="24"/>
        </w:rPr>
        <w:t>the</w:t>
      </w:r>
      <w:r w:rsidR="0062770B">
        <w:rPr>
          <w:rFonts w:ascii="Times New Roman" w:hAnsi="Times New Roman" w:cs="Times New Roman"/>
          <w:sz w:val="24"/>
          <w:szCs w:val="24"/>
        </w:rPr>
        <w:t>m</w:t>
      </w:r>
      <w:r w:rsidR="003A1ADD">
        <w:rPr>
          <w:rFonts w:ascii="Times New Roman" w:hAnsi="Times New Roman" w:cs="Times New Roman"/>
          <w:sz w:val="24"/>
          <w:szCs w:val="24"/>
        </w:rPr>
        <w:t xml:space="preserve"> </w:t>
      </w:r>
      <w:r w:rsidRPr="004C20BC">
        <w:rPr>
          <w:rFonts w:ascii="Times New Roman" w:hAnsi="Times New Roman" w:cs="Times New Roman"/>
          <w:sz w:val="24"/>
          <w:szCs w:val="24"/>
        </w:rPr>
        <w:t xml:space="preserve">tailor the choice </w:t>
      </w:r>
      <w:r w:rsidR="00FC1CA9">
        <w:rPr>
          <w:rFonts w:ascii="Times New Roman" w:hAnsi="Times New Roman" w:cs="Times New Roman"/>
          <w:sz w:val="24"/>
          <w:szCs w:val="24"/>
        </w:rPr>
        <w:t xml:space="preserve">of </w:t>
      </w:r>
      <w:r w:rsidRPr="004C20BC">
        <w:rPr>
          <w:rFonts w:ascii="Times New Roman" w:hAnsi="Times New Roman" w:cs="Times New Roman"/>
          <w:sz w:val="24"/>
          <w:szCs w:val="24"/>
        </w:rPr>
        <w:t>the primer set to the goals of the study</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Not all primer sets work for all organisms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For example, some hypervariable regions are suitable for distinguishing between closely related species from the same genus, but other regions may have no differences between the two species</w:t>
      </w:r>
      <w:r w:rsidR="00C01665" w:rsidRPr="004C20BC">
        <w:rPr>
          <w:rFonts w:ascii="Times New Roman" w:hAnsi="Times New Roman" w:cs="Times New Roman"/>
          <w:sz w:val="24"/>
          <w:szCs w:val="24"/>
        </w:rPr>
        <w:t xml:space="preserve"> </w:t>
      </w:r>
      <w:r w:rsidR="003E6264" w:rsidRPr="004C20BC">
        <w:rPr>
          <w:rFonts w:ascii="Times New Roman" w:hAnsi="Times New Roman" w:cs="Times New Roman"/>
          <w:noProof/>
          <w:sz w:val="24"/>
          <w:szCs w:val="24"/>
        </w:rPr>
        <w:t>(Ionescu et al., 2016)</w:t>
      </w:r>
      <w:r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C134F">
        <w:rPr>
          <w:rFonts w:ascii="Times New Roman" w:hAnsi="Times New Roman" w:cs="Times New Roman"/>
          <w:sz w:val="24"/>
          <w:szCs w:val="24"/>
        </w:rPr>
        <w:t>Clearly</w:t>
      </w:r>
      <w:r w:rsidR="00175CFF" w:rsidRPr="004C20BC">
        <w:rPr>
          <w:rFonts w:ascii="Times New Roman" w:hAnsi="Times New Roman" w:cs="Times New Roman"/>
          <w:sz w:val="24"/>
          <w:szCs w:val="24"/>
        </w:rPr>
        <w:t xml:space="preserve">, the ideal universal primers should match the </w:t>
      </w:r>
      <w:r w:rsidR="00313B32">
        <w:rPr>
          <w:rFonts w:ascii="Times New Roman" w:hAnsi="Times New Roman" w:cs="Times New Roman"/>
          <w:sz w:val="24"/>
          <w:szCs w:val="24"/>
        </w:rPr>
        <w:t xml:space="preserve">rRNA </w:t>
      </w:r>
      <w:r w:rsidR="00175CFF" w:rsidRPr="004C20BC">
        <w:rPr>
          <w:rFonts w:ascii="Times New Roman" w:hAnsi="Times New Roman" w:cs="Times New Roman"/>
          <w:sz w:val="24"/>
          <w:szCs w:val="24"/>
        </w:rPr>
        <w:t xml:space="preserve">genes of all </w:t>
      </w:r>
      <w:r w:rsidR="00C93CCD" w:rsidRPr="004C20BC">
        <w:rPr>
          <w:rFonts w:ascii="Times New Roman" w:hAnsi="Times New Roman" w:cs="Times New Roman"/>
          <w:sz w:val="24"/>
          <w:szCs w:val="24"/>
        </w:rPr>
        <w:t>organisms and</w:t>
      </w:r>
      <w:r w:rsidR="00175CFF" w:rsidRPr="004C20BC">
        <w:rPr>
          <w:rFonts w:ascii="Times New Roman" w:hAnsi="Times New Roman" w:cs="Times New Roman"/>
          <w:sz w:val="24"/>
          <w:szCs w:val="24"/>
        </w:rPr>
        <w:t xml:space="preserve"> amplify one or more hypervariable regions of the 16S rRNA gene to </w:t>
      </w:r>
      <w:r w:rsidR="00412644">
        <w:rPr>
          <w:rFonts w:ascii="Times New Roman" w:hAnsi="Times New Roman" w:cs="Times New Roman"/>
          <w:sz w:val="24"/>
          <w:szCs w:val="24"/>
        </w:rPr>
        <w:t xml:space="preserve">accurately </w:t>
      </w:r>
      <w:r w:rsidR="00175CFF" w:rsidRPr="004C20BC">
        <w:rPr>
          <w:rFonts w:ascii="Times New Roman" w:hAnsi="Times New Roman" w:cs="Times New Roman"/>
          <w:sz w:val="24"/>
          <w:szCs w:val="24"/>
        </w:rPr>
        <w:t>categorize known and unknown organisms</w:t>
      </w:r>
      <w:r w:rsidR="00313B32">
        <w:rPr>
          <w:rFonts w:ascii="Times New Roman" w:hAnsi="Times New Roman" w:cs="Times New Roman"/>
          <w:sz w:val="24"/>
          <w:szCs w:val="24"/>
        </w:rPr>
        <w:t xml:space="preserve">. No such perfect primer set exists, </w:t>
      </w:r>
      <w:r w:rsidR="00253FE8">
        <w:rPr>
          <w:rFonts w:ascii="Times New Roman" w:hAnsi="Times New Roman" w:cs="Times New Roman"/>
          <w:sz w:val="24"/>
          <w:szCs w:val="24"/>
        </w:rPr>
        <w:t xml:space="preserve">however, </w:t>
      </w:r>
      <w:r w:rsidR="00313B32">
        <w:rPr>
          <w:rFonts w:ascii="Times New Roman" w:hAnsi="Times New Roman" w:cs="Times New Roman"/>
          <w:sz w:val="24"/>
          <w:szCs w:val="24"/>
        </w:rPr>
        <w:t>and the choice of primers</w:t>
      </w:r>
      <w:r w:rsidR="007A292A" w:rsidRPr="004C20BC">
        <w:rPr>
          <w:rFonts w:ascii="Times New Roman" w:hAnsi="Times New Roman" w:cs="Times New Roman"/>
          <w:sz w:val="24"/>
          <w:szCs w:val="24"/>
        </w:rPr>
        <w:t xml:space="preserve"> </w:t>
      </w:r>
      <w:r w:rsidR="00175CFF" w:rsidRPr="004C20BC">
        <w:rPr>
          <w:rFonts w:ascii="Times New Roman" w:hAnsi="Times New Roman" w:cs="Times New Roman"/>
          <w:sz w:val="24"/>
          <w:szCs w:val="24"/>
        </w:rPr>
        <w:t xml:space="preserve">may need to be </w:t>
      </w:r>
      <w:r w:rsidR="00175CFF" w:rsidRPr="004C20BC">
        <w:rPr>
          <w:rFonts w:ascii="Times New Roman" w:hAnsi="Times New Roman" w:cs="Times New Roman"/>
          <w:sz w:val="24"/>
          <w:szCs w:val="24"/>
        </w:rPr>
        <w:lastRenderedPageBreak/>
        <w:t xml:space="preserve">adjusted </w:t>
      </w:r>
      <w:r w:rsidR="00313B32">
        <w:rPr>
          <w:rFonts w:ascii="Times New Roman" w:hAnsi="Times New Roman" w:cs="Times New Roman"/>
          <w:sz w:val="24"/>
          <w:szCs w:val="24"/>
        </w:rPr>
        <w:t>for each</w:t>
      </w:r>
      <w:r w:rsidR="00175CFF" w:rsidRPr="004C20BC">
        <w:rPr>
          <w:rFonts w:ascii="Times New Roman" w:hAnsi="Times New Roman" w:cs="Times New Roman"/>
          <w:sz w:val="24"/>
          <w:szCs w:val="24"/>
        </w:rPr>
        <w:t xml:space="preserve"> microbiome study</w:t>
      </w:r>
      <w:r w:rsidR="00313B32">
        <w:rPr>
          <w:rFonts w:ascii="Times New Roman" w:hAnsi="Times New Roman" w:cs="Times New Roman"/>
          <w:sz w:val="24"/>
          <w:szCs w:val="24"/>
        </w:rPr>
        <w:t xml:space="preserve"> based on the goals of the study and the specific genera of interest</w:t>
      </w:r>
      <w:r w:rsidR="00175CFF" w:rsidRPr="004C20BC">
        <w:rPr>
          <w:rFonts w:ascii="Times New Roman" w:hAnsi="Times New Roman" w:cs="Times New Roman"/>
          <w:sz w:val="24"/>
          <w:szCs w:val="24"/>
        </w:rPr>
        <w:t xml:space="preserve"> </w:t>
      </w:r>
      <w:r w:rsidR="00954345">
        <w:rPr>
          <w:rFonts w:ascii="Times New Roman" w:hAnsi="Times New Roman" w:cs="Times New Roman"/>
          <w:noProof/>
          <w:sz w:val="24"/>
          <w:szCs w:val="24"/>
        </w:rPr>
        <w:t>(Kuczynski et al., 2011)</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After amplification and sequencing, the sequences in the variable regions of the 16S rRNA gene are used as genetic fingerprints to identify bacteria </w:t>
      </w:r>
      <w:r w:rsidR="00AD44E2">
        <w:rPr>
          <w:rFonts w:ascii="Times New Roman" w:hAnsi="Times New Roman" w:cs="Times New Roman"/>
          <w:sz w:val="24"/>
          <w:szCs w:val="24"/>
        </w:rPr>
        <w:t>by</w:t>
      </w:r>
      <w:r w:rsidR="00AD44E2" w:rsidRPr="004C20BC">
        <w:rPr>
          <w:rFonts w:ascii="Times New Roman" w:hAnsi="Times New Roman" w:cs="Times New Roman"/>
          <w:sz w:val="24"/>
          <w:szCs w:val="24"/>
        </w:rPr>
        <w:t xml:space="preserve"> </w:t>
      </w:r>
      <w:r w:rsidRPr="004C20BC">
        <w:rPr>
          <w:rFonts w:ascii="Times New Roman" w:hAnsi="Times New Roman" w:cs="Times New Roman"/>
          <w:sz w:val="24"/>
          <w:szCs w:val="24"/>
        </w:rPr>
        <w:t>phylum to species</w:t>
      </w:r>
      <w:r w:rsidR="00313B32">
        <w:rPr>
          <w:rFonts w:ascii="Times New Roman" w:hAnsi="Times New Roman" w:cs="Times New Roman"/>
          <w:sz w:val="24"/>
          <w:szCs w:val="24"/>
        </w:rPr>
        <w:t xml:space="preserve"> and below</w:t>
      </w:r>
      <w:r w:rsidRPr="004C20BC">
        <w:rPr>
          <w:rFonts w:ascii="Times New Roman" w:hAnsi="Times New Roman" w:cs="Times New Roman"/>
          <w:sz w:val="24"/>
          <w:szCs w:val="24"/>
        </w:rPr>
        <w:t xml:space="preserve"> </w:t>
      </w:r>
      <w:r w:rsidRPr="004C20BC">
        <w:rPr>
          <w:rFonts w:ascii="Times New Roman" w:hAnsi="Times New Roman" w:cs="Times New Roman"/>
          <w:noProof/>
          <w:sz w:val="24"/>
          <w:szCs w:val="24"/>
        </w:rPr>
        <w:t>(Reyes-Lopez et al., 2003)</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3FF8B859" w14:textId="13AB25B3" w:rsidR="00E02AA3" w:rsidRDefault="00FC1CA9" w:rsidP="00967C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w:t>
      </w:r>
      <w:r w:rsidR="00592EE6" w:rsidRPr="004C20BC">
        <w:rPr>
          <w:rFonts w:ascii="Times New Roman" w:hAnsi="Times New Roman" w:cs="Times New Roman"/>
          <w:noProof/>
          <w:sz w:val="24"/>
          <w:szCs w:val="24"/>
        </w:rPr>
        <w:t>these NGS</w:t>
      </w:r>
      <w:r w:rsidR="00592EE6" w:rsidRPr="004C20BC">
        <w:rPr>
          <w:rFonts w:ascii="Times New Roman" w:hAnsi="Times New Roman" w:cs="Times New Roman"/>
          <w:sz w:val="24"/>
          <w:szCs w:val="24"/>
        </w:rPr>
        <w:t xml:space="preserve"> approaches</w:t>
      </w:r>
      <w:r w:rsidR="00313B32">
        <w:rPr>
          <w:rFonts w:ascii="Times New Roman" w:hAnsi="Times New Roman" w:cs="Times New Roman"/>
          <w:sz w:val="24"/>
          <w:szCs w:val="24"/>
        </w:rPr>
        <w:t xml:space="preserve"> to sequencing of the rRNA genes</w:t>
      </w:r>
      <w:r w:rsidR="00592EE6" w:rsidRPr="004C20BC">
        <w:rPr>
          <w:rFonts w:ascii="Times New Roman" w:hAnsi="Times New Roman" w:cs="Times New Roman"/>
          <w:sz w:val="24"/>
          <w:szCs w:val="24"/>
        </w:rPr>
        <w:t xml:space="preserve"> generate so many sequences</w:t>
      </w:r>
      <w:r w:rsidR="00313B32">
        <w:rPr>
          <w:rFonts w:ascii="Times New Roman" w:hAnsi="Times New Roman" w:cs="Times New Roman"/>
          <w:sz w:val="24"/>
          <w:szCs w:val="24"/>
        </w:rPr>
        <w:t xml:space="preserve"> (usually in the range of 1,000</w:t>
      </w:r>
      <w:r w:rsidR="00910C00">
        <w:rPr>
          <w:rFonts w:ascii="Times New Roman" w:hAnsi="Times New Roman" w:cs="Times New Roman"/>
          <w:sz w:val="24"/>
          <w:szCs w:val="24"/>
        </w:rPr>
        <w:t>–</w:t>
      </w:r>
      <w:r w:rsidR="00313B32">
        <w:rPr>
          <w:rFonts w:ascii="Times New Roman" w:hAnsi="Times New Roman" w:cs="Times New Roman"/>
          <w:sz w:val="24"/>
          <w:szCs w:val="24"/>
        </w:rPr>
        <w:t>100,000 sequences per sample</w:t>
      </w:r>
      <w:r w:rsidR="00910C00">
        <w:rPr>
          <w:rFonts w:ascii="Times New Roman" w:hAnsi="Times New Roman" w:cs="Times New Roman"/>
          <w:sz w:val="24"/>
          <w:szCs w:val="24"/>
        </w:rPr>
        <w:t>)</w:t>
      </w:r>
      <w:r w:rsidR="00592EE6" w:rsidRPr="004C20BC">
        <w:rPr>
          <w:rFonts w:ascii="Times New Roman" w:hAnsi="Times New Roman" w:cs="Times New Roman"/>
          <w:sz w:val="24"/>
          <w:szCs w:val="24"/>
        </w:rPr>
        <w:t xml:space="preserve">, </w:t>
      </w:r>
      <w:r w:rsidR="00910C00">
        <w:rPr>
          <w:rFonts w:ascii="Times New Roman" w:hAnsi="Times New Roman" w:cs="Times New Roman"/>
          <w:sz w:val="24"/>
          <w:szCs w:val="24"/>
        </w:rPr>
        <w:t xml:space="preserve">investigators employ </w:t>
      </w:r>
      <w:r w:rsidR="00910C00" w:rsidRPr="004C20BC">
        <w:rPr>
          <w:rFonts w:ascii="Times New Roman" w:hAnsi="Times New Roman" w:cs="Times New Roman"/>
          <w:sz w:val="24"/>
          <w:szCs w:val="24"/>
        </w:rPr>
        <w:t>data</w:t>
      </w:r>
      <w:r w:rsidR="00910C00">
        <w:rPr>
          <w:rFonts w:ascii="Times New Roman" w:hAnsi="Times New Roman" w:cs="Times New Roman"/>
          <w:sz w:val="24"/>
          <w:szCs w:val="24"/>
        </w:rPr>
        <w:t>-</w:t>
      </w:r>
      <w:r w:rsidR="00592EE6" w:rsidRPr="004C20BC">
        <w:rPr>
          <w:rFonts w:ascii="Times New Roman" w:hAnsi="Times New Roman" w:cs="Times New Roman"/>
          <w:sz w:val="24"/>
          <w:szCs w:val="24"/>
        </w:rPr>
        <w:t>reduction strategies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92EE6" w:rsidRPr="004C20BC">
        <w:rPr>
          <w:rFonts w:ascii="Times New Roman" w:hAnsi="Times New Roman" w:cs="Times New Roman"/>
          <w:sz w:val="24"/>
          <w:szCs w:val="24"/>
        </w:rPr>
        <w:t xml:space="preserve">One </w:t>
      </w:r>
      <w:r w:rsidR="00910C00" w:rsidRPr="004C20BC">
        <w:rPr>
          <w:rFonts w:ascii="Times New Roman" w:hAnsi="Times New Roman" w:cs="Times New Roman"/>
          <w:sz w:val="24"/>
          <w:szCs w:val="24"/>
        </w:rPr>
        <w:t>data</w:t>
      </w:r>
      <w:r w:rsidR="00910C00">
        <w:rPr>
          <w:rFonts w:ascii="Times New Roman" w:hAnsi="Times New Roman" w:cs="Times New Roman"/>
          <w:sz w:val="24"/>
          <w:szCs w:val="24"/>
        </w:rPr>
        <w:t>-</w:t>
      </w:r>
      <w:r w:rsidR="00592EE6" w:rsidRPr="004C20BC">
        <w:rPr>
          <w:rFonts w:ascii="Times New Roman" w:hAnsi="Times New Roman" w:cs="Times New Roman"/>
          <w:sz w:val="24"/>
          <w:szCs w:val="24"/>
        </w:rPr>
        <w:t>reduction strategy is to group highly similar sequences together for taxonomic identification</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92EE6" w:rsidRPr="004C20BC">
        <w:rPr>
          <w:rFonts w:ascii="Times New Roman" w:hAnsi="Times New Roman" w:cs="Times New Roman"/>
          <w:sz w:val="24"/>
          <w:szCs w:val="24"/>
        </w:rPr>
        <w:t>In many cases, sequences are grouped together at 97% similarity (</w:t>
      </w:r>
      <w:r w:rsidR="00592EE6" w:rsidRPr="00C14227">
        <w:rPr>
          <w:rFonts w:ascii="Times New Roman" w:hAnsi="Times New Roman" w:cs="Times New Roman"/>
          <w:sz w:val="24"/>
          <w:szCs w:val="24"/>
        </w:rPr>
        <w:t>i.e.,</w:t>
      </w:r>
      <w:r w:rsidR="00592EE6" w:rsidRPr="00A70AA9">
        <w:rPr>
          <w:rFonts w:ascii="Times New Roman" w:hAnsi="Times New Roman" w:cs="Times New Roman"/>
          <w:i/>
          <w:sz w:val="24"/>
          <w:szCs w:val="24"/>
        </w:rPr>
        <w:t xml:space="preserve"> </w:t>
      </w:r>
      <w:r w:rsidR="00592EE6" w:rsidRPr="004C20BC">
        <w:rPr>
          <w:rFonts w:ascii="Times New Roman" w:hAnsi="Times New Roman" w:cs="Times New Roman"/>
          <w:sz w:val="24"/>
          <w:szCs w:val="24"/>
        </w:rPr>
        <w:t>all sequences within a</w:t>
      </w:r>
      <w:r w:rsidR="00D7695A">
        <w:rPr>
          <w:rFonts w:ascii="Times New Roman" w:hAnsi="Times New Roman" w:cs="Times New Roman"/>
          <w:sz w:val="24"/>
          <w:szCs w:val="24"/>
        </w:rPr>
        <w:t>ny given</w:t>
      </w:r>
      <w:r w:rsidR="00592EE6" w:rsidRPr="004C20BC">
        <w:rPr>
          <w:rFonts w:ascii="Times New Roman" w:hAnsi="Times New Roman" w:cs="Times New Roman"/>
          <w:sz w:val="24"/>
          <w:szCs w:val="24"/>
        </w:rPr>
        <w:t xml:space="preserve"> group are at least 97% similar to every other sequence in the group)</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92EE6" w:rsidRPr="004C20BC">
        <w:rPr>
          <w:rFonts w:ascii="Times New Roman" w:hAnsi="Times New Roman" w:cs="Times New Roman"/>
          <w:sz w:val="24"/>
          <w:szCs w:val="24"/>
        </w:rPr>
        <w:t xml:space="preserve">These groups of similar sequences are called operational taxonomic units (OTUs) and have been used as a proxy for microbial </w:t>
      </w:r>
      <w:r w:rsidR="00E02AA3">
        <w:rPr>
          <w:rFonts w:ascii="Times New Roman" w:hAnsi="Times New Roman" w:cs="Times New Roman"/>
          <w:sz w:val="24"/>
          <w:szCs w:val="24"/>
        </w:rPr>
        <w:t>"</w:t>
      </w:r>
      <w:r w:rsidR="00592EE6" w:rsidRPr="004C20BC">
        <w:rPr>
          <w:rFonts w:ascii="Times New Roman" w:hAnsi="Times New Roman" w:cs="Times New Roman"/>
          <w:sz w:val="24"/>
          <w:szCs w:val="24"/>
        </w:rPr>
        <w:t>species</w:t>
      </w:r>
      <w:r w:rsidR="00427100" w:rsidRPr="004C20BC">
        <w:rPr>
          <w:rFonts w:ascii="Times New Roman" w:hAnsi="Times New Roman" w:cs="Times New Roman"/>
          <w:sz w:val="24"/>
          <w:szCs w:val="24"/>
        </w:rPr>
        <w:t>.</w:t>
      </w:r>
      <w:r w:rsidR="00E02AA3">
        <w:rPr>
          <w:rFonts w:ascii="Times New Roman" w:hAnsi="Times New Roman" w:cs="Times New Roman"/>
          <w:sz w:val="24"/>
          <w:szCs w:val="24"/>
        </w:rPr>
        <w:t>"</w:t>
      </w:r>
      <w:r w:rsidR="003F14B1">
        <w:rPr>
          <w:rFonts w:ascii="Times New Roman" w:hAnsi="Times New Roman" w:cs="Times New Roman"/>
          <w:sz w:val="24"/>
          <w:szCs w:val="24"/>
        </w:rPr>
        <w:t xml:space="preserve"> </w:t>
      </w:r>
      <w:r w:rsidR="00175CFF" w:rsidRPr="004C20BC">
        <w:rPr>
          <w:rFonts w:ascii="Times New Roman" w:hAnsi="Times New Roman" w:cs="Times New Roman"/>
          <w:sz w:val="24"/>
          <w:szCs w:val="24"/>
        </w:rPr>
        <w:t>This clustering approach is a</w:t>
      </w:r>
      <w:r w:rsidR="006A3C0F">
        <w:rPr>
          <w:rFonts w:ascii="Times New Roman" w:hAnsi="Times New Roman" w:cs="Times New Roman"/>
          <w:sz w:val="24"/>
          <w:szCs w:val="24"/>
        </w:rPr>
        <w:t>n</w:t>
      </w:r>
      <w:r w:rsidR="00175CFF" w:rsidRPr="004C20BC">
        <w:rPr>
          <w:rFonts w:ascii="Times New Roman" w:hAnsi="Times New Roman" w:cs="Times New Roman"/>
          <w:sz w:val="24"/>
          <w:szCs w:val="24"/>
        </w:rPr>
        <w:t xml:space="preserve"> informatics strategy only</w:t>
      </w:r>
      <w:r w:rsidR="006A3C0F">
        <w:rPr>
          <w:rFonts w:ascii="Times New Roman" w:hAnsi="Times New Roman" w:cs="Times New Roman"/>
          <w:sz w:val="24"/>
          <w:szCs w:val="24"/>
        </w:rPr>
        <w:t>,</w:t>
      </w:r>
      <w:r w:rsidR="00175CFF" w:rsidRPr="004C20BC">
        <w:rPr>
          <w:rFonts w:ascii="Times New Roman" w:hAnsi="Times New Roman" w:cs="Times New Roman"/>
          <w:sz w:val="24"/>
          <w:szCs w:val="24"/>
        </w:rPr>
        <w:t xml:space="preserve"> and </w:t>
      </w:r>
      <w:r w:rsidR="006A3C0F">
        <w:rPr>
          <w:rFonts w:ascii="Times New Roman" w:hAnsi="Times New Roman" w:cs="Times New Roman"/>
          <w:sz w:val="24"/>
          <w:szCs w:val="24"/>
        </w:rPr>
        <w:t xml:space="preserve">the clustering does not depend on any </w:t>
      </w:r>
      <w:r w:rsidR="00CE4D38">
        <w:rPr>
          <w:rFonts w:ascii="Times New Roman" w:hAnsi="Times New Roman" w:cs="Times New Roman"/>
          <w:sz w:val="24"/>
          <w:szCs w:val="24"/>
        </w:rPr>
        <w:t xml:space="preserve">external </w:t>
      </w:r>
      <w:r w:rsidR="00CE4D38" w:rsidRPr="004C20BC">
        <w:rPr>
          <w:rFonts w:ascii="Times New Roman" w:hAnsi="Times New Roman" w:cs="Times New Roman"/>
          <w:sz w:val="24"/>
          <w:szCs w:val="24"/>
        </w:rPr>
        <w:t>biological</w:t>
      </w:r>
      <w:r w:rsidR="00175CFF" w:rsidRPr="004C20BC">
        <w:rPr>
          <w:rFonts w:ascii="Times New Roman" w:hAnsi="Times New Roman" w:cs="Times New Roman"/>
          <w:sz w:val="24"/>
          <w:szCs w:val="24"/>
        </w:rPr>
        <w:t xml:space="preserve"> information</w:t>
      </w:r>
      <w:r w:rsidR="00427100" w:rsidRPr="004C20BC">
        <w:rPr>
          <w:rFonts w:ascii="Times New Roman" w:hAnsi="Times New Roman" w:cs="Times New Roman"/>
          <w:sz w:val="24"/>
          <w:szCs w:val="24"/>
        </w:rPr>
        <w:t>.</w:t>
      </w:r>
      <w:r w:rsidR="00D7695A">
        <w:rPr>
          <w:rFonts w:ascii="Times New Roman" w:hAnsi="Times New Roman" w:cs="Times New Roman"/>
          <w:sz w:val="24"/>
          <w:szCs w:val="24"/>
        </w:rPr>
        <w:t xml:space="preserve"> As a result, </w:t>
      </w:r>
      <w:r w:rsidR="00712CCD">
        <w:rPr>
          <w:rFonts w:ascii="Times New Roman" w:hAnsi="Times New Roman" w:cs="Times New Roman"/>
          <w:sz w:val="24"/>
          <w:szCs w:val="24"/>
        </w:rPr>
        <w:t xml:space="preserve">by </w:t>
      </w:r>
      <w:r w:rsidR="00D7695A">
        <w:rPr>
          <w:rFonts w:ascii="Times New Roman" w:hAnsi="Times New Roman" w:cs="Times New Roman"/>
          <w:sz w:val="24"/>
          <w:szCs w:val="24"/>
        </w:rPr>
        <w:t>using this method, it is possible to group sequences from distinct taxa into a single OTU as well as to split sequences from a single taxon into multiple OTUs</w:t>
      </w:r>
      <w:r w:rsidR="00CF37B0">
        <w:rPr>
          <w:rFonts w:ascii="Times New Roman" w:hAnsi="Times New Roman" w:cs="Times New Roman"/>
          <w:sz w:val="24"/>
          <w:szCs w:val="24"/>
        </w:rPr>
        <w:t xml:space="preserve">. </w:t>
      </w:r>
      <w:r w:rsidR="00712CCD">
        <w:rPr>
          <w:rFonts w:ascii="Times New Roman" w:hAnsi="Times New Roman" w:cs="Times New Roman"/>
          <w:sz w:val="24"/>
          <w:szCs w:val="24"/>
        </w:rPr>
        <w:t>Researchers have developed s</w:t>
      </w:r>
      <w:r w:rsidR="00D7695A">
        <w:rPr>
          <w:rFonts w:ascii="Times New Roman" w:hAnsi="Times New Roman" w:cs="Times New Roman"/>
          <w:sz w:val="24"/>
          <w:szCs w:val="24"/>
        </w:rPr>
        <w:t xml:space="preserve">olutions </w:t>
      </w:r>
      <w:r w:rsidR="00325D48">
        <w:rPr>
          <w:rFonts w:ascii="Times New Roman" w:hAnsi="Times New Roman" w:cs="Times New Roman"/>
          <w:sz w:val="24"/>
          <w:szCs w:val="24"/>
        </w:rPr>
        <w:t xml:space="preserve">to </w:t>
      </w:r>
      <w:r w:rsidR="000D261C">
        <w:rPr>
          <w:rFonts w:ascii="Times New Roman" w:hAnsi="Times New Roman" w:cs="Times New Roman"/>
          <w:sz w:val="24"/>
          <w:szCs w:val="24"/>
        </w:rPr>
        <w:t>control for the ambiguity of using</w:t>
      </w:r>
      <w:r w:rsidR="00325D48">
        <w:rPr>
          <w:rFonts w:ascii="Times New Roman" w:hAnsi="Times New Roman" w:cs="Times New Roman"/>
          <w:sz w:val="24"/>
          <w:szCs w:val="24"/>
        </w:rPr>
        <w:t xml:space="preserve"> representative DNA sequences as a proxy for a </w:t>
      </w:r>
      <w:r w:rsidR="00776BAD">
        <w:rPr>
          <w:rFonts w:ascii="Times New Roman" w:hAnsi="Times New Roman" w:cs="Times New Roman"/>
          <w:sz w:val="24"/>
          <w:szCs w:val="24"/>
        </w:rPr>
        <w:t>bacterial taxon</w:t>
      </w:r>
      <w:r w:rsidR="00325D48">
        <w:rPr>
          <w:rFonts w:ascii="Times New Roman" w:hAnsi="Times New Roman" w:cs="Times New Roman"/>
          <w:sz w:val="24"/>
          <w:szCs w:val="24"/>
        </w:rPr>
        <w:t xml:space="preserve"> </w:t>
      </w:r>
      <w:r w:rsidR="003E6264" w:rsidRPr="004C20BC">
        <w:rPr>
          <w:rFonts w:ascii="Times New Roman" w:hAnsi="Times New Roman" w:cs="Times New Roman"/>
          <w:noProof/>
          <w:sz w:val="24"/>
          <w:szCs w:val="24"/>
        </w:rPr>
        <w:t>(Callahan et al., 2016)</w:t>
      </w:r>
      <w:r w:rsidR="003E6264" w:rsidRPr="004C20BC">
        <w:rPr>
          <w:rFonts w:ascii="Times New Roman" w:hAnsi="Times New Roman" w:cs="Times New Roman"/>
          <w:sz w:val="24"/>
          <w:szCs w:val="24"/>
        </w:rPr>
        <w:t>,</w:t>
      </w:r>
      <w:r w:rsidR="00592EE6" w:rsidRPr="004C20BC">
        <w:rPr>
          <w:rFonts w:ascii="Times New Roman" w:hAnsi="Times New Roman" w:cs="Times New Roman"/>
          <w:sz w:val="24"/>
          <w:szCs w:val="24"/>
        </w:rPr>
        <w:t xml:space="preserve"> </w:t>
      </w:r>
      <w:r w:rsidR="00712CCD">
        <w:rPr>
          <w:rFonts w:ascii="Times New Roman" w:hAnsi="Times New Roman" w:cs="Times New Roman"/>
          <w:sz w:val="24"/>
          <w:szCs w:val="24"/>
        </w:rPr>
        <w:t xml:space="preserve">but </w:t>
      </w:r>
      <w:r w:rsidR="00592EE6" w:rsidRPr="004C20BC">
        <w:rPr>
          <w:rFonts w:ascii="Times New Roman" w:hAnsi="Times New Roman" w:cs="Times New Roman"/>
          <w:sz w:val="24"/>
          <w:szCs w:val="24"/>
        </w:rPr>
        <w:t>a full discussion is beyond the scope of this work</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14DC2FB8" w14:textId="7D167738" w:rsidR="00592EE6" w:rsidRPr="004C20BC" w:rsidRDefault="00592EE6" w:rsidP="00967C61">
      <w:pPr>
        <w:spacing w:line="480" w:lineRule="auto"/>
        <w:ind w:firstLine="720"/>
        <w:rPr>
          <w:rFonts w:ascii="Times New Roman" w:hAnsi="Times New Roman" w:cs="Times New Roman"/>
          <w:sz w:val="24"/>
          <w:szCs w:val="24"/>
        </w:rPr>
      </w:pPr>
      <w:r w:rsidRPr="004C20BC">
        <w:rPr>
          <w:rFonts w:ascii="Times New Roman" w:hAnsi="Times New Roman" w:cs="Times New Roman"/>
          <w:sz w:val="24"/>
          <w:szCs w:val="24"/>
        </w:rPr>
        <w:t xml:space="preserve">After </w:t>
      </w:r>
      <w:r w:rsidR="002F2D4C">
        <w:rPr>
          <w:rFonts w:ascii="Times New Roman" w:hAnsi="Times New Roman" w:cs="Times New Roman"/>
          <w:sz w:val="24"/>
          <w:szCs w:val="24"/>
        </w:rPr>
        <w:t xml:space="preserve">clustering </w:t>
      </w:r>
      <w:r w:rsidRPr="004C20BC">
        <w:rPr>
          <w:rFonts w:ascii="Times New Roman" w:hAnsi="Times New Roman" w:cs="Times New Roman"/>
          <w:sz w:val="24"/>
          <w:szCs w:val="24"/>
        </w:rPr>
        <w:t xml:space="preserve">sequences into OTUs, </w:t>
      </w:r>
      <w:r w:rsidR="002F2D4C">
        <w:rPr>
          <w:rFonts w:ascii="Times New Roman" w:hAnsi="Times New Roman" w:cs="Times New Roman"/>
          <w:sz w:val="24"/>
          <w:szCs w:val="24"/>
        </w:rPr>
        <w:t xml:space="preserve">the researcher selects </w:t>
      </w:r>
      <w:r w:rsidRPr="004C20BC">
        <w:rPr>
          <w:rFonts w:ascii="Times New Roman" w:hAnsi="Times New Roman" w:cs="Times New Roman"/>
          <w:sz w:val="24"/>
          <w:szCs w:val="24"/>
        </w:rPr>
        <w:t xml:space="preserve">a representative sequence from each OTU for annotation and </w:t>
      </w:r>
      <w:r w:rsidR="002F2D4C">
        <w:rPr>
          <w:rFonts w:ascii="Times New Roman" w:hAnsi="Times New Roman" w:cs="Times New Roman"/>
          <w:sz w:val="24"/>
          <w:szCs w:val="24"/>
        </w:rPr>
        <w:t>then assigns this</w:t>
      </w:r>
      <w:r w:rsidR="002F2D4C" w:rsidRPr="004C20BC">
        <w:rPr>
          <w:rFonts w:ascii="Times New Roman" w:hAnsi="Times New Roman" w:cs="Times New Roman"/>
          <w:sz w:val="24"/>
          <w:szCs w:val="24"/>
        </w:rPr>
        <w:t xml:space="preserve"> </w:t>
      </w:r>
      <w:r w:rsidRPr="004C20BC">
        <w:rPr>
          <w:rFonts w:ascii="Times New Roman" w:hAnsi="Times New Roman" w:cs="Times New Roman"/>
          <w:sz w:val="24"/>
          <w:szCs w:val="24"/>
        </w:rPr>
        <w:t>annotation to all the sequences in the OTU</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One common mechanism for annotation is to identify the sequences </w:t>
      </w:r>
      <w:r w:rsidR="002F2D4C">
        <w:rPr>
          <w:rFonts w:ascii="Times New Roman" w:hAnsi="Times New Roman" w:cs="Times New Roman"/>
          <w:sz w:val="24"/>
          <w:szCs w:val="24"/>
        </w:rPr>
        <w:t xml:space="preserve">that are most closely related </w:t>
      </w:r>
      <w:r w:rsidRPr="004C20BC">
        <w:rPr>
          <w:rFonts w:ascii="Times New Roman" w:hAnsi="Times New Roman" w:cs="Times New Roman"/>
          <w:sz w:val="24"/>
          <w:szCs w:val="24"/>
        </w:rPr>
        <w:t xml:space="preserve">to the representative </w:t>
      </w:r>
      <w:r w:rsidRPr="004C20BC">
        <w:rPr>
          <w:rFonts w:ascii="Times New Roman" w:hAnsi="Times New Roman" w:cs="Times New Roman"/>
          <w:noProof/>
          <w:sz w:val="24"/>
          <w:szCs w:val="24"/>
        </w:rPr>
        <w:t>sequence</w:t>
      </w:r>
      <w:r w:rsidRPr="004C20BC">
        <w:rPr>
          <w:rFonts w:ascii="Times New Roman" w:hAnsi="Times New Roman" w:cs="Times New Roman"/>
          <w:sz w:val="24"/>
          <w:szCs w:val="24"/>
        </w:rPr>
        <w:t xml:space="preserve"> and use the taxonomic information from </w:t>
      </w:r>
      <w:r w:rsidR="002F2D4C">
        <w:rPr>
          <w:rFonts w:ascii="Times New Roman" w:hAnsi="Times New Roman" w:cs="Times New Roman"/>
          <w:sz w:val="24"/>
          <w:szCs w:val="24"/>
        </w:rPr>
        <w:t>those</w:t>
      </w:r>
      <w:r w:rsidR="00175CFF" w:rsidRPr="004C20BC">
        <w:rPr>
          <w:rFonts w:ascii="Times New Roman" w:hAnsi="Times New Roman" w:cs="Times New Roman"/>
          <w:sz w:val="24"/>
          <w:szCs w:val="24"/>
        </w:rPr>
        <w:t xml:space="preserve"> sequences to assign</w:t>
      </w:r>
      <w:r w:rsidRPr="004C20BC">
        <w:rPr>
          <w:rFonts w:ascii="Times New Roman" w:hAnsi="Times New Roman" w:cs="Times New Roman"/>
          <w:sz w:val="24"/>
          <w:szCs w:val="24"/>
        </w:rPr>
        <w:t xml:space="preserve"> taxonomy to the unknown OTU</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For this</w:t>
      </w:r>
      <w:r w:rsidR="002F2D4C">
        <w:rPr>
          <w:rFonts w:ascii="Times New Roman" w:hAnsi="Times New Roman" w:cs="Times New Roman"/>
          <w:sz w:val="24"/>
          <w:szCs w:val="24"/>
        </w:rPr>
        <w:t xml:space="preserve"> technique</w:t>
      </w:r>
      <w:r w:rsidRPr="004C20BC">
        <w:rPr>
          <w:rFonts w:ascii="Times New Roman" w:hAnsi="Times New Roman" w:cs="Times New Roman"/>
          <w:sz w:val="24"/>
          <w:szCs w:val="24"/>
        </w:rPr>
        <w:t xml:space="preserve">, </w:t>
      </w:r>
      <w:r w:rsidR="002F2D4C">
        <w:rPr>
          <w:rFonts w:ascii="Times New Roman" w:hAnsi="Times New Roman" w:cs="Times New Roman"/>
          <w:sz w:val="24"/>
          <w:szCs w:val="24"/>
        </w:rPr>
        <w:t xml:space="preserve">investigators use </w:t>
      </w:r>
      <w:r w:rsidRPr="004C20BC">
        <w:rPr>
          <w:rFonts w:ascii="Times New Roman" w:hAnsi="Times New Roman" w:cs="Times New Roman"/>
          <w:sz w:val="24"/>
          <w:szCs w:val="24"/>
        </w:rPr>
        <w:t xml:space="preserve">16S rRNA gene sequence databases such as SILVA </w:t>
      </w:r>
      <w:r w:rsidRPr="004C20BC">
        <w:rPr>
          <w:rFonts w:ascii="Times New Roman" w:hAnsi="Times New Roman" w:cs="Times New Roman"/>
          <w:noProof/>
          <w:sz w:val="24"/>
          <w:szCs w:val="24"/>
        </w:rPr>
        <w:t>(Pruesse et al., 2007)</w:t>
      </w:r>
      <w:r w:rsidRPr="004C20BC">
        <w:rPr>
          <w:rFonts w:ascii="Times New Roman" w:hAnsi="Times New Roman" w:cs="Times New Roman"/>
          <w:sz w:val="24"/>
          <w:szCs w:val="24"/>
        </w:rPr>
        <w:t xml:space="preserve"> </w:t>
      </w:r>
      <w:r w:rsidR="00313B32">
        <w:rPr>
          <w:rFonts w:ascii="Times New Roman" w:hAnsi="Times New Roman" w:cs="Times New Roman"/>
          <w:sz w:val="24"/>
          <w:szCs w:val="24"/>
        </w:rPr>
        <w:t>or</w:t>
      </w:r>
      <w:r w:rsidR="00313B32" w:rsidRPr="004C20BC">
        <w:rPr>
          <w:rFonts w:ascii="Times New Roman" w:hAnsi="Times New Roman" w:cs="Times New Roman"/>
          <w:sz w:val="24"/>
          <w:szCs w:val="24"/>
        </w:rPr>
        <w:t xml:space="preserve"> </w:t>
      </w:r>
      <w:proofErr w:type="spellStart"/>
      <w:r w:rsidRPr="004C20BC">
        <w:rPr>
          <w:rFonts w:ascii="Times New Roman" w:hAnsi="Times New Roman" w:cs="Times New Roman"/>
          <w:sz w:val="24"/>
          <w:szCs w:val="24"/>
        </w:rPr>
        <w:t>Greengenes</w:t>
      </w:r>
      <w:proofErr w:type="spellEnd"/>
      <w:r w:rsidRPr="004C20BC">
        <w:rPr>
          <w:rFonts w:ascii="Times New Roman" w:hAnsi="Times New Roman" w:cs="Times New Roman"/>
          <w:sz w:val="24"/>
          <w:szCs w:val="24"/>
        </w:rPr>
        <w:t xml:space="preserve"> </w:t>
      </w:r>
      <w:r w:rsidRPr="004C20BC">
        <w:rPr>
          <w:rFonts w:ascii="Times New Roman" w:hAnsi="Times New Roman" w:cs="Times New Roman"/>
          <w:noProof/>
          <w:sz w:val="24"/>
          <w:szCs w:val="24"/>
        </w:rPr>
        <w:t>(DeSantis et al., 2006)</w:t>
      </w:r>
      <w:r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Two </w:t>
      </w:r>
      <w:r w:rsidRPr="004C20BC">
        <w:rPr>
          <w:rFonts w:ascii="Times New Roman" w:hAnsi="Times New Roman" w:cs="Times New Roman"/>
          <w:sz w:val="24"/>
          <w:szCs w:val="24"/>
        </w:rPr>
        <w:lastRenderedPageBreak/>
        <w:t>software packages for the analysis of large amplicon datasets are used extensively</w:t>
      </w:r>
      <w:r w:rsidR="00313B32">
        <w:rPr>
          <w:rFonts w:ascii="Times New Roman" w:hAnsi="Times New Roman" w:cs="Times New Roman"/>
          <w:sz w:val="24"/>
          <w:szCs w:val="24"/>
        </w:rPr>
        <w:t xml:space="preserve"> and process data from raw sequences to annotated and tabulated OTU data</w:t>
      </w:r>
      <w:r w:rsidR="0064319D">
        <w:rPr>
          <w:rFonts w:ascii="Times New Roman" w:hAnsi="Times New Roman" w:cs="Times New Roman"/>
          <w:sz w:val="24"/>
          <w:szCs w:val="24"/>
        </w:rPr>
        <w:t>:</w:t>
      </w:r>
      <w:r w:rsidR="00313B32">
        <w:rPr>
          <w:rFonts w:ascii="Times New Roman" w:hAnsi="Times New Roman" w:cs="Times New Roman"/>
          <w:sz w:val="24"/>
          <w:szCs w:val="24"/>
        </w:rPr>
        <w:t xml:space="preserve"> </w:t>
      </w:r>
      <w:r w:rsidRPr="004C20BC">
        <w:rPr>
          <w:rFonts w:ascii="Times New Roman" w:hAnsi="Times New Roman" w:cs="Times New Roman"/>
          <w:sz w:val="24"/>
          <w:szCs w:val="24"/>
        </w:rPr>
        <w:t xml:space="preserve">QIIME </w:t>
      </w:r>
      <w:r w:rsidR="003E6264" w:rsidRPr="004C20BC">
        <w:rPr>
          <w:rFonts w:ascii="Times New Roman" w:hAnsi="Times New Roman" w:cs="Times New Roman"/>
          <w:noProof/>
          <w:sz w:val="24"/>
          <w:szCs w:val="24"/>
        </w:rPr>
        <w:t>(Caporaso et al., 2010)</w:t>
      </w:r>
      <w:r w:rsidR="003E6264" w:rsidRPr="004C20BC">
        <w:rPr>
          <w:rFonts w:ascii="Times New Roman" w:hAnsi="Times New Roman" w:cs="Times New Roman"/>
          <w:sz w:val="24"/>
          <w:szCs w:val="24"/>
        </w:rPr>
        <w:t xml:space="preserve"> </w:t>
      </w:r>
      <w:r w:rsidRPr="004C20BC">
        <w:rPr>
          <w:rFonts w:ascii="Times New Roman" w:hAnsi="Times New Roman" w:cs="Times New Roman"/>
          <w:sz w:val="24"/>
          <w:szCs w:val="24"/>
        </w:rPr>
        <w:t xml:space="preserve">and </w:t>
      </w:r>
      <w:r w:rsidR="00C91FE7">
        <w:rPr>
          <w:rFonts w:ascii="Times New Roman" w:hAnsi="Times New Roman" w:cs="Times New Roman"/>
          <w:noProof/>
          <w:sz w:val="24"/>
          <w:szCs w:val="24"/>
        </w:rPr>
        <w:t>m</w:t>
      </w:r>
      <w:r w:rsidRPr="004C20BC">
        <w:rPr>
          <w:rFonts w:ascii="Times New Roman" w:hAnsi="Times New Roman" w:cs="Times New Roman"/>
          <w:noProof/>
          <w:sz w:val="24"/>
          <w:szCs w:val="24"/>
        </w:rPr>
        <w:t>oth</w:t>
      </w:r>
      <w:r w:rsidR="002169D6" w:rsidRPr="004C20BC">
        <w:rPr>
          <w:rFonts w:ascii="Times New Roman" w:hAnsi="Times New Roman" w:cs="Times New Roman"/>
          <w:noProof/>
          <w:sz w:val="24"/>
          <w:szCs w:val="24"/>
        </w:rPr>
        <w:t>u</w:t>
      </w:r>
      <w:r w:rsidRPr="004C20BC">
        <w:rPr>
          <w:rFonts w:ascii="Times New Roman" w:hAnsi="Times New Roman" w:cs="Times New Roman"/>
          <w:noProof/>
          <w:sz w:val="24"/>
          <w:szCs w:val="24"/>
        </w:rPr>
        <w:t>r</w:t>
      </w:r>
      <w:r w:rsidRPr="004C20BC">
        <w:rPr>
          <w:rFonts w:ascii="Times New Roman" w:hAnsi="Times New Roman" w:cs="Times New Roman"/>
          <w:sz w:val="24"/>
          <w:szCs w:val="24"/>
        </w:rPr>
        <w:t xml:space="preserve"> </w:t>
      </w:r>
      <w:r w:rsidR="006A7468" w:rsidRPr="004C20BC">
        <w:rPr>
          <w:rFonts w:ascii="Times New Roman" w:hAnsi="Times New Roman" w:cs="Times New Roman"/>
          <w:noProof/>
          <w:sz w:val="24"/>
          <w:szCs w:val="24"/>
        </w:rPr>
        <w:t>(Schloss et al., 2009)</w:t>
      </w:r>
      <w:r w:rsidR="003E6264"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2B03BE0D" w14:textId="14F04D1F" w:rsidR="00E1498E" w:rsidRDefault="00592EE6" w:rsidP="00C93CCD">
      <w:pPr>
        <w:spacing w:line="480" w:lineRule="auto"/>
        <w:ind w:firstLine="720"/>
        <w:rPr>
          <w:rFonts w:ascii="Times New Roman" w:hAnsi="Times New Roman" w:cs="Times New Roman"/>
          <w:b/>
          <w:sz w:val="24"/>
          <w:szCs w:val="24"/>
        </w:rPr>
      </w:pPr>
      <w:r w:rsidRPr="004C20BC">
        <w:rPr>
          <w:rFonts w:ascii="Times New Roman" w:hAnsi="Times New Roman" w:cs="Times New Roman"/>
          <w:sz w:val="24"/>
          <w:szCs w:val="24"/>
        </w:rPr>
        <w:t>Overall, the 16S rRNA gene amplicon sequencing approach has both beneficial and detrimental features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The beneficial features include</w:t>
      </w:r>
      <w:r w:rsidR="00BB28DD">
        <w:rPr>
          <w:rFonts w:ascii="Times New Roman" w:hAnsi="Times New Roman" w:cs="Times New Roman"/>
          <w:sz w:val="24"/>
          <w:szCs w:val="24"/>
        </w:rPr>
        <w:t xml:space="preserve"> </w:t>
      </w:r>
      <w:r w:rsidRPr="004C20BC">
        <w:rPr>
          <w:rFonts w:ascii="Times New Roman" w:hAnsi="Times New Roman" w:cs="Times New Roman"/>
          <w:sz w:val="24"/>
          <w:szCs w:val="24"/>
        </w:rPr>
        <w:t>a) highly robust PCR amplification, allowing the use of low amounts of DNA input; b) a universal gene present in all organisms; c) established bioinformatics pipelines</w:t>
      </w:r>
      <w:r w:rsidR="00940543" w:rsidRPr="004C20BC">
        <w:rPr>
          <w:rFonts w:ascii="Times New Roman" w:hAnsi="Times New Roman" w:cs="Times New Roman"/>
          <w:noProof/>
          <w:sz w:val="24"/>
          <w:szCs w:val="24"/>
        </w:rPr>
        <w:t>;</w:t>
      </w:r>
      <w:r w:rsidRPr="004C20BC">
        <w:rPr>
          <w:rFonts w:ascii="Times New Roman" w:hAnsi="Times New Roman" w:cs="Times New Roman"/>
          <w:noProof/>
          <w:sz w:val="24"/>
          <w:szCs w:val="24"/>
        </w:rPr>
        <w:t xml:space="preserve"> and</w:t>
      </w:r>
      <w:r w:rsidRPr="004C20BC">
        <w:rPr>
          <w:rFonts w:ascii="Times New Roman" w:hAnsi="Times New Roman" w:cs="Times New Roman"/>
          <w:sz w:val="24"/>
          <w:szCs w:val="24"/>
        </w:rPr>
        <w:t xml:space="preserve"> d) data amenable to straightforward statistical analysis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Conversely, the detrimental features include a) the use of PCR, which is dependent on </w:t>
      </w:r>
      <w:r w:rsidRPr="00FE0E38">
        <w:rPr>
          <w:rFonts w:ascii="Times New Roman" w:hAnsi="Times New Roman" w:cs="Times New Roman"/>
          <w:sz w:val="24"/>
          <w:szCs w:val="24"/>
        </w:rPr>
        <w:t>a priori</w:t>
      </w:r>
      <w:r w:rsidRPr="004C20BC">
        <w:rPr>
          <w:rFonts w:ascii="Times New Roman" w:hAnsi="Times New Roman" w:cs="Times New Roman"/>
          <w:sz w:val="24"/>
          <w:szCs w:val="24"/>
        </w:rPr>
        <w:t xml:space="preserve"> knowledge for primer design and can introduce substantial bias </w:t>
      </w:r>
      <w:r w:rsidR="00954345">
        <w:rPr>
          <w:rFonts w:ascii="Times New Roman" w:hAnsi="Times New Roman" w:cs="Times New Roman"/>
          <w:noProof/>
          <w:sz w:val="24"/>
          <w:szCs w:val="24"/>
        </w:rPr>
        <w:t>(Green, Venkatramanan, &amp; Naqib, 2015)</w:t>
      </w:r>
      <w:r w:rsidR="00E02AA3">
        <w:rPr>
          <w:rFonts w:ascii="Times New Roman" w:hAnsi="Times New Roman" w:cs="Times New Roman"/>
          <w:sz w:val="24"/>
          <w:szCs w:val="24"/>
        </w:rPr>
        <w:t>;</w:t>
      </w:r>
      <w:r w:rsidRPr="004C20BC">
        <w:rPr>
          <w:rFonts w:ascii="Times New Roman" w:hAnsi="Times New Roman" w:cs="Times New Roman"/>
          <w:sz w:val="24"/>
          <w:szCs w:val="24"/>
        </w:rPr>
        <w:t xml:space="preserve"> b) </w:t>
      </w:r>
      <w:r w:rsidR="00175CFF" w:rsidRPr="004C20BC">
        <w:rPr>
          <w:rFonts w:ascii="Times New Roman" w:hAnsi="Times New Roman" w:cs="Times New Roman"/>
          <w:sz w:val="24"/>
          <w:szCs w:val="24"/>
        </w:rPr>
        <w:t xml:space="preserve">poor and inconsistent resolution at the taxonomic level of genus and species </w:t>
      </w:r>
      <w:r w:rsidR="00C12F3D" w:rsidRPr="004C20BC">
        <w:rPr>
          <w:rFonts w:ascii="Times New Roman" w:hAnsi="Times New Roman" w:cs="Times New Roman"/>
          <w:noProof/>
          <w:sz w:val="24"/>
          <w:szCs w:val="24"/>
        </w:rPr>
        <w:t>(Zeigler, 2003)</w:t>
      </w:r>
      <w:r w:rsidR="00175CFF" w:rsidRPr="004C20BC">
        <w:rPr>
          <w:rFonts w:ascii="Times New Roman" w:hAnsi="Times New Roman" w:cs="Times New Roman"/>
          <w:sz w:val="24"/>
          <w:szCs w:val="24"/>
        </w:rPr>
        <w:t xml:space="preserve">; c) lack of information about the functional gene content of the identified organisms </w:t>
      </w:r>
      <w:r w:rsidR="00C12F3D" w:rsidRPr="004C20BC">
        <w:rPr>
          <w:rFonts w:ascii="Times New Roman" w:hAnsi="Times New Roman" w:cs="Times New Roman"/>
          <w:noProof/>
          <w:sz w:val="24"/>
          <w:szCs w:val="24"/>
        </w:rPr>
        <w:t xml:space="preserve">(see a possible solution to this issue </w:t>
      </w:r>
      <w:r w:rsidR="00B81560">
        <w:rPr>
          <w:rFonts w:ascii="Times New Roman" w:hAnsi="Times New Roman" w:cs="Times New Roman"/>
          <w:noProof/>
          <w:sz w:val="24"/>
          <w:szCs w:val="24"/>
        </w:rPr>
        <w:t>in</w:t>
      </w:r>
      <w:r w:rsidR="00C12F3D" w:rsidRPr="004C20BC">
        <w:rPr>
          <w:rFonts w:ascii="Times New Roman" w:hAnsi="Times New Roman" w:cs="Times New Roman"/>
          <w:noProof/>
          <w:sz w:val="24"/>
          <w:szCs w:val="24"/>
        </w:rPr>
        <w:t xml:space="preserve"> Langille et al., 2013)</w:t>
      </w:r>
      <w:r w:rsidR="00175CFF" w:rsidRPr="004C20BC">
        <w:rPr>
          <w:rFonts w:ascii="Times New Roman" w:hAnsi="Times New Roman" w:cs="Times New Roman"/>
          <w:sz w:val="24"/>
          <w:szCs w:val="24"/>
        </w:rPr>
        <w:t xml:space="preserve">; and d) limited capacity for </w:t>
      </w:r>
      <w:r w:rsidR="00AF041F">
        <w:rPr>
          <w:rFonts w:ascii="Times New Roman" w:hAnsi="Times New Roman" w:cs="Times New Roman"/>
          <w:sz w:val="24"/>
          <w:szCs w:val="24"/>
        </w:rPr>
        <w:t>multi</w:t>
      </w:r>
      <w:r w:rsidR="00175CFF" w:rsidRPr="004C20BC">
        <w:rPr>
          <w:rFonts w:ascii="Times New Roman" w:hAnsi="Times New Roman" w:cs="Times New Roman"/>
          <w:sz w:val="24"/>
          <w:szCs w:val="24"/>
        </w:rPr>
        <w:t>domain detection (</w:t>
      </w:r>
      <w:r w:rsidR="00175CFF" w:rsidRPr="00967C61">
        <w:rPr>
          <w:rFonts w:ascii="Times New Roman" w:hAnsi="Times New Roman" w:cs="Times New Roman"/>
          <w:sz w:val="24"/>
          <w:szCs w:val="24"/>
        </w:rPr>
        <w:t>i.e.</w:t>
      </w:r>
      <w:r w:rsidR="00175CFF" w:rsidRPr="004C20BC">
        <w:rPr>
          <w:rFonts w:ascii="Times New Roman" w:hAnsi="Times New Roman" w:cs="Times New Roman"/>
          <w:sz w:val="24"/>
          <w:szCs w:val="24"/>
        </w:rPr>
        <w:t xml:space="preserve">, </w:t>
      </w:r>
      <w:r w:rsidR="00AF041F">
        <w:rPr>
          <w:rFonts w:ascii="Times New Roman" w:hAnsi="Times New Roman" w:cs="Times New Roman"/>
          <w:sz w:val="24"/>
          <w:szCs w:val="24"/>
        </w:rPr>
        <w:t>b</w:t>
      </w:r>
      <w:r w:rsidR="00175CFF" w:rsidRPr="004C20BC">
        <w:rPr>
          <w:rFonts w:ascii="Times New Roman" w:hAnsi="Times New Roman" w:cs="Times New Roman"/>
          <w:sz w:val="24"/>
          <w:szCs w:val="24"/>
        </w:rPr>
        <w:t xml:space="preserve">acteria, </w:t>
      </w:r>
      <w:r w:rsidR="00AF041F">
        <w:rPr>
          <w:rFonts w:ascii="Times New Roman" w:hAnsi="Times New Roman" w:cs="Times New Roman"/>
          <w:sz w:val="24"/>
          <w:szCs w:val="24"/>
        </w:rPr>
        <w:t>a</w:t>
      </w:r>
      <w:r w:rsidR="00175CFF" w:rsidRPr="004C20BC">
        <w:rPr>
          <w:rFonts w:ascii="Times New Roman" w:hAnsi="Times New Roman" w:cs="Times New Roman"/>
          <w:sz w:val="24"/>
          <w:szCs w:val="24"/>
        </w:rPr>
        <w:t xml:space="preserve">rchaea, </w:t>
      </w:r>
      <w:proofErr w:type="spellStart"/>
      <w:r w:rsidR="00AF041F">
        <w:rPr>
          <w:rFonts w:ascii="Times New Roman" w:hAnsi="Times New Roman" w:cs="Times New Roman"/>
          <w:sz w:val="24"/>
          <w:szCs w:val="24"/>
        </w:rPr>
        <w:t>e</w:t>
      </w:r>
      <w:r w:rsidR="00175CFF" w:rsidRPr="004C20BC">
        <w:rPr>
          <w:rFonts w:ascii="Times New Roman" w:hAnsi="Times New Roman" w:cs="Times New Roman"/>
          <w:sz w:val="24"/>
          <w:szCs w:val="24"/>
        </w:rPr>
        <w:t>ukarya</w:t>
      </w:r>
      <w:proofErr w:type="spellEnd"/>
      <w:r w:rsidR="00175CFF" w:rsidRPr="004C20BC">
        <w:rPr>
          <w:rFonts w:ascii="Times New Roman" w:hAnsi="Times New Roman" w:cs="Times New Roman"/>
          <w:sz w:val="24"/>
          <w:szCs w:val="24"/>
        </w:rPr>
        <w:t>) within a single assay.</w:t>
      </w:r>
      <w:r w:rsidR="003F14B1">
        <w:rPr>
          <w:rFonts w:ascii="Times New Roman" w:hAnsi="Times New Roman" w:cs="Times New Roman"/>
          <w:sz w:val="24"/>
          <w:szCs w:val="24"/>
        </w:rPr>
        <w:t xml:space="preserve"> </w:t>
      </w:r>
      <w:r w:rsidR="00175CFF" w:rsidRPr="004C20BC">
        <w:rPr>
          <w:rFonts w:ascii="Times New Roman" w:hAnsi="Times New Roman" w:cs="Times New Roman"/>
          <w:sz w:val="24"/>
          <w:szCs w:val="24"/>
        </w:rPr>
        <w:t>These detrimental features have driven the development of shotgun sequencing approaches.</w:t>
      </w:r>
      <w:r w:rsidR="003F14B1">
        <w:rPr>
          <w:rFonts w:ascii="Times New Roman" w:hAnsi="Times New Roman" w:cs="Times New Roman"/>
          <w:sz w:val="24"/>
          <w:szCs w:val="24"/>
        </w:rPr>
        <w:t xml:space="preserve"> </w:t>
      </w:r>
    </w:p>
    <w:p w14:paraId="17E35194" w14:textId="2C734F11" w:rsidR="00592EE6" w:rsidRPr="004C20BC" w:rsidRDefault="00592EE6" w:rsidP="006624B2">
      <w:pPr>
        <w:spacing w:line="480" w:lineRule="auto"/>
        <w:ind w:firstLine="720"/>
        <w:outlineLvl w:val="0"/>
        <w:rPr>
          <w:rFonts w:ascii="Times New Roman" w:hAnsi="Times New Roman" w:cs="Times New Roman"/>
          <w:sz w:val="24"/>
          <w:szCs w:val="24"/>
        </w:rPr>
      </w:pPr>
      <w:r w:rsidRPr="004C20BC">
        <w:rPr>
          <w:rFonts w:ascii="Times New Roman" w:hAnsi="Times New Roman" w:cs="Times New Roman"/>
          <w:b/>
          <w:sz w:val="24"/>
          <w:szCs w:val="24"/>
        </w:rPr>
        <w:t xml:space="preserve">Shotgun </w:t>
      </w:r>
      <w:r w:rsidR="006624B2">
        <w:rPr>
          <w:rFonts w:ascii="Times New Roman" w:hAnsi="Times New Roman" w:cs="Times New Roman"/>
          <w:b/>
          <w:sz w:val="24"/>
          <w:szCs w:val="24"/>
        </w:rPr>
        <w:t>m</w:t>
      </w:r>
      <w:r w:rsidRPr="004C20BC">
        <w:rPr>
          <w:rFonts w:ascii="Times New Roman" w:hAnsi="Times New Roman" w:cs="Times New Roman"/>
          <w:b/>
          <w:sz w:val="24"/>
          <w:szCs w:val="24"/>
        </w:rPr>
        <w:t xml:space="preserve">etagenomics </w:t>
      </w:r>
      <w:r w:rsidR="006624B2">
        <w:rPr>
          <w:rFonts w:ascii="Times New Roman" w:hAnsi="Times New Roman" w:cs="Times New Roman"/>
          <w:b/>
          <w:sz w:val="24"/>
          <w:szCs w:val="24"/>
        </w:rPr>
        <w:t>s</w:t>
      </w:r>
      <w:r w:rsidRPr="004C20BC">
        <w:rPr>
          <w:rFonts w:ascii="Times New Roman" w:hAnsi="Times New Roman" w:cs="Times New Roman"/>
          <w:b/>
          <w:sz w:val="24"/>
          <w:szCs w:val="24"/>
        </w:rPr>
        <w:t>equencing</w:t>
      </w:r>
      <w:r w:rsidR="006624B2">
        <w:rPr>
          <w:rFonts w:ascii="Times New Roman" w:hAnsi="Times New Roman" w:cs="Times New Roman"/>
          <w:b/>
          <w:sz w:val="24"/>
          <w:szCs w:val="24"/>
        </w:rPr>
        <w:t xml:space="preserve">. </w:t>
      </w:r>
      <w:r w:rsidRPr="004C20BC">
        <w:rPr>
          <w:rFonts w:ascii="Times New Roman" w:hAnsi="Times New Roman" w:cs="Times New Roman"/>
          <w:sz w:val="24"/>
          <w:szCs w:val="24"/>
        </w:rPr>
        <w:t>Shotgun metagenom</w:t>
      </w:r>
      <w:r w:rsidR="00BB28DD">
        <w:rPr>
          <w:rFonts w:ascii="Times New Roman" w:hAnsi="Times New Roman" w:cs="Times New Roman"/>
          <w:sz w:val="24"/>
          <w:szCs w:val="24"/>
        </w:rPr>
        <w:t>ics</w:t>
      </w:r>
      <w:r w:rsidRPr="004C20BC">
        <w:rPr>
          <w:rFonts w:ascii="Times New Roman" w:hAnsi="Times New Roman" w:cs="Times New Roman"/>
          <w:sz w:val="24"/>
          <w:szCs w:val="24"/>
        </w:rPr>
        <w:t xml:space="preserve"> sequencing (SMS), or shotgun sequencing, is a more comprehensive technique that potentially allows </w:t>
      </w:r>
      <w:r w:rsidR="00175CFF" w:rsidRPr="004C20BC">
        <w:rPr>
          <w:rFonts w:ascii="Times New Roman" w:hAnsi="Times New Roman" w:cs="Times New Roman"/>
          <w:sz w:val="24"/>
          <w:szCs w:val="24"/>
        </w:rPr>
        <w:t xml:space="preserve">for </w:t>
      </w:r>
      <w:r w:rsidRPr="004C20BC">
        <w:rPr>
          <w:rFonts w:ascii="Times New Roman" w:hAnsi="Times New Roman" w:cs="Times New Roman"/>
          <w:sz w:val="24"/>
          <w:szCs w:val="24"/>
        </w:rPr>
        <w:t>sampling all genes from all organisms present in a given sample</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In addition to taxonomic information, as derived from 16S rRNA gene amplicon sequencing, shotgun sequencing provides sequence data from other genes, including so-called functional genes</w:t>
      </w:r>
      <w:r w:rsidR="00B33893">
        <w:rPr>
          <w:rFonts w:ascii="Times New Roman" w:hAnsi="Times New Roman" w:cs="Times New Roman"/>
          <w:sz w:val="24"/>
          <w:szCs w:val="24"/>
        </w:rPr>
        <w:t xml:space="preserve"> (</w:t>
      </w:r>
      <w:r w:rsidR="00B33893" w:rsidRPr="00C14227">
        <w:rPr>
          <w:rFonts w:ascii="Times New Roman" w:hAnsi="Times New Roman" w:cs="Times New Roman"/>
          <w:sz w:val="24"/>
          <w:szCs w:val="24"/>
        </w:rPr>
        <w:t>i.e.,</w:t>
      </w:r>
      <w:r w:rsidR="00B33893">
        <w:rPr>
          <w:rFonts w:ascii="Times New Roman" w:hAnsi="Times New Roman" w:cs="Times New Roman"/>
          <w:sz w:val="24"/>
          <w:szCs w:val="24"/>
        </w:rPr>
        <w:t xml:space="preserve"> not </w:t>
      </w:r>
      <w:r w:rsidR="00C83B62">
        <w:rPr>
          <w:rFonts w:ascii="Times New Roman" w:hAnsi="Times New Roman" w:cs="Times New Roman"/>
          <w:sz w:val="24"/>
          <w:szCs w:val="24"/>
        </w:rPr>
        <w:t>house</w:t>
      </w:r>
      <w:r w:rsidR="00B33893">
        <w:rPr>
          <w:rFonts w:ascii="Times New Roman" w:hAnsi="Times New Roman" w:cs="Times New Roman"/>
          <w:sz w:val="24"/>
          <w:szCs w:val="24"/>
        </w:rPr>
        <w:t>keeping genes)</w:t>
      </w:r>
      <w:r w:rsidRPr="004C20BC">
        <w:rPr>
          <w:rFonts w:ascii="Times New Roman" w:hAnsi="Times New Roman" w:cs="Times New Roman"/>
          <w:sz w:val="24"/>
          <w:szCs w:val="24"/>
        </w:rPr>
        <w:t xml:space="preserve"> that not all organisms have</w:t>
      </w:r>
      <w:r w:rsidR="00CF37B0">
        <w:rPr>
          <w:rFonts w:ascii="Times New Roman" w:hAnsi="Times New Roman" w:cs="Times New Roman"/>
          <w:sz w:val="24"/>
          <w:szCs w:val="24"/>
        </w:rPr>
        <w:t xml:space="preserve">. </w:t>
      </w:r>
      <w:r w:rsidR="00F40593" w:rsidRPr="004C20BC">
        <w:rPr>
          <w:rFonts w:ascii="Times New Roman" w:hAnsi="Times New Roman" w:cs="Times New Roman"/>
          <w:sz w:val="24"/>
          <w:szCs w:val="24"/>
        </w:rPr>
        <w:t>Function</w:t>
      </w:r>
      <w:r w:rsidR="00476ABF" w:rsidRPr="004C20BC">
        <w:rPr>
          <w:rFonts w:ascii="Times New Roman" w:hAnsi="Times New Roman" w:cs="Times New Roman"/>
          <w:sz w:val="24"/>
          <w:szCs w:val="24"/>
        </w:rPr>
        <w:t>al</w:t>
      </w:r>
      <w:r w:rsidR="00F40593" w:rsidRPr="004C20BC">
        <w:rPr>
          <w:rFonts w:ascii="Times New Roman" w:hAnsi="Times New Roman" w:cs="Times New Roman"/>
          <w:sz w:val="24"/>
          <w:szCs w:val="24"/>
        </w:rPr>
        <w:t xml:space="preserve"> </w:t>
      </w:r>
      <w:r w:rsidR="00476ABF" w:rsidRPr="004C20BC">
        <w:rPr>
          <w:rFonts w:ascii="Times New Roman" w:hAnsi="Times New Roman" w:cs="Times New Roman"/>
          <w:sz w:val="24"/>
          <w:szCs w:val="24"/>
        </w:rPr>
        <w:t>genes include</w:t>
      </w:r>
      <w:r w:rsidR="00B33893">
        <w:rPr>
          <w:rFonts w:ascii="Times New Roman" w:hAnsi="Times New Roman" w:cs="Times New Roman"/>
          <w:sz w:val="24"/>
          <w:szCs w:val="24"/>
        </w:rPr>
        <w:t>, but are not limited to,</w:t>
      </w:r>
      <w:r w:rsidRPr="004C20BC">
        <w:rPr>
          <w:rFonts w:ascii="Times New Roman" w:hAnsi="Times New Roman" w:cs="Times New Roman"/>
          <w:sz w:val="24"/>
          <w:szCs w:val="24"/>
        </w:rPr>
        <w:t xml:space="preserve"> </w:t>
      </w:r>
      <w:r w:rsidR="00B33893">
        <w:rPr>
          <w:rFonts w:ascii="Times New Roman" w:hAnsi="Times New Roman" w:cs="Times New Roman"/>
          <w:sz w:val="24"/>
          <w:szCs w:val="24"/>
        </w:rPr>
        <w:t>genes</w:t>
      </w:r>
      <w:r w:rsidRPr="004C20BC">
        <w:rPr>
          <w:rFonts w:ascii="Times New Roman" w:hAnsi="Times New Roman" w:cs="Times New Roman"/>
          <w:sz w:val="24"/>
          <w:szCs w:val="24"/>
        </w:rPr>
        <w:t xml:space="preserve"> in</w:t>
      </w:r>
      <w:r w:rsidR="00C83B62">
        <w:rPr>
          <w:rFonts w:ascii="Times New Roman" w:hAnsi="Times New Roman" w:cs="Times New Roman"/>
          <w:sz w:val="24"/>
          <w:szCs w:val="24"/>
        </w:rPr>
        <w:t>volved in</w:t>
      </w:r>
      <w:r w:rsidRPr="004C20BC">
        <w:rPr>
          <w:rFonts w:ascii="Times New Roman" w:hAnsi="Times New Roman" w:cs="Times New Roman"/>
          <w:sz w:val="24"/>
          <w:szCs w:val="24"/>
        </w:rPr>
        <w:t xml:space="preserve"> nutrient m</w:t>
      </w:r>
      <w:r w:rsidR="00080CF0" w:rsidRPr="004C20BC">
        <w:rPr>
          <w:rFonts w:ascii="Times New Roman" w:hAnsi="Times New Roman" w:cs="Times New Roman"/>
          <w:sz w:val="24"/>
          <w:szCs w:val="24"/>
        </w:rPr>
        <w:t xml:space="preserve">etabolism, </w:t>
      </w:r>
      <w:r w:rsidRPr="004C20BC">
        <w:rPr>
          <w:rFonts w:ascii="Times New Roman" w:hAnsi="Times New Roman" w:cs="Times New Roman"/>
          <w:sz w:val="24"/>
          <w:szCs w:val="24"/>
        </w:rPr>
        <w:t>downstream signaling</w:t>
      </w:r>
      <w:r w:rsidR="00080CF0" w:rsidRPr="004C20BC">
        <w:rPr>
          <w:rFonts w:ascii="Times New Roman" w:hAnsi="Times New Roman" w:cs="Times New Roman"/>
          <w:sz w:val="24"/>
          <w:szCs w:val="24"/>
        </w:rPr>
        <w:t xml:space="preserve">, </w:t>
      </w:r>
      <w:r w:rsidR="00CD543E" w:rsidRPr="004C20BC">
        <w:rPr>
          <w:rFonts w:ascii="Times New Roman" w:hAnsi="Times New Roman" w:cs="Times New Roman"/>
          <w:sz w:val="24"/>
          <w:szCs w:val="24"/>
        </w:rPr>
        <w:t xml:space="preserve">antibiotic production, antibiotic resistance, motility, metabolism (including fermentation), respiration (aerobic/anaerobic), </w:t>
      </w:r>
      <w:r w:rsidR="00080CF0" w:rsidRPr="004C20BC">
        <w:rPr>
          <w:rFonts w:ascii="Times New Roman" w:hAnsi="Times New Roman" w:cs="Times New Roman"/>
          <w:sz w:val="24"/>
          <w:szCs w:val="24"/>
        </w:rPr>
        <w:t xml:space="preserve">and </w:t>
      </w:r>
      <w:r w:rsidR="00CD543E" w:rsidRPr="004C20BC">
        <w:rPr>
          <w:rFonts w:ascii="Times New Roman" w:hAnsi="Times New Roman" w:cs="Times New Roman"/>
          <w:sz w:val="24"/>
          <w:szCs w:val="24"/>
        </w:rPr>
        <w:t>seco</w:t>
      </w:r>
      <w:r w:rsidR="00476ABF" w:rsidRPr="004C20BC">
        <w:rPr>
          <w:rFonts w:ascii="Times New Roman" w:hAnsi="Times New Roman" w:cs="Times New Roman"/>
          <w:sz w:val="24"/>
          <w:szCs w:val="24"/>
        </w:rPr>
        <w:t>ndary metabolite production</w:t>
      </w:r>
      <w:r w:rsidR="00CD543E" w:rsidRPr="004C20BC">
        <w:rPr>
          <w:rFonts w:ascii="Times New Roman" w:hAnsi="Times New Roman" w:cs="Times New Roman"/>
          <w:sz w:val="24"/>
          <w:szCs w:val="24"/>
        </w:rPr>
        <w:t xml:space="preserve"> </w:t>
      </w:r>
      <w:r w:rsidR="00080CF0" w:rsidRPr="004C20BC">
        <w:rPr>
          <w:rFonts w:ascii="Times New Roman" w:hAnsi="Times New Roman" w:cs="Times New Roman"/>
          <w:noProof/>
          <w:sz w:val="24"/>
          <w:szCs w:val="24"/>
        </w:rPr>
        <w:t>(Cresci &amp; Bawden, 2015; Kuczynski et al., 2011; Langdon et al., 2016)</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Furthermore, </w:t>
      </w:r>
      <w:r w:rsidRPr="004C20BC">
        <w:rPr>
          <w:rFonts w:ascii="Times New Roman" w:hAnsi="Times New Roman" w:cs="Times New Roman"/>
          <w:sz w:val="24"/>
          <w:szCs w:val="24"/>
        </w:rPr>
        <w:lastRenderedPageBreak/>
        <w:t xml:space="preserve">shotgun sequencing can target Bacteria, Archaea, Fungi, </w:t>
      </w:r>
      <w:r w:rsidR="00427100" w:rsidRPr="004C20BC">
        <w:rPr>
          <w:rFonts w:ascii="Times New Roman" w:hAnsi="Times New Roman" w:cs="Times New Roman"/>
          <w:sz w:val="24"/>
          <w:szCs w:val="24"/>
        </w:rPr>
        <w:t>micro-eukaryotes,</w:t>
      </w:r>
      <w:r w:rsidRPr="004C20BC">
        <w:rPr>
          <w:rFonts w:ascii="Times New Roman" w:hAnsi="Times New Roman" w:cs="Times New Roman"/>
          <w:sz w:val="24"/>
          <w:szCs w:val="24"/>
        </w:rPr>
        <w:t xml:space="preserve"> and some viruses simultaneously</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B33893">
        <w:rPr>
          <w:rFonts w:ascii="Times New Roman" w:hAnsi="Times New Roman" w:cs="Times New Roman"/>
          <w:sz w:val="24"/>
          <w:szCs w:val="24"/>
        </w:rPr>
        <w:t xml:space="preserve">Although a number of </w:t>
      </w:r>
      <w:r w:rsidR="003F14B1">
        <w:rPr>
          <w:rFonts w:ascii="Times New Roman" w:hAnsi="Times New Roman" w:cs="Times New Roman"/>
          <w:sz w:val="24"/>
          <w:szCs w:val="24"/>
        </w:rPr>
        <w:t>approaches</w:t>
      </w:r>
      <w:r w:rsidR="00B33893">
        <w:rPr>
          <w:rFonts w:ascii="Times New Roman" w:hAnsi="Times New Roman" w:cs="Times New Roman"/>
          <w:sz w:val="24"/>
          <w:szCs w:val="24"/>
        </w:rPr>
        <w:t xml:space="preserve"> exist </w:t>
      </w:r>
      <w:r w:rsidR="00867012">
        <w:rPr>
          <w:rFonts w:ascii="Times New Roman" w:hAnsi="Times New Roman" w:cs="Times New Roman"/>
          <w:sz w:val="24"/>
          <w:szCs w:val="24"/>
        </w:rPr>
        <w:t>for</w:t>
      </w:r>
      <w:r w:rsidR="00867012" w:rsidRPr="004C20BC">
        <w:rPr>
          <w:rFonts w:ascii="Times New Roman" w:hAnsi="Times New Roman" w:cs="Times New Roman"/>
          <w:sz w:val="24"/>
          <w:szCs w:val="24"/>
        </w:rPr>
        <w:t xml:space="preserve"> </w:t>
      </w:r>
      <w:r w:rsidRPr="004C20BC">
        <w:rPr>
          <w:rFonts w:ascii="Times New Roman" w:hAnsi="Times New Roman" w:cs="Times New Roman"/>
          <w:sz w:val="24"/>
          <w:szCs w:val="24"/>
        </w:rPr>
        <w:t>prepar</w:t>
      </w:r>
      <w:r w:rsidR="00867012">
        <w:rPr>
          <w:rFonts w:ascii="Times New Roman" w:hAnsi="Times New Roman" w:cs="Times New Roman"/>
          <w:sz w:val="24"/>
          <w:szCs w:val="24"/>
        </w:rPr>
        <w:t>ing</w:t>
      </w:r>
      <w:r w:rsidRPr="004C20BC">
        <w:rPr>
          <w:rFonts w:ascii="Times New Roman" w:hAnsi="Times New Roman" w:cs="Times New Roman"/>
          <w:sz w:val="24"/>
          <w:szCs w:val="24"/>
        </w:rPr>
        <w:t xml:space="preserve"> genomic DNA for shotgun sequencing, </w:t>
      </w:r>
      <w:r w:rsidR="00B33893">
        <w:rPr>
          <w:rFonts w:ascii="Times New Roman" w:hAnsi="Times New Roman" w:cs="Times New Roman"/>
          <w:sz w:val="24"/>
          <w:szCs w:val="24"/>
        </w:rPr>
        <w:t xml:space="preserve">many protocols start by </w:t>
      </w:r>
      <w:r w:rsidR="00B33893" w:rsidRPr="004C20BC">
        <w:rPr>
          <w:rFonts w:ascii="Times New Roman" w:hAnsi="Times New Roman" w:cs="Times New Roman"/>
          <w:sz w:val="24"/>
          <w:szCs w:val="24"/>
        </w:rPr>
        <w:t>fragment</w:t>
      </w:r>
      <w:r w:rsidR="00B33893">
        <w:rPr>
          <w:rFonts w:ascii="Times New Roman" w:hAnsi="Times New Roman" w:cs="Times New Roman"/>
          <w:sz w:val="24"/>
          <w:szCs w:val="24"/>
        </w:rPr>
        <w:t>ing the DNA</w:t>
      </w:r>
      <w:r w:rsidR="00B33893" w:rsidRPr="004C20BC">
        <w:rPr>
          <w:rFonts w:ascii="Times New Roman" w:hAnsi="Times New Roman" w:cs="Times New Roman"/>
          <w:sz w:val="24"/>
          <w:szCs w:val="24"/>
        </w:rPr>
        <w:t xml:space="preserve"> </w:t>
      </w:r>
      <w:r w:rsidRPr="004C20BC">
        <w:rPr>
          <w:rFonts w:ascii="Times New Roman" w:hAnsi="Times New Roman" w:cs="Times New Roman"/>
          <w:sz w:val="24"/>
          <w:szCs w:val="24"/>
        </w:rPr>
        <w:t>into relatively small pieces (generally 250</w:t>
      </w:r>
      <w:r w:rsidR="00867012">
        <w:rPr>
          <w:rFonts w:ascii="Times New Roman" w:hAnsi="Times New Roman" w:cs="Times New Roman"/>
          <w:sz w:val="24"/>
          <w:szCs w:val="24"/>
        </w:rPr>
        <w:t>–</w:t>
      </w:r>
      <w:r w:rsidRPr="004C20BC">
        <w:rPr>
          <w:rFonts w:ascii="Times New Roman" w:hAnsi="Times New Roman" w:cs="Times New Roman"/>
          <w:sz w:val="24"/>
          <w:szCs w:val="24"/>
        </w:rPr>
        <w:t>600</w:t>
      </w:r>
      <w:r w:rsidR="00867012">
        <w:rPr>
          <w:rFonts w:ascii="Times New Roman" w:hAnsi="Times New Roman" w:cs="Times New Roman"/>
          <w:sz w:val="24"/>
          <w:szCs w:val="24"/>
        </w:rPr>
        <w:t>-</w:t>
      </w:r>
      <w:r w:rsidRPr="004C20BC">
        <w:rPr>
          <w:rFonts w:ascii="Times New Roman" w:hAnsi="Times New Roman" w:cs="Times New Roman"/>
          <w:sz w:val="24"/>
          <w:szCs w:val="24"/>
        </w:rPr>
        <w:t>bp fragments</w:t>
      </w:r>
      <w:r w:rsidR="00FE1793">
        <w:rPr>
          <w:rFonts w:ascii="Times New Roman" w:hAnsi="Times New Roman" w:cs="Times New Roman"/>
          <w:sz w:val="24"/>
          <w:szCs w:val="24"/>
        </w:rPr>
        <w:t xml:space="preserve">; </w:t>
      </w:r>
      <w:r w:rsidRPr="004C20BC">
        <w:rPr>
          <w:rFonts w:ascii="Times New Roman" w:hAnsi="Times New Roman" w:cs="Times New Roman"/>
          <w:noProof/>
          <w:sz w:val="24"/>
          <w:szCs w:val="24"/>
        </w:rPr>
        <w:t>Di Bella, Bao, Gloor, Burton, &amp; Reid, 2013; Morgan &amp; Huttenhower, 2012)</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This fragmentation is necessary for Illumina sequencing platforms, which do not tolerate very large DNA fragments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Other sequencing platforms, such as </w:t>
      </w:r>
      <w:r w:rsidR="00B33893">
        <w:rPr>
          <w:rFonts w:ascii="Times New Roman" w:hAnsi="Times New Roman" w:cs="Times New Roman"/>
          <w:sz w:val="24"/>
          <w:szCs w:val="24"/>
        </w:rPr>
        <w:t>those from</w:t>
      </w:r>
      <w:r w:rsidR="00B33893" w:rsidRPr="004C20BC">
        <w:rPr>
          <w:rFonts w:ascii="Times New Roman" w:hAnsi="Times New Roman" w:cs="Times New Roman"/>
          <w:sz w:val="24"/>
          <w:szCs w:val="24"/>
        </w:rPr>
        <w:t xml:space="preserve"> </w:t>
      </w:r>
      <w:r w:rsidRPr="004C20BC">
        <w:rPr>
          <w:rFonts w:ascii="Times New Roman" w:hAnsi="Times New Roman" w:cs="Times New Roman"/>
          <w:sz w:val="24"/>
          <w:szCs w:val="24"/>
        </w:rPr>
        <w:t>Oxford Nanopore and Pacific Biosciences, can use much larger pieces of genomic DNA (&gt;</w:t>
      </w:r>
      <w:r w:rsidR="00CE401D">
        <w:rPr>
          <w:rFonts w:ascii="Times New Roman" w:hAnsi="Times New Roman" w:cs="Times New Roman"/>
          <w:sz w:val="24"/>
          <w:szCs w:val="24"/>
        </w:rPr>
        <w:t xml:space="preserve"> </w:t>
      </w:r>
      <w:r w:rsidRPr="004C20BC">
        <w:rPr>
          <w:rFonts w:ascii="Times New Roman" w:hAnsi="Times New Roman" w:cs="Times New Roman"/>
          <w:sz w:val="24"/>
          <w:szCs w:val="24"/>
        </w:rPr>
        <w:t xml:space="preserve">10,000 bp), but </w:t>
      </w:r>
      <w:r w:rsidRPr="004C20BC">
        <w:rPr>
          <w:rFonts w:ascii="Times New Roman" w:hAnsi="Times New Roman" w:cs="Times New Roman"/>
          <w:noProof/>
          <w:sz w:val="24"/>
          <w:szCs w:val="24"/>
        </w:rPr>
        <w:t>currently</w:t>
      </w:r>
      <w:r w:rsidRPr="004C20BC">
        <w:rPr>
          <w:rFonts w:ascii="Times New Roman" w:hAnsi="Times New Roman" w:cs="Times New Roman"/>
          <w:sz w:val="24"/>
          <w:szCs w:val="24"/>
        </w:rPr>
        <w:t xml:space="preserve"> have a relatively high error rate that</w:t>
      </w:r>
      <w:r w:rsidR="008E14B9">
        <w:rPr>
          <w:rFonts w:ascii="Times New Roman" w:hAnsi="Times New Roman" w:cs="Times New Roman"/>
          <w:sz w:val="24"/>
          <w:szCs w:val="24"/>
        </w:rPr>
        <w:t xml:space="preserve"> has</w:t>
      </w:r>
      <w:r w:rsidRPr="004C20BC">
        <w:rPr>
          <w:rFonts w:ascii="Times New Roman" w:hAnsi="Times New Roman" w:cs="Times New Roman"/>
          <w:sz w:val="24"/>
          <w:szCs w:val="24"/>
        </w:rPr>
        <w:t xml:space="preserve"> </w:t>
      </w:r>
      <w:r w:rsidR="008E14B9" w:rsidRPr="004C20BC">
        <w:rPr>
          <w:rFonts w:ascii="Times New Roman" w:hAnsi="Times New Roman" w:cs="Times New Roman"/>
          <w:sz w:val="24"/>
          <w:szCs w:val="24"/>
        </w:rPr>
        <w:t>limit</w:t>
      </w:r>
      <w:r w:rsidR="008E14B9">
        <w:rPr>
          <w:rFonts w:ascii="Times New Roman" w:hAnsi="Times New Roman" w:cs="Times New Roman"/>
          <w:sz w:val="24"/>
          <w:szCs w:val="24"/>
        </w:rPr>
        <w:t>ed</w:t>
      </w:r>
      <w:r w:rsidR="008E14B9" w:rsidRPr="004C20BC">
        <w:rPr>
          <w:rFonts w:ascii="Times New Roman" w:hAnsi="Times New Roman" w:cs="Times New Roman"/>
          <w:sz w:val="24"/>
          <w:szCs w:val="24"/>
        </w:rPr>
        <w:t xml:space="preserve"> </w:t>
      </w:r>
      <w:r w:rsidRPr="004C20BC">
        <w:rPr>
          <w:rFonts w:ascii="Times New Roman" w:hAnsi="Times New Roman" w:cs="Times New Roman"/>
          <w:sz w:val="24"/>
          <w:szCs w:val="24"/>
        </w:rPr>
        <w:t>their use in sequence analysis of complex microbial communities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8E14B9">
        <w:rPr>
          <w:rFonts w:ascii="Times New Roman" w:hAnsi="Times New Roman" w:cs="Times New Roman"/>
          <w:sz w:val="24"/>
          <w:szCs w:val="24"/>
        </w:rPr>
        <w:t>Improved sequencing strategies and sequencing analysis algorithms may increase the use of these platforms in the future</w:t>
      </w:r>
      <w:r w:rsidR="00CE4D38">
        <w:rPr>
          <w:rFonts w:ascii="Times New Roman" w:hAnsi="Times New Roman" w:cs="Times New Roman"/>
          <w:sz w:val="24"/>
          <w:szCs w:val="24"/>
        </w:rPr>
        <w:t xml:space="preserve"> </w:t>
      </w:r>
      <w:r w:rsidR="000A2E5B">
        <w:rPr>
          <w:rFonts w:ascii="Times New Roman" w:hAnsi="Times New Roman" w:cs="Times New Roman"/>
          <w:noProof/>
          <w:sz w:val="24"/>
          <w:szCs w:val="24"/>
        </w:rPr>
        <w:t>(Frank et al., 2016; Huson et al., 2018)</w:t>
      </w:r>
      <w:r w:rsidR="00CE4D38">
        <w:rPr>
          <w:rFonts w:ascii="Times New Roman" w:hAnsi="Times New Roman" w:cs="Times New Roman"/>
          <w:sz w:val="24"/>
          <w:szCs w:val="24"/>
        </w:rPr>
        <w:t>.</w:t>
      </w:r>
      <w:r w:rsidR="00CE48AB">
        <w:rPr>
          <w:rFonts w:ascii="Times New Roman" w:hAnsi="Times New Roman" w:cs="Times New Roman"/>
          <w:sz w:val="24"/>
          <w:szCs w:val="24"/>
        </w:rPr>
        <w:t xml:space="preserve"> </w:t>
      </w:r>
      <w:r w:rsidRPr="004C20BC">
        <w:rPr>
          <w:rFonts w:ascii="Times New Roman" w:hAnsi="Times New Roman" w:cs="Times New Roman"/>
          <w:sz w:val="24"/>
          <w:szCs w:val="24"/>
        </w:rPr>
        <w:t xml:space="preserve">After </w:t>
      </w:r>
      <w:r w:rsidR="00B33893">
        <w:rPr>
          <w:rFonts w:ascii="Times New Roman" w:hAnsi="Times New Roman" w:cs="Times New Roman"/>
          <w:sz w:val="24"/>
          <w:szCs w:val="24"/>
        </w:rPr>
        <w:t>fragmentation</w:t>
      </w:r>
      <w:r w:rsidRPr="004C20BC">
        <w:rPr>
          <w:rFonts w:ascii="Times New Roman" w:hAnsi="Times New Roman" w:cs="Times New Roman"/>
          <w:sz w:val="24"/>
          <w:szCs w:val="24"/>
        </w:rPr>
        <w:t xml:space="preserve">, genomic DNA is prepared </w:t>
      </w:r>
      <w:r w:rsidR="006327AA">
        <w:rPr>
          <w:rFonts w:ascii="Times New Roman" w:hAnsi="Times New Roman" w:cs="Times New Roman"/>
          <w:sz w:val="24"/>
          <w:szCs w:val="24"/>
        </w:rPr>
        <w:t>to be loaded onto a</w:t>
      </w:r>
      <w:r w:rsidR="006327AA" w:rsidRPr="004C20BC">
        <w:rPr>
          <w:rFonts w:ascii="Times New Roman" w:hAnsi="Times New Roman" w:cs="Times New Roman"/>
          <w:sz w:val="24"/>
          <w:szCs w:val="24"/>
        </w:rPr>
        <w:t xml:space="preserve"> </w:t>
      </w:r>
      <w:r w:rsidRPr="004C20BC">
        <w:rPr>
          <w:rFonts w:ascii="Times New Roman" w:hAnsi="Times New Roman" w:cs="Times New Roman"/>
          <w:sz w:val="24"/>
          <w:szCs w:val="24"/>
        </w:rPr>
        <w:t>sequenc</w:t>
      </w:r>
      <w:r w:rsidR="006327AA">
        <w:rPr>
          <w:rFonts w:ascii="Times New Roman" w:hAnsi="Times New Roman" w:cs="Times New Roman"/>
          <w:sz w:val="24"/>
          <w:szCs w:val="24"/>
        </w:rPr>
        <w:t>er</w:t>
      </w:r>
      <w:r w:rsidRPr="004C20BC">
        <w:rPr>
          <w:rFonts w:ascii="Times New Roman" w:hAnsi="Times New Roman" w:cs="Times New Roman"/>
          <w:sz w:val="24"/>
          <w:szCs w:val="24"/>
        </w:rPr>
        <w:t xml:space="preserve"> through a process called </w:t>
      </w:r>
      <w:r w:rsidR="00E02AA3">
        <w:rPr>
          <w:rFonts w:ascii="Times New Roman" w:hAnsi="Times New Roman" w:cs="Times New Roman"/>
          <w:sz w:val="24"/>
          <w:szCs w:val="24"/>
        </w:rPr>
        <w:t>"</w:t>
      </w:r>
      <w:r w:rsidRPr="004C20BC">
        <w:rPr>
          <w:rFonts w:ascii="Times New Roman" w:hAnsi="Times New Roman" w:cs="Times New Roman"/>
          <w:sz w:val="24"/>
          <w:szCs w:val="24"/>
        </w:rPr>
        <w:t>library preparation,</w:t>
      </w:r>
      <w:r w:rsidR="00E02AA3">
        <w:rPr>
          <w:rFonts w:ascii="Times New Roman" w:hAnsi="Times New Roman" w:cs="Times New Roman"/>
          <w:sz w:val="24"/>
          <w:szCs w:val="24"/>
        </w:rPr>
        <w:t>"</w:t>
      </w:r>
      <w:r w:rsidRPr="004C20BC">
        <w:rPr>
          <w:rFonts w:ascii="Times New Roman" w:hAnsi="Times New Roman" w:cs="Times New Roman"/>
          <w:sz w:val="24"/>
          <w:szCs w:val="24"/>
        </w:rPr>
        <w:t xml:space="preserve"> which </w:t>
      </w:r>
      <w:r w:rsidR="006327AA">
        <w:rPr>
          <w:rFonts w:ascii="Times New Roman" w:hAnsi="Times New Roman" w:cs="Times New Roman"/>
          <w:sz w:val="24"/>
          <w:szCs w:val="24"/>
        </w:rPr>
        <w:t xml:space="preserve">involves </w:t>
      </w:r>
      <w:r w:rsidRPr="004C20BC">
        <w:rPr>
          <w:rFonts w:ascii="Times New Roman" w:hAnsi="Times New Roman" w:cs="Times New Roman"/>
          <w:sz w:val="24"/>
          <w:szCs w:val="24"/>
        </w:rPr>
        <w:t>a series of enzymatic steps</w:t>
      </w:r>
      <w:r w:rsidR="00B33893">
        <w:rPr>
          <w:rFonts w:ascii="Times New Roman" w:hAnsi="Times New Roman" w:cs="Times New Roman"/>
          <w:sz w:val="24"/>
          <w:szCs w:val="24"/>
        </w:rPr>
        <w:t xml:space="preserve">, </w:t>
      </w:r>
      <w:r w:rsidRPr="004C20BC">
        <w:rPr>
          <w:rFonts w:ascii="Times New Roman" w:hAnsi="Times New Roman" w:cs="Times New Roman"/>
          <w:sz w:val="24"/>
          <w:szCs w:val="24"/>
        </w:rPr>
        <w:t>including repair of the ends of the DNA and ligation of sequencing adapters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The ligation step is used to incorporate known DNA sequences into the ends of unknown genomic DNA in a sequence-independent manner</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Subsequently, the known sequences (called sequencing adapters) are used to manipulate the DNA by way of PCR amplification (to increase the total amount of DNA but without selecting for any specific sequences) and </w:t>
      </w:r>
      <w:r w:rsidR="00F213CE">
        <w:rPr>
          <w:rFonts w:ascii="Times New Roman" w:hAnsi="Times New Roman" w:cs="Times New Roman"/>
          <w:sz w:val="24"/>
          <w:szCs w:val="24"/>
        </w:rPr>
        <w:t>to</w:t>
      </w:r>
      <w:r w:rsidRPr="004C20BC">
        <w:rPr>
          <w:rFonts w:ascii="Times New Roman" w:hAnsi="Times New Roman" w:cs="Times New Roman"/>
          <w:sz w:val="24"/>
          <w:szCs w:val="24"/>
        </w:rPr>
        <w:t xml:space="preserve"> initiat</w:t>
      </w:r>
      <w:r w:rsidR="00F213CE">
        <w:rPr>
          <w:rFonts w:ascii="Times New Roman" w:hAnsi="Times New Roman" w:cs="Times New Roman"/>
          <w:sz w:val="24"/>
          <w:szCs w:val="24"/>
        </w:rPr>
        <w:t>e</w:t>
      </w:r>
      <w:r w:rsidRPr="004C20BC">
        <w:rPr>
          <w:rFonts w:ascii="Times New Roman" w:hAnsi="Times New Roman" w:cs="Times New Roman"/>
          <w:sz w:val="24"/>
          <w:szCs w:val="24"/>
        </w:rPr>
        <w:t xml:space="preserve"> the sequencing reaction, again without selection for any specific sequence from the source genomic DNA</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In most cases, the sequencing adapters also contain sample-specific information</w:t>
      </w:r>
      <w:r w:rsidR="00F81537">
        <w:rPr>
          <w:rFonts w:ascii="Times New Roman" w:hAnsi="Times New Roman" w:cs="Times New Roman"/>
          <w:sz w:val="24"/>
          <w:szCs w:val="24"/>
        </w:rPr>
        <w:t xml:space="preserve"> (</w:t>
      </w:r>
      <w:r w:rsidRPr="004C20BC">
        <w:rPr>
          <w:rFonts w:ascii="Times New Roman" w:hAnsi="Times New Roman" w:cs="Times New Roman"/>
          <w:sz w:val="24"/>
          <w:szCs w:val="24"/>
        </w:rPr>
        <w:t>so-called barcodes</w:t>
      </w:r>
      <w:r w:rsidR="00F81537">
        <w:rPr>
          <w:rFonts w:ascii="Times New Roman" w:hAnsi="Times New Roman" w:cs="Times New Roman"/>
          <w:sz w:val="24"/>
          <w:szCs w:val="24"/>
        </w:rPr>
        <w:t>)</w:t>
      </w:r>
      <w:r w:rsidRPr="004C20BC">
        <w:rPr>
          <w:rFonts w:ascii="Times New Roman" w:hAnsi="Times New Roman" w:cs="Times New Roman"/>
          <w:sz w:val="24"/>
          <w:szCs w:val="24"/>
        </w:rPr>
        <w:t xml:space="preserve">, </w:t>
      </w:r>
      <w:r w:rsidR="00EE374E" w:rsidRPr="004C20BC">
        <w:rPr>
          <w:rFonts w:ascii="Times New Roman" w:hAnsi="Times New Roman" w:cs="Times New Roman"/>
          <w:sz w:val="24"/>
          <w:szCs w:val="24"/>
        </w:rPr>
        <w:t>which</w:t>
      </w:r>
      <w:r w:rsidRPr="004C20BC">
        <w:rPr>
          <w:rFonts w:ascii="Times New Roman" w:hAnsi="Times New Roman" w:cs="Times New Roman"/>
          <w:sz w:val="24"/>
          <w:szCs w:val="24"/>
        </w:rPr>
        <w:t xml:space="preserve"> allow the mixing of multiple samples on a single sequencing run</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CA527D">
        <w:rPr>
          <w:rFonts w:ascii="Times New Roman" w:hAnsi="Times New Roman" w:cs="Times New Roman"/>
          <w:strike/>
          <w:sz w:val="24"/>
          <w:szCs w:val="24"/>
        </w:rPr>
        <w:t>This</w:t>
      </w:r>
      <w:r w:rsidRPr="004C20BC">
        <w:rPr>
          <w:rFonts w:ascii="Times New Roman" w:hAnsi="Times New Roman" w:cs="Times New Roman"/>
          <w:sz w:val="24"/>
          <w:szCs w:val="24"/>
        </w:rPr>
        <w:t xml:space="preserve"> </w:t>
      </w:r>
      <w:r w:rsidR="00A36E19">
        <w:rPr>
          <w:rFonts w:ascii="Times New Roman" w:hAnsi="Times New Roman" w:cs="Times New Roman"/>
          <w:sz w:val="24"/>
          <w:szCs w:val="24"/>
        </w:rPr>
        <w:t xml:space="preserve">Fragmenting and barcoding the DNA sequences </w:t>
      </w:r>
      <w:r w:rsidRPr="004C20BC">
        <w:rPr>
          <w:rFonts w:ascii="Times New Roman" w:hAnsi="Times New Roman" w:cs="Times New Roman"/>
          <w:sz w:val="24"/>
          <w:szCs w:val="24"/>
        </w:rPr>
        <w:t xml:space="preserve">is performed to exploit </w:t>
      </w:r>
      <w:r w:rsidR="00F81537" w:rsidRPr="004C20BC">
        <w:rPr>
          <w:rFonts w:ascii="Times New Roman" w:hAnsi="Times New Roman" w:cs="Times New Roman"/>
          <w:sz w:val="24"/>
          <w:szCs w:val="24"/>
        </w:rPr>
        <w:t xml:space="preserve">fully </w:t>
      </w:r>
      <w:r w:rsidRPr="004C20BC">
        <w:rPr>
          <w:rFonts w:ascii="Times New Roman" w:hAnsi="Times New Roman" w:cs="Times New Roman"/>
          <w:sz w:val="24"/>
          <w:szCs w:val="24"/>
        </w:rPr>
        <w:t xml:space="preserve">the tremendous amount of data generated on a sequencing run by splitting the sequencing data yield into </w:t>
      </w:r>
      <w:r w:rsidR="00856818" w:rsidRPr="004C20BC">
        <w:rPr>
          <w:rFonts w:ascii="Times New Roman" w:hAnsi="Times New Roman" w:cs="Times New Roman"/>
          <w:noProof/>
          <w:sz w:val="24"/>
          <w:szCs w:val="24"/>
        </w:rPr>
        <w:t>output</w:t>
      </w:r>
      <w:r w:rsidR="00856818" w:rsidRPr="004C20BC">
        <w:rPr>
          <w:rFonts w:ascii="Times New Roman" w:hAnsi="Times New Roman" w:cs="Times New Roman"/>
          <w:sz w:val="24"/>
          <w:szCs w:val="24"/>
        </w:rPr>
        <w:t xml:space="preserve"> from </w:t>
      </w:r>
      <w:r w:rsidRPr="004C20BC">
        <w:rPr>
          <w:rFonts w:ascii="Times New Roman" w:hAnsi="Times New Roman" w:cs="Times New Roman"/>
          <w:sz w:val="24"/>
          <w:szCs w:val="24"/>
        </w:rPr>
        <w:t>multiple samples, thereby decreasing the per-sample cost.</w:t>
      </w:r>
      <w:r w:rsidR="003F14B1">
        <w:rPr>
          <w:rFonts w:ascii="Times New Roman" w:hAnsi="Times New Roman" w:cs="Times New Roman"/>
          <w:sz w:val="24"/>
          <w:szCs w:val="24"/>
        </w:rPr>
        <w:t xml:space="preserve"> </w:t>
      </w:r>
    </w:p>
    <w:p w14:paraId="5852F11E" w14:textId="5D3AA75B" w:rsidR="001500AD" w:rsidRDefault="00592EE6" w:rsidP="00967C61">
      <w:pPr>
        <w:spacing w:line="480" w:lineRule="auto"/>
        <w:ind w:firstLine="720"/>
        <w:rPr>
          <w:rFonts w:ascii="Times New Roman" w:hAnsi="Times New Roman" w:cs="Times New Roman"/>
          <w:sz w:val="24"/>
          <w:szCs w:val="24"/>
        </w:rPr>
      </w:pPr>
      <w:r w:rsidRPr="004C20BC">
        <w:rPr>
          <w:rFonts w:ascii="Times New Roman" w:hAnsi="Times New Roman" w:cs="Times New Roman"/>
          <w:sz w:val="24"/>
          <w:szCs w:val="24"/>
        </w:rPr>
        <w:lastRenderedPageBreak/>
        <w:t>The data yield from shotgun metagenome sequencing can be daunting</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Millions to hundreds of millions of short sequences (generally 150 bases, in pairs) are generated using Illumina sequencing platforms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These data can be analyzed in </w:t>
      </w:r>
      <w:r w:rsidR="008E381C" w:rsidRPr="004C20BC">
        <w:rPr>
          <w:rFonts w:ascii="Times New Roman" w:hAnsi="Times New Roman" w:cs="Times New Roman"/>
          <w:sz w:val="24"/>
          <w:szCs w:val="24"/>
        </w:rPr>
        <w:t xml:space="preserve">a </w:t>
      </w:r>
      <w:r w:rsidRPr="004C20BC">
        <w:rPr>
          <w:rFonts w:ascii="Times New Roman" w:hAnsi="Times New Roman" w:cs="Times New Roman"/>
          <w:noProof/>
          <w:sz w:val="24"/>
          <w:szCs w:val="24"/>
        </w:rPr>
        <w:t>variety</w:t>
      </w:r>
      <w:r w:rsidRPr="004C20BC">
        <w:rPr>
          <w:rFonts w:ascii="Times New Roman" w:hAnsi="Times New Roman" w:cs="Times New Roman"/>
          <w:sz w:val="24"/>
          <w:szCs w:val="24"/>
        </w:rPr>
        <w:t xml:space="preserve"> of </w:t>
      </w:r>
      <w:r w:rsidR="00F81537">
        <w:rPr>
          <w:rFonts w:ascii="Times New Roman" w:hAnsi="Times New Roman" w:cs="Times New Roman"/>
          <w:sz w:val="24"/>
          <w:szCs w:val="24"/>
        </w:rPr>
        <w:t>way</w:t>
      </w:r>
      <w:r w:rsidR="00F81537" w:rsidRPr="004C20BC">
        <w:rPr>
          <w:rFonts w:ascii="Times New Roman" w:hAnsi="Times New Roman" w:cs="Times New Roman"/>
          <w:sz w:val="24"/>
          <w:szCs w:val="24"/>
        </w:rPr>
        <w:t xml:space="preserve">s </w:t>
      </w:r>
      <w:r w:rsidR="006A7468" w:rsidRPr="004C20BC">
        <w:rPr>
          <w:rFonts w:ascii="Times New Roman" w:hAnsi="Times New Roman" w:cs="Times New Roman"/>
          <w:noProof/>
          <w:sz w:val="24"/>
          <w:szCs w:val="24"/>
        </w:rPr>
        <w:t>(Sharpton, 2014)</w:t>
      </w:r>
      <w:r w:rsidR="006A7468"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F81537">
        <w:rPr>
          <w:rFonts w:ascii="Times New Roman" w:hAnsi="Times New Roman" w:cs="Times New Roman"/>
          <w:sz w:val="24"/>
          <w:szCs w:val="24"/>
        </w:rPr>
        <w:t>C</w:t>
      </w:r>
      <w:r w:rsidR="00856818" w:rsidRPr="004C20BC">
        <w:rPr>
          <w:rFonts w:ascii="Times New Roman" w:hAnsi="Times New Roman" w:cs="Times New Roman"/>
          <w:sz w:val="24"/>
          <w:szCs w:val="24"/>
        </w:rPr>
        <w:t>ommon strategies include</w:t>
      </w:r>
      <w:r w:rsidR="003F14B1">
        <w:rPr>
          <w:rFonts w:ascii="Times New Roman" w:hAnsi="Times New Roman" w:cs="Times New Roman"/>
          <w:sz w:val="24"/>
          <w:szCs w:val="24"/>
        </w:rPr>
        <w:t xml:space="preserve"> (but are not limited to)</w:t>
      </w:r>
      <w:r w:rsidR="00856818" w:rsidRPr="004C20BC">
        <w:rPr>
          <w:rFonts w:ascii="Times New Roman" w:hAnsi="Times New Roman" w:cs="Times New Roman"/>
          <w:sz w:val="24"/>
          <w:szCs w:val="24"/>
        </w:rPr>
        <w:t xml:space="preserve"> a) searching for lineage-specific marker genes to annotate sequence</w:t>
      </w:r>
      <w:r w:rsidR="00F00D2E">
        <w:rPr>
          <w:rFonts w:ascii="Times New Roman" w:hAnsi="Times New Roman" w:cs="Times New Roman"/>
          <w:sz w:val="24"/>
          <w:szCs w:val="24"/>
        </w:rPr>
        <w:t>s</w:t>
      </w:r>
      <w:r w:rsidR="00C12F3D" w:rsidRPr="004C20BC">
        <w:rPr>
          <w:rFonts w:ascii="Times New Roman" w:hAnsi="Times New Roman" w:cs="Times New Roman"/>
          <w:sz w:val="24"/>
          <w:szCs w:val="24"/>
        </w:rPr>
        <w:t xml:space="preserve"> </w:t>
      </w:r>
      <w:r w:rsidR="00F81537" w:rsidRPr="004C20BC">
        <w:rPr>
          <w:rFonts w:ascii="Times New Roman" w:hAnsi="Times New Roman" w:cs="Times New Roman"/>
          <w:sz w:val="24"/>
          <w:szCs w:val="24"/>
        </w:rPr>
        <w:t xml:space="preserve">accurately </w:t>
      </w:r>
      <w:r w:rsidR="00C10EEC" w:rsidRPr="004C20BC">
        <w:rPr>
          <w:rFonts w:ascii="Times New Roman" w:hAnsi="Times New Roman" w:cs="Times New Roman"/>
          <w:noProof/>
          <w:sz w:val="24"/>
          <w:szCs w:val="24"/>
        </w:rPr>
        <w:t>(Segata et al., 2012)</w:t>
      </w:r>
      <w:r w:rsidR="00F36A6A">
        <w:rPr>
          <w:rFonts w:ascii="Times New Roman" w:hAnsi="Times New Roman" w:cs="Times New Roman"/>
          <w:sz w:val="24"/>
          <w:szCs w:val="24"/>
        </w:rPr>
        <w:t>,</w:t>
      </w:r>
      <w:r w:rsidR="00856818" w:rsidRPr="004C20BC">
        <w:rPr>
          <w:rFonts w:ascii="Times New Roman" w:hAnsi="Times New Roman" w:cs="Times New Roman"/>
          <w:sz w:val="24"/>
          <w:szCs w:val="24"/>
        </w:rPr>
        <w:t xml:space="preserve"> b) high-throughput BLAST </w:t>
      </w:r>
      <w:r w:rsidR="000F5B79">
        <w:rPr>
          <w:rFonts w:ascii="Times New Roman" w:hAnsi="Times New Roman" w:cs="Times New Roman"/>
          <w:sz w:val="24"/>
          <w:szCs w:val="24"/>
        </w:rPr>
        <w:t xml:space="preserve">(basic logical alignment search tool) </w:t>
      </w:r>
      <w:r w:rsidR="00856818" w:rsidRPr="004C20BC">
        <w:rPr>
          <w:rFonts w:ascii="Times New Roman" w:hAnsi="Times New Roman" w:cs="Times New Roman"/>
          <w:sz w:val="24"/>
          <w:szCs w:val="24"/>
        </w:rPr>
        <w:t>analysis of individual sequences against reference sequence database</w:t>
      </w:r>
      <w:r w:rsidR="003F14B1">
        <w:rPr>
          <w:rFonts w:ascii="Times New Roman" w:hAnsi="Times New Roman" w:cs="Times New Roman"/>
          <w:sz w:val="24"/>
          <w:szCs w:val="24"/>
        </w:rPr>
        <w:t>s</w:t>
      </w:r>
      <w:r w:rsidR="00856818" w:rsidRPr="004C20BC">
        <w:rPr>
          <w:rFonts w:ascii="Times New Roman" w:hAnsi="Times New Roman" w:cs="Times New Roman"/>
          <w:sz w:val="24"/>
          <w:szCs w:val="24"/>
        </w:rPr>
        <w:t xml:space="preserve"> such as the </w:t>
      </w:r>
      <w:r w:rsidR="00917191">
        <w:rPr>
          <w:rFonts w:ascii="Times New Roman" w:hAnsi="Times New Roman" w:cs="Times New Roman"/>
          <w:sz w:val="24"/>
          <w:szCs w:val="24"/>
        </w:rPr>
        <w:t>National Center for Biotechnology Information (</w:t>
      </w:r>
      <w:r w:rsidR="00856818" w:rsidRPr="004C20BC">
        <w:rPr>
          <w:rFonts w:ascii="Times New Roman" w:hAnsi="Times New Roman" w:cs="Times New Roman"/>
          <w:sz w:val="24"/>
          <w:szCs w:val="24"/>
        </w:rPr>
        <w:t>NCBI</w:t>
      </w:r>
      <w:r w:rsidR="00917191">
        <w:rPr>
          <w:rFonts w:ascii="Times New Roman" w:hAnsi="Times New Roman" w:cs="Times New Roman"/>
          <w:sz w:val="24"/>
          <w:szCs w:val="24"/>
        </w:rPr>
        <w:t>)</w:t>
      </w:r>
      <w:r w:rsidR="00856818" w:rsidRPr="004C20BC">
        <w:rPr>
          <w:rFonts w:ascii="Times New Roman" w:hAnsi="Times New Roman" w:cs="Times New Roman"/>
          <w:sz w:val="24"/>
          <w:szCs w:val="24"/>
        </w:rPr>
        <w:t xml:space="preserve"> </w:t>
      </w:r>
      <w:r w:rsidR="00917191">
        <w:rPr>
          <w:rFonts w:ascii="Times New Roman" w:hAnsi="Times New Roman" w:cs="Times New Roman"/>
          <w:sz w:val="24"/>
          <w:szCs w:val="24"/>
        </w:rPr>
        <w:t>non</w:t>
      </w:r>
      <w:r w:rsidR="00856818" w:rsidRPr="004C20BC">
        <w:rPr>
          <w:rFonts w:ascii="Times New Roman" w:hAnsi="Times New Roman" w:cs="Times New Roman"/>
          <w:sz w:val="24"/>
          <w:szCs w:val="24"/>
        </w:rPr>
        <w:t xml:space="preserve">redundant (nr) database </w:t>
      </w:r>
      <w:r w:rsidR="000A2E5B">
        <w:rPr>
          <w:rFonts w:ascii="Times New Roman" w:hAnsi="Times New Roman" w:cs="Times New Roman"/>
          <w:noProof/>
          <w:sz w:val="24"/>
          <w:szCs w:val="24"/>
        </w:rPr>
        <w:t>(Buchfink, Xie, &amp; Huson, 2015; Huson et al., 2016; Meyer et al., 2008)</w:t>
      </w:r>
      <w:r w:rsidR="00534DFC" w:rsidRPr="004C20BC">
        <w:rPr>
          <w:rFonts w:ascii="Times New Roman" w:hAnsi="Times New Roman" w:cs="Times New Roman"/>
          <w:sz w:val="24"/>
          <w:szCs w:val="24"/>
        </w:rPr>
        <w:t xml:space="preserve"> </w:t>
      </w:r>
      <w:r w:rsidR="00856818" w:rsidRPr="004C20BC">
        <w:rPr>
          <w:rFonts w:ascii="Times New Roman" w:hAnsi="Times New Roman" w:cs="Times New Roman"/>
          <w:sz w:val="24"/>
          <w:szCs w:val="24"/>
        </w:rPr>
        <w:t xml:space="preserve">to annotate data and assign sequences to taxonomic </w:t>
      </w:r>
      <w:r w:rsidR="003F14B1">
        <w:rPr>
          <w:rFonts w:ascii="Times New Roman" w:hAnsi="Times New Roman" w:cs="Times New Roman"/>
          <w:sz w:val="24"/>
          <w:szCs w:val="24"/>
        </w:rPr>
        <w:t>and</w:t>
      </w:r>
      <w:r w:rsidR="003F14B1" w:rsidRPr="004C20BC">
        <w:rPr>
          <w:rFonts w:ascii="Times New Roman" w:hAnsi="Times New Roman" w:cs="Times New Roman"/>
          <w:sz w:val="24"/>
          <w:szCs w:val="24"/>
        </w:rPr>
        <w:t xml:space="preserve"> </w:t>
      </w:r>
      <w:r w:rsidR="00856818" w:rsidRPr="004C20BC">
        <w:rPr>
          <w:rFonts w:ascii="Times New Roman" w:hAnsi="Times New Roman" w:cs="Times New Roman"/>
          <w:sz w:val="24"/>
          <w:szCs w:val="24"/>
        </w:rPr>
        <w:t>functional gene groups</w:t>
      </w:r>
      <w:r w:rsidR="00DE5BEC">
        <w:rPr>
          <w:rFonts w:ascii="Times New Roman" w:hAnsi="Times New Roman" w:cs="Times New Roman"/>
          <w:sz w:val="24"/>
          <w:szCs w:val="24"/>
        </w:rPr>
        <w:t>,</w:t>
      </w:r>
      <w:r w:rsidR="00856818" w:rsidRPr="004C20BC">
        <w:rPr>
          <w:rFonts w:ascii="Times New Roman" w:hAnsi="Times New Roman" w:cs="Times New Roman"/>
          <w:sz w:val="24"/>
          <w:szCs w:val="24"/>
        </w:rPr>
        <w:t xml:space="preserve"> and c) assembly of larger DNA sequences (</w:t>
      </w:r>
      <w:r w:rsidR="00F81537">
        <w:rPr>
          <w:rFonts w:ascii="Times New Roman" w:hAnsi="Times New Roman" w:cs="Times New Roman"/>
          <w:sz w:val="24"/>
          <w:szCs w:val="24"/>
        </w:rPr>
        <w:t>"</w:t>
      </w:r>
      <w:r w:rsidR="00856818" w:rsidRPr="004C20BC">
        <w:rPr>
          <w:rFonts w:ascii="Times New Roman" w:hAnsi="Times New Roman" w:cs="Times New Roman"/>
          <w:sz w:val="24"/>
          <w:szCs w:val="24"/>
        </w:rPr>
        <w:t>contigs</w:t>
      </w:r>
      <w:r w:rsidR="00F81537">
        <w:rPr>
          <w:rFonts w:ascii="Times New Roman" w:hAnsi="Times New Roman" w:cs="Times New Roman"/>
          <w:sz w:val="24"/>
          <w:szCs w:val="24"/>
        </w:rPr>
        <w:t>"</w:t>
      </w:r>
      <w:r w:rsidR="00856818" w:rsidRPr="004C20BC">
        <w:rPr>
          <w:rFonts w:ascii="Times New Roman" w:hAnsi="Times New Roman" w:cs="Times New Roman"/>
          <w:sz w:val="24"/>
          <w:szCs w:val="24"/>
        </w:rPr>
        <w:t xml:space="preserve">) from the short-read data (called </w:t>
      </w:r>
      <w:r w:rsidR="00856818" w:rsidRPr="004C20BC">
        <w:rPr>
          <w:rFonts w:ascii="Times New Roman" w:hAnsi="Times New Roman" w:cs="Times New Roman"/>
          <w:i/>
          <w:sz w:val="24"/>
          <w:szCs w:val="24"/>
        </w:rPr>
        <w:t>de novo</w:t>
      </w:r>
      <w:r w:rsidR="00856818" w:rsidRPr="004C20BC">
        <w:rPr>
          <w:rFonts w:ascii="Times New Roman" w:hAnsi="Times New Roman" w:cs="Times New Roman"/>
          <w:sz w:val="24"/>
          <w:szCs w:val="24"/>
        </w:rPr>
        <w:t xml:space="preserve"> assembly) and subsequent mapping of sequence data back to the assembled contigs</w:t>
      </w:r>
      <w:r w:rsidR="00534DFC" w:rsidRPr="004C20BC">
        <w:rPr>
          <w:rFonts w:ascii="Times New Roman" w:hAnsi="Times New Roman" w:cs="Times New Roman"/>
          <w:sz w:val="24"/>
          <w:szCs w:val="24"/>
        </w:rPr>
        <w:t xml:space="preserve"> </w:t>
      </w:r>
      <w:r w:rsidR="00534DFC" w:rsidRPr="004C20BC">
        <w:rPr>
          <w:rFonts w:ascii="Times New Roman" w:hAnsi="Times New Roman" w:cs="Times New Roman"/>
          <w:noProof/>
          <w:sz w:val="24"/>
          <w:szCs w:val="24"/>
        </w:rPr>
        <w:t>(Brown et al., 2011)</w:t>
      </w:r>
      <w:r w:rsidR="00856818"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856818" w:rsidRPr="004C20BC">
        <w:rPr>
          <w:rFonts w:ascii="Times New Roman" w:hAnsi="Times New Roman" w:cs="Times New Roman"/>
          <w:sz w:val="24"/>
          <w:szCs w:val="24"/>
        </w:rPr>
        <w:t xml:space="preserve">Ultimately, the annotated data </w:t>
      </w:r>
      <w:r w:rsidR="003F14B1">
        <w:rPr>
          <w:rFonts w:ascii="Times New Roman" w:hAnsi="Times New Roman" w:cs="Times New Roman"/>
          <w:sz w:val="24"/>
          <w:szCs w:val="24"/>
        </w:rPr>
        <w:t>are</w:t>
      </w:r>
      <w:r w:rsidR="00856818" w:rsidRPr="004C20BC">
        <w:rPr>
          <w:rFonts w:ascii="Times New Roman" w:hAnsi="Times New Roman" w:cs="Times New Roman"/>
          <w:sz w:val="24"/>
          <w:szCs w:val="24"/>
        </w:rPr>
        <w:t xml:space="preserve"> used to characterize the gene content of microbial communities</w:t>
      </w:r>
      <w:r w:rsidR="00F81537">
        <w:rPr>
          <w:rFonts w:ascii="Times New Roman" w:hAnsi="Times New Roman" w:cs="Times New Roman"/>
          <w:sz w:val="24"/>
          <w:szCs w:val="24"/>
        </w:rPr>
        <w:t>,</w:t>
      </w:r>
      <w:r w:rsidR="00856818" w:rsidRPr="004C20BC">
        <w:rPr>
          <w:rFonts w:ascii="Times New Roman" w:hAnsi="Times New Roman" w:cs="Times New Roman"/>
          <w:sz w:val="24"/>
          <w:szCs w:val="24"/>
        </w:rPr>
        <w:t xml:space="preserve"> measure diversity, and identify differences in the relative abundance of microbial features (</w:t>
      </w:r>
      <w:r w:rsidR="00856818" w:rsidRPr="00C14227">
        <w:rPr>
          <w:rFonts w:ascii="Times New Roman" w:hAnsi="Times New Roman" w:cs="Times New Roman"/>
          <w:sz w:val="24"/>
          <w:szCs w:val="24"/>
        </w:rPr>
        <w:t>i.e.,</w:t>
      </w:r>
      <w:r w:rsidR="00856818" w:rsidRPr="004C20BC">
        <w:rPr>
          <w:rFonts w:ascii="Times New Roman" w:hAnsi="Times New Roman" w:cs="Times New Roman"/>
          <w:sz w:val="24"/>
          <w:szCs w:val="24"/>
        </w:rPr>
        <w:t xml:space="preserve"> taxa, genes, and pathways) between different groups of samples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2A5DB071" w14:textId="4C33D4E2" w:rsidR="00592EE6" w:rsidRPr="004C20BC" w:rsidRDefault="00592EE6" w:rsidP="00967C61">
      <w:pPr>
        <w:spacing w:line="480" w:lineRule="auto"/>
        <w:ind w:firstLine="720"/>
        <w:rPr>
          <w:rFonts w:ascii="Times New Roman" w:hAnsi="Times New Roman" w:cs="Times New Roman"/>
          <w:sz w:val="24"/>
          <w:szCs w:val="24"/>
        </w:rPr>
      </w:pPr>
      <w:r w:rsidRPr="004C20BC">
        <w:rPr>
          <w:rFonts w:ascii="Times New Roman" w:hAnsi="Times New Roman" w:cs="Times New Roman"/>
          <w:sz w:val="24"/>
          <w:szCs w:val="24"/>
        </w:rPr>
        <w:t xml:space="preserve">Although shotgun metagenome sequencing has many advantages, there are also </w:t>
      </w:r>
      <w:r w:rsidR="00525172">
        <w:rPr>
          <w:rFonts w:ascii="Times New Roman" w:hAnsi="Times New Roman" w:cs="Times New Roman"/>
          <w:sz w:val="24"/>
          <w:szCs w:val="24"/>
        </w:rPr>
        <w:t>challenges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In particular,</w:t>
      </w:r>
      <w:r w:rsidR="008E14B9">
        <w:rPr>
          <w:rFonts w:ascii="Times New Roman" w:hAnsi="Times New Roman" w:cs="Times New Roman"/>
          <w:sz w:val="24"/>
          <w:szCs w:val="24"/>
        </w:rPr>
        <w:t xml:space="preserve"> analysis of</w:t>
      </w:r>
      <w:r w:rsidRPr="004C20BC">
        <w:rPr>
          <w:rFonts w:ascii="Times New Roman" w:hAnsi="Times New Roman" w:cs="Times New Roman"/>
          <w:sz w:val="24"/>
          <w:szCs w:val="24"/>
        </w:rPr>
        <w:t xml:space="preserve"> the large data output is computationally demanding, the short sequences generated from Illumina sequencers can be difficult to annotate, and the relative abundance of sequences from each organism is affected by both the abundance of the organism and the size of its genome</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856818" w:rsidRPr="004C20BC">
        <w:rPr>
          <w:rFonts w:ascii="Times New Roman" w:hAnsi="Times New Roman" w:cs="Times New Roman"/>
          <w:sz w:val="24"/>
          <w:szCs w:val="24"/>
        </w:rPr>
        <w:t xml:space="preserve">In samples with a high amount of host DNA, shotgun sequencing can yield very little microbial DNA </w:t>
      </w:r>
      <w:r w:rsidR="001B5A41" w:rsidRPr="004C20BC">
        <w:rPr>
          <w:rFonts w:ascii="Times New Roman" w:hAnsi="Times New Roman" w:cs="Times New Roman"/>
          <w:sz w:val="24"/>
          <w:szCs w:val="24"/>
        </w:rPr>
        <w:t>because</w:t>
      </w:r>
      <w:r w:rsidR="00856818" w:rsidRPr="004C20BC">
        <w:rPr>
          <w:rFonts w:ascii="Times New Roman" w:hAnsi="Times New Roman" w:cs="Times New Roman"/>
          <w:sz w:val="24"/>
          <w:szCs w:val="24"/>
        </w:rPr>
        <w:t xml:space="preserve"> there is no PCR selection of microbial genes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1B5A41" w:rsidRPr="004C20BC">
        <w:rPr>
          <w:rFonts w:ascii="Times New Roman" w:hAnsi="Times New Roman" w:cs="Times New Roman"/>
          <w:sz w:val="24"/>
          <w:szCs w:val="24"/>
        </w:rPr>
        <w:t>S</w:t>
      </w:r>
      <w:r w:rsidR="00856818" w:rsidRPr="004C20BC">
        <w:rPr>
          <w:rFonts w:ascii="Times New Roman" w:hAnsi="Times New Roman" w:cs="Times New Roman"/>
          <w:sz w:val="24"/>
          <w:szCs w:val="24"/>
        </w:rPr>
        <w:t xml:space="preserve">hotgun metagenome data </w:t>
      </w:r>
      <w:r w:rsidR="001B5A41" w:rsidRPr="004C20BC">
        <w:rPr>
          <w:rFonts w:ascii="Times New Roman" w:hAnsi="Times New Roman" w:cs="Times New Roman"/>
          <w:sz w:val="24"/>
          <w:szCs w:val="24"/>
        </w:rPr>
        <w:t>are</w:t>
      </w:r>
      <w:r w:rsidR="00856818" w:rsidRPr="004C20BC">
        <w:rPr>
          <w:rFonts w:ascii="Times New Roman" w:hAnsi="Times New Roman" w:cs="Times New Roman"/>
          <w:sz w:val="24"/>
          <w:szCs w:val="24"/>
        </w:rPr>
        <w:t xml:space="preserve"> richer in total numbers of sequences, in </w:t>
      </w:r>
      <w:r w:rsidR="00856818" w:rsidRPr="004C20BC">
        <w:rPr>
          <w:rFonts w:ascii="Times New Roman" w:hAnsi="Times New Roman" w:cs="Times New Roman"/>
          <w:noProof/>
          <w:sz w:val="24"/>
          <w:szCs w:val="24"/>
        </w:rPr>
        <w:t>number</w:t>
      </w:r>
      <w:r w:rsidR="00856818" w:rsidRPr="004C20BC">
        <w:rPr>
          <w:rFonts w:ascii="Times New Roman" w:hAnsi="Times New Roman" w:cs="Times New Roman"/>
          <w:sz w:val="24"/>
          <w:szCs w:val="24"/>
        </w:rPr>
        <w:t xml:space="preserve"> of organisms targeted, and in regions of the genome targeted</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8E14B9">
        <w:rPr>
          <w:rFonts w:ascii="Times New Roman" w:hAnsi="Times New Roman" w:cs="Times New Roman"/>
          <w:sz w:val="24"/>
          <w:szCs w:val="24"/>
        </w:rPr>
        <w:t>Conversely</w:t>
      </w:r>
      <w:r w:rsidR="00856818" w:rsidRPr="004C20BC">
        <w:rPr>
          <w:rFonts w:ascii="Times New Roman" w:hAnsi="Times New Roman" w:cs="Times New Roman"/>
          <w:sz w:val="24"/>
          <w:szCs w:val="24"/>
        </w:rPr>
        <w:t xml:space="preserve">, </w:t>
      </w:r>
      <w:r w:rsidR="008E14B9">
        <w:rPr>
          <w:rFonts w:ascii="Times New Roman" w:hAnsi="Times New Roman" w:cs="Times New Roman"/>
          <w:sz w:val="24"/>
          <w:szCs w:val="24"/>
        </w:rPr>
        <w:t xml:space="preserve">as </w:t>
      </w:r>
      <w:r w:rsidR="00856818" w:rsidRPr="004C20BC">
        <w:rPr>
          <w:rFonts w:ascii="Times New Roman" w:hAnsi="Times New Roman" w:cs="Times New Roman"/>
          <w:sz w:val="24"/>
          <w:szCs w:val="24"/>
        </w:rPr>
        <w:t>the complexity is much greater, low</w:t>
      </w:r>
      <w:r w:rsidR="001500AD">
        <w:rPr>
          <w:rFonts w:ascii="Times New Roman" w:hAnsi="Times New Roman" w:cs="Times New Roman"/>
          <w:sz w:val="24"/>
          <w:szCs w:val="24"/>
        </w:rPr>
        <w:t>-</w:t>
      </w:r>
      <w:r w:rsidR="00856818" w:rsidRPr="004C20BC">
        <w:rPr>
          <w:rFonts w:ascii="Times New Roman" w:hAnsi="Times New Roman" w:cs="Times New Roman"/>
          <w:sz w:val="24"/>
          <w:szCs w:val="24"/>
        </w:rPr>
        <w:lastRenderedPageBreak/>
        <w:t>abundance features can be difficult to detect</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856818" w:rsidRPr="004C20BC">
        <w:rPr>
          <w:rFonts w:ascii="Times New Roman" w:hAnsi="Times New Roman" w:cs="Times New Roman"/>
          <w:sz w:val="24"/>
          <w:szCs w:val="24"/>
        </w:rPr>
        <w:t>Unlike 16S rRNA gene amplicon sequencing, the field has not settled on standard approaches for data analysis.</w:t>
      </w:r>
      <w:r w:rsidR="003F14B1">
        <w:rPr>
          <w:rFonts w:ascii="Times New Roman" w:hAnsi="Times New Roman" w:cs="Times New Roman"/>
          <w:sz w:val="24"/>
          <w:szCs w:val="24"/>
        </w:rPr>
        <w:t xml:space="preserve"> </w:t>
      </w:r>
    </w:p>
    <w:p w14:paraId="79E6C6AB" w14:textId="19A09B6F" w:rsidR="00525CB7" w:rsidRDefault="00592EE6" w:rsidP="006624B2">
      <w:pPr>
        <w:spacing w:line="480" w:lineRule="auto"/>
        <w:ind w:firstLine="720"/>
        <w:outlineLvl w:val="0"/>
        <w:rPr>
          <w:rFonts w:ascii="Times New Roman" w:hAnsi="Times New Roman" w:cs="Times New Roman"/>
          <w:sz w:val="24"/>
          <w:szCs w:val="24"/>
        </w:rPr>
      </w:pPr>
      <w:r w:rsidRPr="004C20BC">
        <w:rPr>
          <w:rFonts w:ascii="Times New Roman" w:hAnsi="Times New Roman" w:cs="Times New Roman"/>
          <w:b/>
          <w:sz w:val="24"/>
          <w:szCs w:val="24"/>
        </w:rPr>
        <w:t xml:space="preserve">Pros and </w:t>
      </w:r>
      <w:r w:rsidR="006624B2">
        <w:rPr>
          <w:rFonts w:ascii="Times New Roman" w:hAnsi="Times New Roman" w:cs="Times New Roman"/>
          <w:b/>
          <w:sz w:val="24"/>
          <w:szCs w:val="24"/>
        </w:rPr>
        <w:t>c</w:t>
      </w:r>
      <w:r w:rsidRPr="004C20BC">
        <w:rPr>
          <w:rFonts w:ascii="Times New Roman" w:hAnsi="Times New Roman" w:cs="Times New Roman"/>
          <w:b/>
          <w:sz w:val="24"/>
          <w:szCs w:val="24"/>
        </w:rPr>
        <w:t xml:space="preserve">ons of 16S and </w:t>
      </w:r>
      <w:r w:rsidR="006624B2">
        <w:rPr>
          <w:rFonts w:ascii="Times New Roman" w:hAnsi="Times New Roman" w:cs="Times New Roman"/>
          <w:b/>
          <w:sz w:val="24"/>
          <w:szCs w:val="24"/>
        </w:rPr>
        <w:t>s</w:t>
      </w:r>
      <w:r w:rsidRPr="004C20BC">
        <w:rPr>
          <w:rFonts w:ascii="Times New Roman" w:hAnsi="Times New Roman" w:cs="Times New Roman"/>
          <w:b/>
          <w:sz w:val="24"/>
          <w:szCs w:val="24"/>
        </w:rPr>
        <w:t xml:space="preserve">hotgun </w:t>
      </w:r>
      <w:r w:rsidR="006624B2">
        <w:rPr>
          <w:rFonts w:ascii="Times New Roman" w:hAnsi="Times New Roman" w:cs="Times New Roman"/>
          <w:b/>
          <w:sz w:val="24"/>
          <w:szCs w:val="24"/>
        </w:rPr>
        <w:t>m</w:t>
      </w:r>
      <w:r w:rsidRPr="004C20BC">
        <w:rPr>
          <w:rFonts w:ascii="Times New Roman" w:hAnsi="Times New Roman" w:cs="Times New Roman"/>
          <w:b/>
          <w:sz w:val="24"/>
          <w:szCs w:val="24"/>
        </w:rPr>
        <w:t xml:space="preserve">etagenomics </w:t>
      </w:r>
      <w:r w:rsidR="006624B2">
        <w:rPr>
          <w:rFonts w:ascii="Times New Roman" w:hAnsi="Times New Roman" w:cs="Times New Roman"/>
          <w:b/>
          <w:sz w:val="24"/>
          <w:szCs w:val="24"/>
        </w:rPr>
        <w:t>s</w:t>
      </w:r>
      <w:r w:rsidRPr="004C20BC">
        <w:rPr>
          <w:rFonts w:ascii="Times New Roman" w:hAnsi="Times New Roman" w:cs="Times New Roman"/>
          <w:b/>
          <w:sz w:val="24"/>
          <w:szCs w:val="24"/>
        </w:rPr>
        <w:t xml:space="preserve">equencing </w:t>
      </w:r>
      <w:r w:rsidR="006624B2">
        <w:rPr>
          <w:rFonts w:ascii="Times New Roman" w:hAnsi="Times New Roman" w:cs="Times New Roman"/>
          <w:b/>
          <w:sz w:val="24"/>
          <w:szCs w:val="24"/>
        </w:rPr>
        <w:t>t</w:t>
      </w:r>
      <w:r w:rsidRPr="004C20BC">
        <w:rPr>
          <w:rFonts w:ascii="Times New Roman" w:hAnsi="Times New Roman" w:cs="Times New Roman"/>
          <w:b/>
          <w:sz w:val="24"/>
          <w:szCs w:val="24"/>
        </w:rPr>
        <w:t>echnology</w:t>
      </w:r>
      <w:r w:rsidR="006624B2">
        <w:rPr>
          <w:rFonts w:ascii="Times New Roman" w:hAnsi="Times New Roman" w:cs="Times New Roman"/>
          <w:b/>
          <w:sz w:val="24"/>
          <w:szCs w:val="24"/>
        </w:rPr>
        <w:t xml:space="preserve">. </w:t>
      </w:r>
      <w:r w:rsidRPr="004C20BC">
        <w:rPr>
          <w:rFonts w:ascii="Times New Roman" w:hAnsi="Times New Roman" w:cs="Times New Roman"/>
          <w:sz w:val="24"/>
          <w:szCs w:val="24"/>
        </w:rPr>
        <w:t xml:space="preserve">Despite notable differences </w:t>
      </w:r>
      <w:r w:rsidR="003C2279">
        <w:rPr>
          <w:rFonts w:ascii="Times New Roman" w:hAnsi="Times New Roman" w:cs="Times New Roman"/>
          <w:sz w:val="24"/>
          <w:szCs w:val="24"/>
        </w:rPr>
        <w:t>between</w:t>
      </w:r>
      <w:r w:rsidR="003C2279" w:rsidRPr="004C20BC">
        <w:rPr>
          <w:rFonts w:ascii="Times New Roman" w:hAnsi="Times New Roman" w:cs="Times New Roman"/>
          <w:sz w:val="24"/>
          <w:szCs w:val="24"/>
        </w:rPr>
        <w:t xml:space="preserve"> </w:t>
      </w:r>
      <w:r w:rsidRPr="004C20BC">
        <w:rPr>
          <w:rFonts w:ascii="Times New Roman" w:hAnsi="Times New Roman" w:cs="Times New Roman"/>
          <w:sz w:val="24"/>
          <w:szCs w:val="24"/>
        </w:rPr>
        <w:t xml:space="preserve">16S rRNA and shotgun sequencing approaches, there are several common factors </w:t>
      </w:r>
      <w:r w:rsidR="003C2279">
        <w:rPr>
          <w:rFonts w:ascii="Times New Roman" w:hAnsi="Times New Roman" w:cs="Times New Roman"/>
          <w:sz w:val="24"/>
          <w:szCs w:val="24"/>
        </w:rPr>
        <w:t>for researchers to</w:t>
      </w:r>
      <w:r w:rsidRPr="004C20BC">
        <w:rPr>
          <w:rFonts w:ascii="Times New Roman" w:hAnsi="Times New Roman" w:cs="Times New Roman"/>
          <w:sz w:val="24"/>
          <w:szCs w:val="24"/>
        </w:rPr>
        <w:t xml:space="preserve"> consider when </w:t>
      </w:r>
      <w:r w:rsidR="003C2279">
        <w:rPr>
          <w:rFonts w:ascii="Times New Roman" w:hAnsi="Times New Roman" w:cs="Times New Roman"/>
          <w:sz w:val="24"/>
          <w:szCs w:val="24"/>
        </w:rPr>
        <w:t xml:space="preserve">they are </w:t>
      </w:r>
      <w:r w:rsidRPr="004C20BC">
        <w:rPr>
          <w:rFonts w:ascii="Times New Roman" w:hAnsi="Times New Roman" w:cs="Times New Roman"/>
          <w:sz w:val="24"/>
          <w:szCs w:val="24"/>
        </w:rPr>
        <w:t>starting microbiome research studies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Both approaches depend on workflows upstream of the library preparation and sequencing, including sampling, sample storage, and genomic DNA extraction </w:t>
      </w:r>
      <w:r w:rsidR="00B67021" w:rsidRPr="004C20BC">
        <w:rPr>
          <w:rFonts w:ascii="Times New Roman" w:hAnsi="Times New Roman" w:cs="Times New Roman"/>
          <w:noProof/>
          <w:sz w:val="24"/>
          <w:szCs w:val="24"/>
        </w:rPr>
        <w:t>(Brooks et al., 2015; Choo, Leong, &amp; Rogers, 2015)</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9E108B">
        <w:rPr>
          <w:rFonts w:ascii="Times New Roman" w:hAnsi="Times New Roman" w:cs="Times New Roman"/>
          <w:sz w:val="24"/>
          <w:szCs w:val="24"/>
        </w:rPr>
        <w:t>Investigators should thus take g</w:t>
      </w:r>
      <w:r w:rsidRPr="004C20BC">
        <w:rPr>
          <w:rFonts w:ascii="Times New Roman" w:hAnsi="Times New Roman" w:cs="Times New Roman"/>
          <w:sz w:val="24"/>
          <w:szCs w:val="24"/>
        </w:rPr>
        <w:t xml:space="preserve">reat care </w:t>
      </w:r>
      <w:r w:rsidR="009E108B">
        <w:rPr>
          <w:rFonts w:ascii="Times New Roman" w:hAnsi="Times New Roman" w:cs="Times New Roman"/>
          <w:sz w:val="24"/>
          <w:szCs w:val="24"/>
        </w:rPr>
        <w:t>to</w:t>
      </w:r>
      <w:r w:rsidRPr="004C20BC">
        <w:rPr>
          <w:rFonts w:ascii="Times New Roman" w:hAnsi="Times New Roman" w:cs="Times New Roman"/>
          <w:sz w:val="24"/>
          <w:szCs w:val="24"/>
        </w:rPr>
        <w:t xml:space="preserve"> establish proper experimental design</w:t>
      </w:r>
      <w:r w:rsidR="00F8063B">
        <w:rPr>
          <w:rFonts w:ascii="Times New Roman" w:hAnsi="Times New Roman" w:cs="Times New Roman"/>
          <w:sz w:val="24"/>
          <w:szCs w:val="24"/>
        </w:rPr>
        <w:t xml:space="preserve"> and</w:t>
      </w:r>
      <w:r w:rsidR="00F8063B" w:rsidRPr="004C20BC">
        <w:rPr>
          <w:rFonts w:ascii="Times New Roman" w:hAnsi="Times New Roman" w:cs="Times New Roman"/>
          <w:sz w:val="24"/>
          <w:szCs w:val="24"/>
        </w:rPr>
        <w:t xml:space="preserve"> </w:t>
      </w:r>
      <w:r w:rsidRPr="004C20BC">
        <w:rPr>
          <w:rFonts w:ascii="Times New Roman" w:hAnsi="Times New Roman" w:cs="Times New Roman"/>
          <w:sz w:val="24"/>
          <w:szCs w:val="24"/>
        </w:rPr>
        <w:t>sampling, storage, and library preparation</w:t>
      </w:r>
      <w:r w:rsidR="00F8063B">
        <w:rPr>
          <w:rFonts w:ascii="Times New Roman" w:hAnsi="Times New Roman" w:cs="Times New Roman"/>
          <w:sz w:val="24"/>
          <w:szCs w:val="24"/>
        </w:rPr>
        <w:t xml:space="preserve"> procedures</w:t>
      </w:r>
      <w:r w:rsidRPr="004C20BC">
        <w:rPr>
          <w:rFonts w:ascii="Times New Roman" w:hAnsi="Times New Roman" w:cs="Times New Roman"/>
          <w:sz w:val="24"/>
          <w:szCs w:val="24"/>
        </w:rPr>
        <w:t xml:space="preserve"> to reduce bias </w:t>
      </w:r>
      <w:r w:rsidR="00605C38" w:rsidRPr="004C20BC">
        <w:rPr>
          <w:rFonts w:ascii="Times New Roman" w:hAnsi="Times New Roman" w:cs="Times New Roman"/>
          <w:noProof/>
          <w:sz w:val="24"/>
          <w:szCs w:val="24"/>
        </w:rPr>
        <w:t>(Goodrich et al., 2014; Ionescu et al., 2016)</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B01B1F">
        <w:rPr>
          <w:rFonts w:ascii="Times New Roman" w:hAnsi="Times New Roman" w:cs="Times New Roman"/>
          <w:sz w:val="24"/>
          <w:szCs w:val="24"/>
        </w:rPr>
        <w:t>R</w:t>
      </w:r>
      <w:r w:rsidRPr="004C20BC">
        <w:rPr>
          <w:rFonts w:ascii="Times New Roman" w:hAnsi="Times New Roman" w:cs="Times New Roman"/>
          <w:sz w:val="24"/>
          <w:szCs w:val="24"/>
        </w:rPr>
        <w:t xml:space="preserve">ecently, cell- and DNA-based standards have been developed for microbiome studies </w:t>
      </w:r>
      <w:r w:rsidR="00B01B1F">
        <w:rPr>
          <w:rFonts w:ascii="Times New Roman" w:hAnsi="Times New Roman" w:cs="Times New Roman"/>
          <w:sz w:val="24"/>
          <w:szCs w:val="24"/>
        </w:rPr>
        <w:t>that allow for the</w:t>
      </w:r>
      <w:r w:rsidRPr="004C20BC">
        <w:rPr>
          <w:rFonts w:ascii="Times New Roman" w:hAnsi="Times New Roman" w:cs="Times New Roman"/>
          <w:sz w:val="24"/>
          <w:szCs w:val="24"/>
        </w:rPr>
        <w:t xml:space="preserve"> assess</w:t>
      </w:r>
      <w:r w:rsidR="00B01B1F">
        <w:rPr>
          <w:rFonts w:ascii="Times New Roman" w:hAnsi="Times New Roman" w:cs="Times New Roman"/>
          <w:sz w:val="24"/>
          <w:szCs w:val="24"/>
        </w:rPr>
        <w:t>ment of</w:t>
      </w:r>
      <w:r w:rsidRPr="004C20BC">
        <w:rPr>
          <w:rFonts w:ascii="Times New Roman" w:hAnsi="Times New Roman" w:cs="Times New Roman"/>
          <w:sz w:val="24"/>
          <w:szCs w:val="24"/>
        </w:rPr>
        <w:t xml:space="preserve"> DNA extraction efficiency and bias associated with library preparation</w:t>
      </w:r>
      <w:r w:rsidR="00605C38" w:rsidRPr="004C20BC">
        <w:rPr>
          <w:rFonts w:ascii="Times New Roman" w:hAnsi="Times New Roman" w:cs="Times New Roman"/>
          <w:sz w:val="24"/>
          <w:szCs w:val="24"/>
        </w:rPr>
        <w:t xml:space="preserve"> </w:t>
      </w:r>
      <w:r w:rsidR="00605C38" w:rsidRPr="004C20BC">
        <w:rPr>
          <w:rFonts w:ascii="Times New Roman" w:hAnsi="Times New Roman" w:cs="Times New Roman"/>
          <w:noProof/>
          <w:sz w:val="24"/>
          <w:szCs w:val="24"/>
        </w:rPr>
        <w:t>(Tighe et al., 2017)</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In addition to upstream sources of bias, library preparation protocols can differ greatly</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For 16S rRNA gene amplicon sequencing, a large number of primer sets can be used as well as a wide range of PCR </w:t>
      </w:r>
      <w:r w:rsidRPr="004C20BC">
        <w:rPr>
          <w:rFonts w:ascii="Times New Roman" w:hAnsi="Times New Roman" w:cs="Times New Roman"/>
          <w:noProof/>
          <w:sz w:val="24"/>
          <w:szCs w:val="24"/>
        </w:rPr>
        <w:t>mastermixes</w:t>
      </w:r>
      <w:r w:rsidRPr="004C20BC">
        <w:rPr>
          <w:rFonts w:ascii="Times New Roman" w:hAnsi="Times New Roman" w:cs="Times New Roman"/>
          <w:sz w:val="24"/>
          <w:szCs w:val="24"/>
        </w:rPr>
        <w:t xml:space="preserve"> and PCR conditions </w:t>
      </w:r>
      <w:r w:rsidRPr="004C20BC">
        <w:rPr>
          <w:rFonts w:ascii="Times New Roman" w:hAnsi="Times New Roman" w:cs="Times New Roman"/>
          <w:noProof/>
          <w:sz w:val="24"/>
          <w:szCs w:val="24"/>
        </w:rPr>
        <w:t>tha</w:t>
      </w:r>
      <w:r w:rsidR="002169D6" w:rsidRPr="004C20BC">
        <w:rPr>
          <w:rFonts w:ascii="Times New Roman" w:hAnsi="Times New Roman" w:cs="Times New Roman"/>
          <w:noProof/>
          <w:sz w:val="24"/>
          <w:szCs w:val="24"/>
        </w:rPr>
        <w:t xml:space="preserve">t </w:t>
      </w:r>
      <w:r w:rsidRPr="004C20BC">
        <w:rPr>
          <w:rFonts w:ascii="Times New Roman" w:hAnsi="Times New Roman" w:cs="Times New Roman"/>
          <w:sz w:val="24"/>
          <w:szCs w:val="24"/>
        </w:rPr>
        <w:t>can greatly influence the observed microbial community</w:t>
      </w:r>
      <w:r w:rsidR="00CA4E31" w:rsidRPr="004C20BC">
        <w:rPr>
          <w:rFonts w:ascii="Times New Roman" w:hAnsi="Times New Roman" w:cs="Times New Roman"/>
          <w:sz w:val="24"/>
          <w:szCs w:val="24"/>
        </w:rPr>
        <w:t xml:space="preserve"> </w:t>
      </w:r>
      <w:r w:rsidR="00CA4E31" w:rsidRPr="004C20BC">
        <w:rPr>
          <w:rFonts w:ascii="Times New Roman" w:hAnsi="Times New Roman" w:cs="Times New Roman"/>
          <w:noProof/>
          <w:sz w:val="24"/>
          <w:szCs w:val="24"/>
        </w:rPr>
        <w:t>(Green et al., 2015)</w:t>
      </w:r>
      <w:r w:rsidR="00CA4E31"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Similarly, for shotgun sequencing approaches, there are a number of different techniques for fragmenting genomic DNA as well as a wide range of kits for library preparation</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These preparation protocols can also influence the observed microbial community</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Finally, </w:t>
      </w:r>
      <w:r w:rsidR="00AC75F2" w:rsidRPr="004C20BC">
        <w:rPr>
          <w:rFonts w:ascii="Times New Roman" w:hAnsi="Times New Roman" w:cs="Times New Roman"/>
          <w:sz w:val="24"/>
          <w:szCs w:val="24"/>
        </w:rPr>
        <w:t xml:space="preserve">analysis can </w:t>
      </w:r>
      <w:r w:rsidR="00AC75F2">
        <w:rPr>
          <w:rFonts w:ascii="Times New Roman" w:hAnsi="Times New Roman" w:cs="Times New Roman"/>
          <w:sz w:val="24"/>
          <w:szCs w:val="24"/>
        </w:rPr>
        <w:t xml:space="preserve">be </w:t>
      </w:r>
      <w:r w:rsidR="00AC75F2" w:rsidRPr="004C20BC">
        <w:rPr>
          <w:rFonts w:ascii="Times New Roman" w:hAnsi="Times New Roman" w:cs="Times New Roman"/>
          <w:sz w:val="24"/>
          <w:szCs w:val="24"/>
        </w:rPr>
        <w:t>influence</w:t>
      </w:r>
      <w:r w:rsidR="00AC75F2">
        <w:rPr>
          <w:rFonts w:ascii="Times New Roman" w:hAnsi="Times New Roman" w:cs="Times New Roman"/>
          <w:sz w:val="24"/>
          <w:szCs w:val="24"/>
        </w:rPr>
        <w:t>d</w:t>
      </w:r>
      <w:r w:rsidR="00AC75F2" w:rsidRPr="004C20BC">
        <w:rPr>
          <w:rFonts w:ascii="Times New Roman" w:hAnsi="Times New Roman" w:cs="Times New Roman"/>
          <w:sz w:val="24"/>
          <w:szCs w:val="24"/>
        </w:rPr>
        <w:t xml:space="preserve"> </w:t>
      </w:r>
      <w:r w:rsidR="00AC75F2">
        <w:rPr>
          <w:rFonts w:ascii="Times New Roman" w:hAnsi="Times New Roman" w:cs="Times New Roman"/>
          <w:sz w:val="24"/>
          <w:szCs w:val="24"/>
        </w:rPr>
        <w:t xml:space="preserve">by </w:t>
      </w:r>
      <w:r w:rsidRPr="004C20BC">
        <w:rPr>
          <w:rFonts w:ascii="Times New Roman" w:hAnsi="Times New Roman" w:cs="Times New Roman"/>
          <w:sz w:val="24"/>
          <w:szCs w:val="24"/>
        </w:rPr>
        <w:t>the software used for data analysis, databases u</w:t>
      </w:r>
      <w:r w:rsidR="00AC75F2">
        <w:rPr>
          <w:rFonts w:ascii="Times New Roman" w:hAnsi="Times New Roman" w:cs="Times New Roman"/>
          <w:sz w:val="24"/>
          <w:szCs w:val="24"/>
        </w:rPr>
        <w:t>s</w:t>
      </w:r>
      <w:r w:rsidRPr="004C20BC">
        <w:rPr>
          <w:rFonts w:ascii="Times New Roman" w:hAnsi="Times New Roman" w:cs="Times New Roman"/>
          <w:sz w:val="24"/>
          <w:szCs w:val="24"/>
        </w:rPr>
        <w:t>ed for output classification, clustering strategies, and taxonomic level of analysis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Microbiome analysis by 16S rRNA amplification is still the most commonly used approach </w:t>
      </w:r>
      <w:r w:rsidR="00BB44A5" w:rsidRPr="004C20BC">
        <w:rPr>
          <w:rFonts w:ascii="Times New Roman" w:hAnsi="Times New Roman" w:cs="Times New Roman"/>
          <w:sz w:val="24"/>
          <w:szCs w:val="24"/>
        </w:rPr>
        <w:t>because</w:t>
      </w:r>
      <w:r w:rsidRPr="004C20BC">
        <w:rPr>
          <w:rFonts w:ascii="Times New Roman" w:hAnsi="Times New Roman" w:cs="Times New Roman"/>
          <w:sz w:val="24"/>
          <w:szCs w:val="24"/>
        </w:rPr>
        <w:t xml:space="preserve"> it is </w:t>
      </w:r>
      <w:r w:rsidR="00D7695A">
        <w:rPr>
          <w:rFonts w:ascii="Times New Roman" w:hAnsi="Times New Roman" w:cs="Times New Roman"/>
          <w:noProof/>
          <w:sz w:val="24"/>
          <w:szCs w:val="24"/>
        </w:rPr>
        <w:t>relatively inexpensive (generally in the range of $15</w:t>
      </w:r>
      <w:r w:rsidR="00D57010">
        <w:rPr>
          <w:rFonts w:ascii="Times New Roman" w:hAnsi="Times New Roman" w:cs="Times New Roman"/>
          <w:noProof/>
          <w:sz w:val="24"/>
          <w:szCs w:val="24"/>
        </w:rPr>
        <w:t>–</w:t>
      </w:r>
      <w:r w:rsidR="00D7695A">
        <w:rPr>
          <w:rFonts w:ascii="Times New Roman" w:hAnsi="Times New Roman" w:cs="Times New Roman"/>
          <w:noProof/>
          <w:sz w:val="24"/>
          <w:szCs w:val="24"/>
        </w:rPr>
        <w:t>40/sample, depending on amplicon length and depth of sequencing)</w:t>
      </w:r>
      <w:r w:rsidRPr="004C20BC">
        <w:rPr>
          <w:rFonts w:ascii="Times New Roman" w:hAnsi="Times New Roman" w:cs="Times New Roman"/>
          <w:sz w:val="24"/>
          <w:szCs w:val="24"/>
        </w:rPr>
        <w:t xml:space="preserve">, the data analysis can be performed </w:t>
      </w:r>
      <w:r w:rsidR="00D57010">
        <w:rPr>
          <w:rFonts w:ascii="Times New Roman" w:hAnsi="Times New Roman" w:cs="Times New Roman"/>
          <w:sz w:val="24"/>
          <w:szCs w:val="24"/>
        </w:rPr>
        <w:t xml:space="preserve">using </w:t>
      </w:r>
      <w:r w:rsidRPr="004C20BC">
        <w:rPr>
          <w:rFonts w:ascii="Times New Roman" w:hAnsi="Times New Roman" w:cs="Times New Roman"/>
          <w:sz w:val="24"/>
          <w:szCs w:val="24"/>
        </w:rPr>
        <w:t xml:space="preserve">established pipelines, and there is a </w:t>
      </w:r>
      <w:r w:rsidRPr="004C20BC">
        <w:rPr>
          <w:rFonts w:ascii="Times New Roman" w:hAnsi="Times New Roman" w:cs="Times New Roman"/>
          <w:sz w:val="24"/>
          <w:szCs w:val="24"/>
        </w:rPr>
        <w:lastRenderedPageBreak/>
        <w:t xml:space="preserve">large body of archived data </w:t>
      </w:r>
      <w:r w:rsidR="00732454" w:rsidRPr="004C20BC">
        <w:rPr>
          <w:rFonts w:ascii="Times New Roman" w:hAnsi="Times New Roman" w:cs="Times New Roman"/>
          <w:noProof/>
          <w:sz w:val="24"/>
          <w:szCs w:val="24"/>
        </w:rPr>
        <w:t>(Ranjan, Rani, Metwally, McGee, &amp; Perkins, 2016)</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Additionally, as the technology has been around longer, many online tutorials </w:t>
      </w:r>
      <w:r w:rsidR="00AC75F2" w:rsidRPr="004C20BC">
        <w:rPr>
          <w:rFonts w:ascii="Times New Roman" w:hAnsi="Times New Roman" w:cs="Times New Roman"/>
          <w:sz w:val="24"/>
          <w:szCs w:val="24"/>
        </w:rPr>
        <w:t xml:space="preserve">are </w:t>
      </w:r>
      <w:r w:rsidRPr="004C20BC">
        <w:rPr>
          <w:rFonts w:ascii="Times New Roman" w:hAnsi="Times New Roman" w:cs="Times New Roman"/>
          <w:sz w:val="24"/>
          <w:szCs w:val="24"/>
        </w:rPr>
        <w:t>available on the bioinformatics and statistical analysis of this technology</w:t>
      </w:r>
      <w:r w:rsidR="00525CB7">
        <w:rPr>
          <w:rFonts w:ascii="Times New Roman" w:hAnsi="Times New Roman" w:cs="Times New Roman"/>
          <w:sz w:val="24"/>
          <w:szCs w:val="24"/>
        </w:rPr>
        <w:t>.</w:t>
      </w:r>
    </w:p>
    <w:p w14:paraId="1E0D9DCB" w14:textId="5A6F985E" w:rsidR="00225E56" w:rsidRDefault="00525CB7" w:rsidP="00954345">
      <w:pPr>
        <w:spacing w:line="480" w:lineRule="auto"/>
        <w:rPr>
          <w:rFonts w:ascii="Times New Roman" w:hAnsi="Times New Roman" w:cs="Times New Roman"/>
          <w:sz w:val="24"/>
          <w:szCs w:val="24"/>
        </w:rPr>
      </w:pPr>
      <w:r>
        <w:rPr>
          <w:rFonts w:ascii="Times New Roman" w:hAnsi="Times New Roman" w:cs="Times New Roman"/>
          <w:sz w:val="24"/>
          <w:szCs w:val="24"/>
        </w:rPr>
        <w:tab/>
      </w:r>
      <w:r w:rsidR="00592EE6" w:rsidRPr="004C20BC">
        <w:rPr>
          <w:rFonts w:ascii="Times New Roman" w:hAnsi="Times New Roman" w:cs="Times New Roman"/>
          <w:sz w:val="24"/>
          <w:szCs w:val="24"/>
        </w:rPr>
        <w:t>Shotgun metagenome sequencing, as described above, has many advantages over 16S rRNA gene amplicon sequencing but remains substantially more expensive</w:t>
      </w:r>
      <w:r w:rsidR="00D7695A">
        <w:rPr>
          <w:rFonts w:ascii="Times New Roman" w:hAnsi="Times New Roman" w:cs="Times New Roman"/>
          <w:sz w:val="24"/>
          <w:szCs w:val="24"/>
        </w:rPr>
        <w:t xml:space="preserve"> (generally in the range of $100</w:t>
      </w:r>
      <w:r w:rsidR="003A5878">
        <w:rPr>
          <w:rFonts w:ascii="Times New Roman" w:hAnsi="Times New Roman" w:cs="Times New Roman"/>
          <w:sz w:val="24"/>
          <w:szCs w:val="24"/>
        </w:rPr>
        <w:t>–</w:t>
      </w:r>
      <w:r w:rsidR="00D7695A">
        <w:rPr>
          <w:rFonts w:ascii="Times New Roman" w:hAnsi="Times New Roman" w:cs="Times New Roman"/>
          <w:sz w:val="24"/>
          <w:szCs w:val="24"/>
        </w:rPr>
        <w:t>400/sample, depending on library preparation protocol, sequencing read length, and depth of sequencing)</w:t>
      </w:r>
      <w:r w:rsidR="00592EE6" w:rsidRPr="004C20BC">
        <w:rPr>
          <w:rFonts w:ascii="Times New Roman" w:hAnsi="Times New Roman" w:cs="Times New Roman"/>
          <w:sz w:val="24"/>
          <w:szCs w:val="24"/>
        </w:rPr>
        <w:t xml:space="preserve"> and is</w:t>
      </w:r>
      <w:r w:rsidR="006E20BA">
        <w:rPr>
          <w:rFonts w:ascii="Times New Roman" w:hAnsi="Times New Roman" w:cs="Times New Roman"/>
          <w:sz w:val="24"/>
          <w:szCs w:val="24"/>
        </w:rPr>
        <w:t>,</w:t>
      </w:r>
      <w:r w:rsidR="00592EE6" w:rsidRPr="004C20BC">
        <w:rPr>
          <w:rFonts w:ascii="Times New Roman" w:hAnsi="Times New Roman" w:cs="Times New Roman"/>
          <w:sz w:val="24"/>
          <w:szCs w:val="24"/>
        </w:rPr>
        <w:t xml:space="preserve"> itself</w:t>
      </w:r>
      <w:r w:rsidR="006E20BA">
        <w:rPr>
          <w:rFonts w:ascii="Times New Roman" w:hAnsi="Times New Roman" w:cs="Times New Roman"/>
          <w:sz w:val="24"/>
          <w:szCs w:val="24"/>
        </w:rPr>
        <w:t>,</w:t>
      </w:r>
      <w:r w:rsidR="00592EE6" w:rsidRPr="004C20BC">
        <w:rPr>
          <w:rFonts w:ascii="Times New Roman" w:hAnsi="Times New Roman" w:cs="Times New Roman"/>
          <w:sz w:val="24"/>
          <w:szCs w:val="24"/>
        </w:rPr>
        <w:t xml:space="preserve"> not immune from improper annotation of sequences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92EE6" w:rsidRPr="004C20BC">
        <w:rPr>
          <w:rFonts w:ascii="Times New Roman" w:hAnsi="Times New Roman" w:cs="Times New Roman"/>
          <w:sz w:val="24"/>
          <w:szCs w:val="24"/>
        </w:rPr>
        <w:t xml:space="preserve">Although </w:t>
      </w:r>
      <w:r w:rsidR="00AC75F2">
        <w:rPr>
          <w:rFonts w:ascii="Times New Roman" w:hAnsi="Times New Roman" w:cs="Times New Roman"/>
          <w:sz w:val="24"/>
          <w:szCs w:val="24"/>
        </w:rPr>
        <w:t xml:space="preserve">some </w:t>
      </w:r>
      <w:r w:rsidR="00592EE6" w:rsidRPr="004C20BC">
        <w:rPr>
          <w:rFonts w:ascii="Times New Roman" w:hAnsi="Times New Roman" w:cs="Times New Roman"/>
          <w:sz w:val="24"/>
          <w:szCs w:val="24"/>
        </w:rPr>
        <w:t xml:space="preserve">software packages have </w:t>
      </w:r>
      <w:r w:rsidR="0014031A">
        <w:rPr>
          <w:rFonts w:ascii="Times New Roman" w:hAnsi="Times New Roman" w:cs="Times New Roman"/>
          <w:sz w:val="24"/>
          <w:szCs w:val="24"/>
        </w:rPr>
        <w:t>include</w:t>
      </w:r>
      <w:r w:rsidR="00F82234">
        <w:rPr>
          <w:rFonts w:ascii="Times New Roman" w:hAnsi="Times New Roman" w:cs="Times New Roman"/>
          <w:sz w:val="24"/>
          <w:szCs w:val="24"/>
        </w:rPr>
        <w:t>d</w:t>
      </w:r>
      <w:r w:rsidR="0014031A">
        <w:rPr>
          <w:rFonts w:ascii="Times New Roman" w:hAnsi="Times New Roman" w:cs="Times New Roman"/>
          <w:sz w:val="24"/>
          <w:szCs w:val="24"/>
        </w:rPr>
        <w:t xml:space="preserve"> attempts</w:t>
      </w:r>
      <w:r w:rsidR="00592EE6" w:rsidRPr="004C20BC">
        <w:rPr>
          <w:rFonts w:ascii="Times New Roman" w:hAnsi="Times New Roman" w:cs="Times New Roman"/>
          <w:sz w:val="24"/>
          <w:szCs w:val="24"/>
        </w:rPr>
        <w:t xml:space="preserve"> to use 16S rRNA gene amplicon sequence data to infer the presence of specific functional genes</w:t>
      </w:r>
      <w:r w:rsidR="00CA4E31" w:rsidRPr="004C20BC">
        <w:rPr>
          <w:rFonts w:ascii="Times New Roman" w:hAnsi="Times New Roman" w:cs="Times New Roman"/>
          <w:sz w:val="24"/>
          <w:szCs w:val="24"/>
        </w:rPr>
        <w:t xml:space="preserve"> </w:t>
      </w:r>
      <w:r w:rsidR="00A3357D" w:rsidRPr="004C20BC">
        <w:rPr>
          <w:rFonts w:ascii="Times New Roman" w:hAnsi="Times New Roman" w:cs="Times New Roman"/>
          <w:noProof/>
          <w:sz w:val="24"/>
          <w:szCs w:val="24"/>
        </w:rPr>
        <w:t>(Langille et al., 2013)</w:t>
      </w:r>
      <w:r w:rsidR="00CA4E31" w:rsidRPr="004C20BC">
        <w:rPr>
          <w:rFonts w:ascii="Times New Roman" w:hAnsi="Times New Roman" w:cs="Times New Roman"/>
          <w:sz w:val="24"/>
          <w:szCs w:val="24"/>
        </w:rPr>
        <w:t>,</w:t>
      </w:r>
      <w:r w:rsidR="00592EE6" w:rsidRPr="004C20BC">
        <w:rPr>
          <w:rFonts w:ascii="Times New Roman" w:hAnsi="Times New Roman" w:cs="Times New Roman"/>
          <w:sz w:val="24"/>
          <w:szCs w:val="24"/>
        </w:rPr>
        <w:t xml:space="preserve"> shotgun data provide a more rigorous option to generate taxonomic data, </w:t>
      </w:r>
      <w:r w:rsidR="00F82234" w:rsidRPr="004C20BC">
        <w:rPr>
          <w:rFonts w:ascii="Times New Roman" w:hAnsi="Times New Roman" w:cs="Times New Roman"/>
          <w:sz w:val="24"/>
          <w:szCs w:val="24"/>
        </w:rPr>
        <w:t>functional</w:t>
      </w:r>
      <w:r w:rsidR="00F82234">
        <w:rPr>
          <w:rFonts w:ascii="Times New Roman" w:hAnsi="Times New Roman" w:cs="Times New Roman"/>
          <w:sz w:val="24"/>
          <w:szCs w:val="24"/>
        </w:rPr>
        <w:t>-</w:t>
      </w:r>
      <w:r w:rsidR="00592EE6" w:rsidRPr="004C20BC">
        <w:rPr>
          <w:rFonts w:ascii="Times New Roman" w:hAnsi="Times New Roman" w:cs="Times New Roman"/>
          <w:sz w:val="24"/>
          <w:szCs w:val="24"/>
        </w:rPr>
        <w:t>gene data, and coupled taxonomic information for functional genes (</w:t>
      </w:r>
      <w:r w:rsidR="00592EE6" w:rsidRPr="00C14227">
        <w:rPr>
          <w:rFonts w:ascii="Times New Roman" w:hAnsi="Times New Roman" w:cs="Times New Roman"/>
          <w:sz w:val="24"/>
          <w:szCs w:val="24"/>
        </w:rPr>
        <w:t>i.e.,</w:t>
      </w:r>
      <w:r w:rsidR="00936EB1">
        <w:rPr>
          <w:rFonts w:ascii="Times New Roman" w:hAnsi="Times New Roman" w:cs="Times New Roman"/>
          <w:sz w:val="24"/>
          <w:szCs w:val="24"/>
        </w:rPr>
        <w:t xml:space="preserve"> allow for the</w:t>
      </w:r>
      <w:r w:rsidR="00592EE6" w:rsidRPr="00C14227">
        <w:rPr>
          <w:rFonts w:ascii="Times New Roman" w:hAnsi="Times New Roman" w:cs="Times New Roman"/>
          <w:sz w:val="24"/>
          <w:szCs w:val="24"/>
        </w:rPr>
        <w:t xml:space="preserve"> identi</w:t>
      </w:r>
      <w:r w:rsidR="00592EE6" w:rsidRPr="004C20BC">
        <w:rPr>
          <w:rFonts w:ascii="Times New Roman" w:hAnsi="Times New Roman" w:cs="Times New Roman"/>
          <w:sz w:val="24"/>
          <w:szCs w:val="24"/>
        </w:rPr>
        <w:t>f</w:t>
      </w:r>
      <w:r w:rsidR="00936EB1">
        <w:rPr>
          <w:rFonts w:ascii="Times New Roman" w:hAnsi="Times New Roman" w:cs="Times New Roman"/>
          <w:sz w:val="24"/>
          <w:szCs w:val="24"/>
        </w:rPr>
        <w:t>ication of</w:t>
      </w:r>
      <w:r w:rsidR="00592EE6" w:rsidRPr="004C20BC">
        <w:rPr>
          <w:rFonts w:ascii="Times New Roman" w:hAnsi="Times New Roman" w:cs="Times New Roman"/>
          <w:sz w:val="24"/>
          <w:szCs w:val="24"/>
        </w:rPr>
        <w:t xml:space="preserve"> the source organism for a gene of interest that is not a ribosomal RNA gene)</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92EE6" w:rsidRPr="004C20BC">
        <w:rPr>
          <w:rFonts w:ascii="Times New Roman" w:hAnsi="Times New Roman" w:cs="Times New Roman"/>
          <w:sz w:val="24"/>
          <w:szCs w:val="24"/>
        </w:rPr>
        <w:t>Shotgun sequence data can be used for assembly of large genomic fragments and</w:t>
      </w:r>
      <w:r w:rsidR="00B66ECC">
        <w:rPr>
          <w:rFonts w:ascii="Times New Roman" w:hAnsi="Times New Roman" w:cs="Times New Roman"/>
          <w:sz w:val="24"/>
          <w:szCs w:val="24"/>
        </w:rPr>
        <w:t>,</w:t>
      </w:r>
      <w:r w:rsidR="00592EE6" w:rsidRPr="004C20BC">
        <w:rPr>
          <w:rFonts w:ascii="Times New Roman" w:hAnsi="Times New Roman" w:cs="Times New Roman"/>
          <w:sz w:val="24"/>
          <w:szCs w:val="24"/>
        </w:rPr>
        <w:t xml:space="preserve"> in some cases, </w:t>
      </w:r>
      <w:r w:rsidR="00592EE6" w:rsidRPr="004C20BC">
        <w:rPr>
          <w:rFonts w:ascii="Times New Roman" w:hAnsi="Times New Roman" w:cs="Times New Roman"/>
          <w:noProof/>
          <w:sz w:val="24"/>
          <w:szCs w:val="24"/>
        </w:rPr>
        <w:t>near complete</w:t>
      </w:r>
      <w:r w:rsidR="00592EE6" w:rsidRPr="004C20BC">
        <w:rPr>
          <w:rFonts w:ascii="Times New Roman" w:hAnsi="Times New Roman" w:cs="Times New Roman"/>
          <w:sz w:val="24"/>
          <w:szCs w:val="24"/>
        </w:rPr>
        <w:t xml:space="preserve"> genomes</w:t>
      </w:r>
      <w:r w:rsidR="00A3357D" w:rsidRPr="004C20BC">
        <w:rPr>
          <w:rFonts w:ascii="Times New Roman" w:hAnsi="Times New Roman" w:cs="Times New Roman"/>
          <w:sz w:val="24"/>
          <w:szCs w:val="24"/>
        </w:rPr>
        <w:t xml:space="preserve"> </w:t>
      </w:r>
      <w:r w:rsidR="00A200BF">
        <w:rPr>
          <w:rFonts w:ascii="Times New Roman" w:hAnsi="Times New Roman" w:cs="Times New Roman"/>
          <w:noProof/>
          <w:sz w:val="24"/>
          <w:szCs w:val="24"/>
        </w:rPr>
        <w:t>(Albertsen et al., 2013; Luo, Tsementzi, Kyrpides, &amp; Konstantinidis, 2012; Sieber et al., 2018)</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00592EE6" w:rsidRPr="004C20BC">
        <w:rPr>
          <w:rFonts w:ascii="Times New Roman" w:hAnsi="Times New Roman" w:cs="Times New Roman"/>
          <w:sz w:val="24"/>
          <w:szCs w:val="24"/>
        </w:rPr>
        <w:t>In addition, shotgun data can be used to generate gene catalogs for specific environments, including host-associated environments such as skin or feces</w:t>
      </w:r>
      <w:r w:rsidR="00A3357D" w:rsidRPr="004C20BC">
        <w:rPr>
          <w:rFonts w:ascii="Times New Roman" w:hAnsi="Times New Roman" w:cs="Times New Roman"/>
          <w:sz w:val="24"/>
          <w:szCs w:val="24"/>
        </w:rPr>
        <w:t xml:space="preserve"> </w:t>
      </w:r>
      <w:r w:rsidR="000F00F0" w:rsidRPr="004C20BC">
        <w:rPr>
          <w:rFonts w:ascii="Times New Roman" w:hAnsi="Times New Roman" w:cs="Times New Roman"/>
          <w:noProof/>
          <w:sz w:val="24"/>
          <w:szCs w:val="24"/>
        </w:rPr>
        <w:t>(Karlsson, Nookaew, &amp; Nielsen, 2014; Qin et al., 2010)</w:t>
      </w:r>
      <w:r w:rsidR="00427100" w:rsidRPr="004C20BC">
        <w:rPr>
          <w:rFonts w:ascii="Times New Roman" w:hAnsi="Times New Roman" w:cs="Times New Roman"/>
          <w:sz w:val="24"/>
          <w:szCs w:val="24"/>
        </w:rPr>
        <w:t>.</w:t>
      </w:r>
      <w:r w:rsidR="00225E56">
        <w:rPr>
          <w:rFonts w:ascii="Times New Roman" w:hAnsi="Times New Roman" w:cs="Times New Roman"/>
          <w:sz w:val="24"/>
          <w:szCs w:val="24"/>
        </w:rPr>
        <w:t xml:space="preserve"> </w:t>
      </w:r>
    </w:p>
    <w:p w14:paraId="5C7922FC" w14:textId="2AF6BC6A" w:rsidR="00592EE6" w:rsidRPr="004C20BC" w:rsidRDefault="00592EE6" w:rsidP="00225E56">
      <w:pPr>
        <w:spacing w:line="480" w:lineRule="auto"/>
        <w:ind w:firstLine="720"/>
        <w:rPr>
          <w:rFonts w:ascii="Times New Roman" w:hAnsi="Times New Roman" w:cs="Times New Roman"/>
          <w:sz w:val="24"/>
          <w:szCs w:val="24"/>
        </w:rPr>
      </w:pPr>
      <w:r w:rsidRPr="004C20BC">
        <w:rPr>
          <w:rFonts w:ascii="Times New Roman" w:hAnsi="Times New Roman" w:cs="Times New Roman"/>
          <w:sz w:val="24"/>
          <w:szCs w:val="24"/>
        </w:rPr>
        <w:t>Finally, it should be noted that 16S rRNA gene amplicon sequencing and shotgun metagenome sequencing can be used in tandem</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16S sequencing can be performed on very large sample sets</w:t>
      </w:r>
      <w:r w:rsidR="00C758C6" w:rsidRPr="004C20BC">
        <w:rPr>
          <w:rFonts w:ascii="Times New Roman" w:hAnsi="Times New Roman" w:cs="Times New Roman"/>
          <w:sz w:val="24"/>
          <w:szCs w:val="24"/>
        </w:rPr>
        <w:t>,</w:t>
      </w:r>
      <w:r w:rsidRPr="004C20BC">
        <w:rPr>
          <w:rFonts w:ascii="Times New Roman" w:hAnsi="Times New Roman" w:cs="Times New Roman"/>
          <w:sz w:val="24"/>
          <w:szCs w:val="24"/>
        </w:rPr>
        <w:t xml:space="preserve"> and the data </w:t>
      </w:r>
      <w:r w:rsidR="00D031A9">
        <w:rPr>
          <w:rFonts w:ascii="Times New Roman" w:hAnsi="Times New Roman" w:cs="Times New Roman"/>
          <w:sz w:val="24"/>
          <w:szCs w:val="24"/>
        </w:rPr>
        <w:t xml:space="preserve">generated from that initial sequencing can be </w:t>
      </w:r>
      <w:r w:rsidRPr="004C20BC">
        <w:rPr>
          <w:rFonts w:ascii="Times New Roman" w:hAnsi="Times New Roman" w:cs="Times New Roman"/>
          <w:sz w:val="24"/>
          <w:szCs w:val="24"/>
        </w:rPr>
        <w:t>used to guide the selection of samples for more in-depth interrogation using shotgun sequencing</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In addition, comparing results from 16S and shotgun sequencing of human-associated microbial communities from many different body sites </w:t>
      </w:r>
      <w:r w:rsidR="00C9198E">
        <w:rPr>
          <w:rFonts w:ascii="Times New Roman" w:hAnsi="Times New Roman" w:cs="Times New Roman"/>
          <w:sz w:val="24"/>
          <w:szCs w:val="24"/>
        </w:rPr>
        <w:t xml:space="preserve">has </w:t>
      </w:r>
      <w:r w:rsidRPr="004C20BC">
        <w:rPr>
          <w:rFonts w:ascii="Times New Roman" w:hAnsi="Times New Roman" w:cs="Times New Roman"/>
          <w:sz w:val="24"/>
          <w:szCs w:val="24"/>
        </w:rPr>
        <w:t xml:space="preserve">revealed a wide range of different microbial communities in </w:t>
      </w:r>
      <w:r w:rsidRPr="004C20BC">
        <w:rPr>
          <w:rFonts w:ascii="Times New Roman" w:hAnsi="Times New Roman" w:cs="Times New Roman"/>
          <w:sz w:val="24"/>
          <w:szCs w:val="24"/>
        </w:rPr>
        <w:lastRenderedPageBreak/>
        <w:t xml:space="preserve">the same niche from different healthy individuals but much lower variation in the relative abundance of metabolic pathways at </w:t>
      </w:r>
      <w:r w:rsidR="00525CB7">
        <w:rPr>
          <w:rFonts w:ascii="Times New Roman" w:hAnsi="Times New Roman" w:cs="Times New Roman"/>
          <w:sz w:val="24"/>
          <w:szCs w:val="24"/>
        </w:rPr>
        <w:t xml:space="preserve">a </w:t>
      </w:r>
      <w:r w:rsidRPr="004C20BC">
        <w:rPr>
          <w:rFonts w:ascii="Times New Roman" w:hAnsi="Times New Roman" w:cs="Times New Roman"/>
          <w:noProof/>
          <w:sz w:val="24"/>
          <w:szCs w:val="24"/>
        </w:rPr>
        <w:t>high</w:t>
      </w:r>
      <w:r w:rsidRPr="004C20BC">
        <w:rPr>
          <w:rFonts w:ascii="Times New Roman" w:hAnsi="Times New Roman" w:cs="Times New Roman"/>
          <w:sz w:val="24"/>
          <w:szCs w:val="24"/>
        </w:rPr>
        <w:t xml:space="preserve"> level</w:t>
      </w:r>
      <w:r w:rsidR="000F00F0" w:rsidRPr="004C20BC">
        <w:rPr>
          <w:rFonts w:ascii="Times New Roman" w:hAnsi="Times New Roman" w:cs="Times New Roman"/>
          <w:sz w:val="24"/>
          <w:szCs w:val="24"/>
        </w:rPr>
        <w:t xml:space="preserve"> </w:t>
      </w:r>
      <w:r w:rsidR="000F00F0" w:rsidRPr="004C20BC">
        <w:rPr>
          <w:rFonts w:ascii="Times New Roman" w:hAnsi="Times New Roman" w:cs="Times New Roman"/>
          <w:noProof/>
          <w:sz w:val="24"/>
          <w:szCs w:val="24"/>
        </w:rPr>
        <w:t>(Huttenhower et al., 2012)</w:t>
      </w:r>
      <w:r w:rsidR="000F00F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Ultimately, the </w:t>
      </w:r>
      <w:r w:rsidR="00434601">
        <w:rPr>
          <w:rFonts w:ascii="Times New Roman" w:hAnsi="Times New Roman" w:cs="Times New Roman"/>
          <w:sz w:val="24"/>
          <w:szCs w:val="24"/>
        </w:rPr>
        <w:t xml:space="preserve">scientific questions being asked in each study should dictate the </w:t>
      </w:r>
      <w:r w:rsidRPr="004C20BC">
        <w:rPr>
          <w:rFonts w:ascii="Times New Roman" w:hAnsi="Times New Roman" w:cs="Times New Roman"/>
          <w:sz w:val="24"/>
          <w:szCs w:val="24"/>
        </w:rPr>
        <w:t xml:space="preserve">choice of method </w:t>
      </w:r>
      <w:r w:rsidR="00434601">
        <w:rPr>
          <w:rFonts w:ascii="Times New Roman" w:hAnsi="Times New Roman" w:cs="Times New Roman"/>
          <w:sz w:val="24"/>
          <w:szCs w:val="24"/>
        </w:rPr>
        <w:t>used</w:t>
      </w:r>
      <w:r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2E3FF49D" w14:textId="77777777" w:rsidR="00592EE6" w:rsidRPr="004C20BC" w:rsidRDefault="00592EE6" w:rsidP="00BF0230">
      <w:pPr>
        <w:spacing w:line="480" w:lineRule="auto"/>
        <w:outlineLvl w:val="0"/>
        <w:rPr>
          <w:rFonts w:ascii="Times New Roman" w:hAnsi="Times New Roman" w:cs="Times New Roman"/>
          <w:b/>
          <w:sz w:val="24"/>
          <w:szCs w:val="24"/>
        </w:rPr>
      </w:pPr>
      <w:r w:rsidRPr="004C20BC">
        <w:rPr>
          <w:rFonts w:ascii="Times New Roman" w:hAnsi="Times New Roman" w:cs="Times New Roman"/>
          <w:b/>
          <w:sz w:val="24"/>
          <w:szCs w:val="24"/>
        </w:rPr>
        <w:t>Classifying Gene Activity: Metatranscriptomics</w:t>
      </w:r>
    </w:p>
    <w:p w14:paraId="6698076B" w14:textId="7131D800" w:rsidR="00592EE6" w:rsidRPr="004C20BC" w:rsidRDefault="00592EE6" w:rsidP="00967C61">
      <w:pPr>
        <w:spacing w:line="480" w:lineRule="auto"/>
        <w:ind w:firstLine="720"/>
        <w:rPr>
          <w:rFonts w:ascii="Times New Roman" w:hAnsi="Times New Roman" w:cs="Times New Roman"/>
          <w:sz w:val="24"/>
          <w:szCs w:val="24"/>
        </w:rPr>
      </w:pPr>
      <w:r w:rsidRPr="004C20BC">
        <w:rPr>
          <w:rFonts w:ascii="Times New Roman" w:hAnsi="Times New Roman" w:cs="Times New Roman"/>
          <w:sz w:val="24"/>
          <w:szCs w:val="24"/>
        </w:rPr>
        <w:t>Shotgun sequencing techniques, in which nucleic acids are sheared and adapters are ligated in a sequence-independent manner</w:t>
      </w:r>
      <w:r w:rsidR="00AC75F2">
        <w:rPr>
          <w:rFonts w:ascii="Times New Roman" w:hAnsi="Times New Roman" w:cs="Times New Roman"/>
          <w:sz w:val="24"/>
          <w:szCs w:val="24"/>
        </w:rPr>
        <w:t>,</w:t>
      </w:r>
      <w:r w:rsidRPr="004C20BC">
        <w:rPr>
          <w:rFonts w:ascii="Times New Roman" w:hAnsi="Times New Roman" w:cs="Times New Roman"/>
          <w:sz w:val="24"/>
          <w:szCs w:val="24"/>
        </w:rPr>
        <w:t xml:space="preserve"> are also employed to target messenger RNAs (mRNAs) in a method </w:t>
      </w:r>
      <w:r w:rsidR="00525CB7">
        <w:rPr>
          <w:rFonts w:ascii="Times New Roman" w:hAnsi="Times New Roman" w:cs="Times New Roman"/>
          <w:sz w:val="24"/>
          <w:szCs w:val="24"/>
        </w:rPr>
        <w:t xml:space="preserve">broadly </w:t>
      </w:r>
      <w:r w:rsidRPr="004C20BC">
        <w:rPr>
          <w:rFonts w:ascii="Times New Roman" w:hAnsi="Times New Roman" w:cs="Times New Roman"/>
          <w:sz w:val="24"/>
          <w:szCs w:val="24"/>
        </w:rPr>
        <w:t xml:space="preserve">termed </w:t>
      </w:r>
      <w:proofErr w:type="spellStart"/>
      <w:r w:rsidRPr="004C20BC">
        <w:rPr>
          <w:rFonts w:ascii="Times New Roman" w:hAnsi="Times New Roman" w:cs="Times New Roman"/>
          <w:sz w:val="24"/>
          <w:szCs w:val="24"/>
        </w:rPr>
        <w:t>RNAseq</w:t>
      </w:r>
      <w:proofErr w:type="spellEnd"/>
      <w:r w:rsidRPr="004C20BC">
        <w:rPr>
          <w:rFonts w:ascii="Times New Roman" w:hAnsi="Times New Roman" w:cs="Times New Roman"/>
          <w:sz w:val="24"/>
          <w:szCs w:val="24"/>
        </w:rPr>
        <w:t xml:space="preserve"> </w:t>
      </w:r>
      <w:r w:rsidRPr="004C20BC">
        <w:rPr>
          <w:rFonts w:ascii="Times New Roman" w:hAnsi="Times New Roman" w:cs="Times New Roman"/>
          <w:noProof/>
          <w:sz w:val="24"/>
          <w:szCs w:val="24"/>
        </w:rPr>
        <w:t>(Di Bella et al., 2013)</w:t>
      </w:r>
      <w:r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When applied to a complex community of microorganisms, this technique is called </w:t>
      </w:r>
      <w:proofErr w:type="spellStart"/>
      <w:r w:rsidRPr="004C20BC">
        <w:rPr>
          <w:rFonts w:ascii="Times New Roman" w:hAnsi="Times New Roman" w:cs="Times New Roman"/>
          <w:sz w:val="24"/>
          <w:szCs w:val="24"/>
        </w:rPr>
        <w:t>metatranscriptomics</w:t>
      </w:r>
      <w:proofErr w:type="spellEnd"/>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Conceptually, the approach is straightforward</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Total RNA extracts are converted to double-stranded complementary DNA (cDNA</w:t>
      </w:r>
      <w:r w:rsidRPr="004C20BC">
        <w:rPr>
          <w:rFonts w:ascii="Times New Roman" w:hAnsi="Times New Roman" w:cs="Times New Roman"/>
          <w:noProof/>
          <w:sz w:val="24"/>
          <w:szCs w:val="24"/>
        </w:rPr>
        <w:t>)</w:t>
      </w:r>
      <w:r w:rsidRPr="004C20BC">
        <w:rPr>
          <w:rFonts w:ascii="Times New Roman" w:hAnsi="Times New Roman" w:cs="Times New Roman"/>
          <w:sz w:val="24"/>
          <w:szCs w:val="24"/>
        </w:rPr>
        <w:t xml:space="preserve"> and subsequently prepared for high-throughput next-generation sequencing</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Unlike shotgun metagenome sequencing, however, the total RNA extract must be manipulated before sequencing</w:t>
      </w:r>
      <w:r w:rsidR="00AC75F2">
        <w:rPr>
          <w:rFonts w:ascii="Times New Roman" w:hAnsi="Times New Roman" w:cs="Times New Roman"/>
          <w:sz w:val="24"/>
          <w:szCs w:val="24"/>
        </w:rPr>
        <w:t xml:space="preserve"> because, </w:t>
      </w:r>
      <w:r w:rsidRPr="004C20BC">
        <w:rPr>
          <w:rFonts w:ascii="Times New Roman" w:hAnsi="Times New Roman" w:cs="Times New Roman"/>
          <w:sz w:val="24"/>
          <w:szCs w:val="24"/>
        </w:rPr>
        <w:t xml:space="preserve">in most cases, </w:t>
      </w:r>
      <w:r w:rsidR="00AC75F2">
        <w:rPr>
          <w:rFonts w:ascii="Times New Roman" w:hAnsi="Times New Roman" w:cs="Times New Roman"/>
          <w:sz w:val="24"/>
          <w:szCs w:val="24"/>
        </w:rPr>
        <w:t xml:space="preserve">most </w:t>
      </w:r>
      <w:r w:rsidRPr="004C20BC">
        <w:rPr>
          <w:rFonts w:ascii="Times New Roman" w:hAnsi="Times New Roman" w:cs="Times New Roman"/>
          <w:sz w:val="24"/>
          <w:szCs w:val="24"/>
        </w:rPr>
        <w:t>(&gt;</w:t>
      </w:r>
      <w:r w:rsidR="00CE401D">
        <w:rPr>
          <w:rFonts w:ascii="Times New Roman" w:hAnsi="Times New Roman" w:cs="Times New Roman"/>
          <w:sz w:val="24"/>
          <w:szCs w:val="24"/>
        </w:rPr>
        <w:t xml:space="preserve"> </w:t>
      </w:r>
      <w:r w:rsidRPr="004C20BC">
        <w:rPr>
          <w:rFonts w:ascii="Times New Roman" w:hAnsi="Times New Roman" w:cs="Times New Roman"/>
          <w:sz w:val="24"/>
          <w:szCs w:val="24"/>
        </w:rPr>
        <w:t>80%) of the RNA is composed of ribosomes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While analysis of ribosomal RNA directly can be extremely useful, </w:t>
      </w:r>
      <w:proofErr w:type="spellStart"/>
      <w:r w:rsidRPr="004C20BC">
        <w:rPr>
          <w:rFonts w:ascii="Times New Roman" w:hAnsi="Times New Roman" w:cs="Times New Roman"/>
          <w:sz w:val="24"/>
          <w:szCs w:val="24"/>
        </w:rPr>
        <w:t>metatranscriptomics</w:t>
      </w:r>
      <w:proofErr w:type="spellEnd"/>
      <w:r w:rsidRPr="004C20BC">
        <w:rPr>
          <w:rFonts w:ascii="Times New Roman" w:hAnsi="Times New Roman" w:cs="Times New Roman"/>
          <w:sz w:val="24"/>
          <w:szCs w:val="24"/>
        </w:rPr>
        <w:t xml:space="preserve"> focuse</w:t>
      </w:r>
      <w:r w:rsidR="00AC75F2">
        <w:rPr>
          <w:rFonts w:ascii="Times New Roman" w:hAnsi="Times New Roman" w:cs="Times New Roman"/>
          <w:sz w:val="24"/>
          <w:szCs w:val="24"/>
        </w:rPr>
        <w:t>s</w:t>
      </w:r>
      <w:r w:rsidRPr="004C20BC">
        <w:rPr>
          <w:rFonts w:ascii="Times New Roman" w:hAnsi="Times New Roman" w:cs="Times New Roman"/>
          <w:sz w:val="24"/>
          <w:szCs w:val="24"/>
        </w:rPr>
        <w:t xml:space="preserve"> on the analysis of mRNA</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Thus, the mRNA must be enriched, either by removal of rRNAs (</w:t>
      </w:r>
      <w:r w:rsidRPr="00967C61">
        <w:rPr>
          <w:rFonts w:ascii="Times New Roman" w:hAnsi="Times New Roman" w:cs="Times New Roman"/>
          <w:sz w:val="24"/>
          <w:szCs w:val="24"/>
        </w:rPr>
        <w:t>i.e.</w:t>
      </w:r>
      <w:r w:rsidRPr="004C20BC">
        <w:rPr>
          <w:rFonts w:ascii="Times New Roman" w:hAnsi="Times New Roman" w:cs="Times New Roman"/>
          <w:sz w:val="24"/>
          <w:szCs w:val="24"/>
        </w:rPr>
        <w:t xml:space="preserve">, ribosomes) or by </w:t>
      </w:r>
      <w:r w:rsidRPr="004C20BC">
        <w:rPr>
          <w:rFonts w:ascii="Times New Roman" w:hAnsi="Times New Roman" w:cs="Times New Roman"/>
          <w:noProof/>
          <w:sz w:val="24"/>
          <w:szCs w:val="24"/>
        </w:rPr>
        <w:t>specific</w:t>
      </w:r>
      <w:r w:rsidRPr="004C20BC">
        <w:rPr>
          <w:rFonts w:ascii="Times New Roman" w:hAnsi="Times New Roman" w:cs="Times New Roman"/>
          <w:sz w:val="24"/>
          <w:szCs w:val="24"/>
        </w:rPr>
        <w:t xml:space="preserve"> capture of mRNA</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Microorganisms do not, however, </w:t>
      </w:r>
      <w:r w:rsidRPr="004C20BC">
        <w:rPr>
          <w:rFonts w:ascii="Times New Roman" w:hAnsi="Times New Roman" w:cs="Times New Roman"/>
          <w:noProof/>
          <w:sz w:val="24"/>
          <w:szCs w:val="24"/>
        </w:rPr>
        <w:t>poly-adenylate</w:t>
      </w:r>
      <w:r w:rsidRPr="004C20BC">
        <w:rPr>
          <w:rFonts w:ascii="Times New Roman" w:hAnsi="Times New Roman" w:cs="Times New Roman"/>
          <w:sz w:val="24"/>
          <w:szCs w:val="24"/>
        </w:rPr>
        <w:t xml:space="preserve"> their mRNAs; thus, poly(A) capture techniques that are standard in eukaryotic transcriptome sequencing cannot be used in the field of microbiology </w:t>
      </w:r>
      <w:r w:rsidRPr="004C20BC">
        <w:rPr>
          <w:rFonts w:ascii="Times New Roman" w:hAnsi="Times New Roman" w:cs="Times New Roman"/>
          <w:noProof/>
          <w:sz w:val="24"/>
          <w:szCs w:val="24"/>
        </w:rPr>
        <w:t>(Bashiardes, Zilberman-Schapira, &amp; Elinav, 2016)</w:t>
      </w:r>
      <w:r w:rsidR="00856818"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Ribosomal RNAs can be removed through a number of strategies</w:t>
      </w:r>
      <w:r w:rsidR="000F00F0" w:rsidRPr="004C20BC">
        <w:rPr>
          <w:rFonts w:ascii="Times New Roman" w:hAnsi="Times New Roman" w:cs="Times New Roman"/>
          <w:sz w:val="24"/>
          <w:szCs w:val="24"/>
        </w:rPr>
        <w:t xml:space="preserve"> </w:t>
      </w:r>
      <w:r w:rsidR="0051522D" w:rsidRPr="004C20BC">
        <w:rPr>
          <w:rFonts w:ascii="Times New Roman" w:hAnsi="Times New Roman" w:cs="Times New Roman"/>
          <w:noProof/>
          <w:sz w:val="24"/>
          <w:szCs w:val="24"/>
        </w:rPr>
        <w:t>(Stewart, Ottesen, &amp; DeLong, 2010)</w:t>
      </w:r>
      <w:r w:rsidR="000F00F0" w:rsidRPr="004C20BC">
        <w:rPr>
          <w:rFonts w:ascii="Times New Roman" w:hAnsi="Times New Roman" w:cs="Times New Roman"/>
          <w:sz w:val="24"/>
          <w:szCs w:val="24"/>
        </w:rPr>
        <w:t>,</w:t>
      </w:r>
      <w:r w:rsidRPr="004C20BC">
        <w:rPr>
          <w:rFonts w:ascii="Times New Roman" w:hAnsi="Times New Roman" w:cs="Times New Roman"/>
          <w:sz w:val="24"/>
          <w:szCs w:val="24"/>
        </w:rPr>
        <w:t xml:space="preserve"> but the most straightforward is to hybridize total RNA with anti-sense biotinylated DNA oligonucleotide probes targeting the ribosomal RNAs of a range of different microbial taxa </w:t>
      </w:r>
      <w:r w:rsidR="0051522D" w:rsidRPr="004C20BC">
        <w:rPr>
          <w:rFonts w:ascii="Times New Roman" w:hAnsi="Times New Roman" w:cs="Times New Roman"/>
          <w:noProof/>
          <w:sz w:val="24"/>
          <w:szCs w:val="24"/>
        </w:rPr>
        <w:t>(Xiong et al., 2012)</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These probes (and the RNA bound to them) are removed from </w:t>
      </w:r>
      <w:r w:rsidR="00617847" w:rsidRPr="004C20BC">
        <w:rPr>
          <w:rFonts w:ascii="Times New Roman" w:hAnsi="Times New Roman" w:cs="Times New Roman"/>
          <w:sz w:val="24"/>
          <w:szCs w:val="24"/>
        </w:rPr>
        <w:t xml:space="preserve">the </w:t>
      </w:r>
      <w:r w:rsidRPr="004C20BC">
        <w:rPr>
          <w:rFonts w:ascii="Times New Roman" w:hAnsi="Times New Roman" w:cs="Times New Roman"/>
          <w:sz w:val="24"/>
          <w:szCs w:val="24"/>
        </w:rPr>
        <w:t>solution using streptavidin-coated magnetic beads (streptavidin has an extremely high affinity for biotin</w:t>
      </w:r>
      <w:r w:rsidR="00AA5416">
        <w:rPr>
          <w:rFonts w:ascii="Times New Roman" w:hAnsi="Times New Roman" w:cs="Times New Roman"/>
          <w:sz w:val="24"/>
          <w:szCs w:val="24"/>
        </w:rPr>
        <w:t xml:space="preserve">; </w:t>
      </w:r>
      <w:r w:rsidR="0051522D" w:rsidRPr="004C20BC">
        <w:rPr>
          <w:rFonts w:ascii="Times New Roman" w:hAnsi="Times New Roman" w:cs="Times New Roman"/>
          <w:noProof/>
          <w:sz w:val="24"/>
          <w:szCs w:val="24"/>
        </w:rPr>
        <w:t>Weber, Ohlendorf, Wendoloski, &amp; Salemme, 1989)</w:t>
      </w:r>
      <w:r w:rsidR="0051522D"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The </w:t>
      </w:r>
      <w:r w:rsidRPr="004C20BC">
        <w:rPr>
          <w:rFonts w:ascii="Times New Roman" w:hAnsi="Times New Roman" w:cs="Times New Roman"/>
          <w:sz w:val="24"/>
          <w:szCs w:val="24"/>
        </w:rPr>
        <w:lastRenderedPageBreak/>
        <w:t xml:space="preserve">RNA remaining in </w:t>
      </w:r>
      <w:r w:rsidR="0071327B" w:rsidRPr="004C20BC">
        <w:rPr>
          <w:rFonts w:ascii="Times New Roman" w:hAnsi="Times New Roman" w:cs="Times New Roman"/>
          <w:sz w:val="24"/>
          <w:szCs w:val="24"/>
        </w:rPr>
        <w:t xml:space="preserve">the </w:t>
      </w:r>
      <w:r w:rsidRPr="004C20BC">
        <w:rPr>
          <w:rFonts w:ascii="Times New Roman" w:hAnsi="Times New Roman" w:cs="Times New Roman"/>
          <w:sz w:val="24"/>
          <w:szCs w:val="24"/>
        </w:rPr>
        <w:t xml:space="preserve">solution is prepared for sequencing using standard RNA-sequencing library preparation protocols </w:t>
      </w:r>
      <w:r w:rsidR="008C4792" w:rsidRPr="004C20BC">
        <w:rPr>
          <w:rFonts w:ascii="Times New Roman" w:hAnsi="Times New Roman" w:cs="Times New Roman"/>
          <w:noProof/>
          <w:sz w:val="24"/>
          <w:szCs w:val="24"/>
        </w:rPr>
        <w:t>(reviewed in Sarode, Parris, Ganesh, Seston, &amp; Stewart, 2016)</w:t>
      </w:r>
      <w:r w:rsidR="0051522D" w:rsidRPr="004C20BC">
        <w:rPr>
          <w:rFonts w:ascii="Times New Roman" w:hAnsi="Times New Roman" w:cs="Times New Roman"/>
          <w:noProof/>
          <w:sz w:val="24"/>
          <w:szCs w:val="24"/>
        </w:rPr>
        <w:t>.</w:t>
      </w:r>
      <w:r w:rsidR="003F14B1">
        <w:rPr>
          <w:rFonts w:ascii="Times New Roman" w:hAnsi="Times New Roman" w:cs="Times New Roman"/>
          <w:noProof/>
          <w:sz w:val="24"/>
          <w:szCs w:val="24"/>
        </w:rPr>
        <w:t xml:space="preserve"> </w:t>
      </w:r>
      <w:r w:rsidRPr="004C20BC">
        <w:rPr>
          <w:rFonts w:ascii="Times New Roman" w:hAnsi="Times New Roman" w:cs="Times New Roman"/>
          <w:noProof/>
          <w:sz w:val="24"/>
          <w:szCs w:val="24"/>
        </w:rPr>
        <w:t>These</w:t>
      </w:r>
      <w:r w:rsidRPr="004C20BC">
        <w:rPr>
          <w:rFonts w:ascii="Times New Roman" w:hAnsi="Times New Roman" w:cs="Times New Roman"/>
          <w:sz w:val="24"/>
          <w:szCs w:val="24"/>
        </w:rPr>
        <w:t xml:space="preserve"> libraries are then sequenced deeply, as with shotgun metagenome sequencing</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In host-microbial ecosystems, host RNA (both rRNA and mRNA) can </w:t>
      </w:r>
      <w:r w:rsidR="002659CA">
        <w:rPr>
          <w:rFonts w:ascii="Times New Roman" w:hAnsi="Times New Roman" w:cs="Times New Roman"/>
          <w:sz w:val="24"/>
          <w:szCs w:val="24"/>
        </w:rPr>
        <w:t>dominate</w:t>
      </w:r>
      <w:r w:rsidRPr="004C20BC">
        <w:rPr>
          <w:rFonts w:ascii="Times New Roman" w:hAnsi="Times New Roman" w:cs="Times New Roman"/>
          <w:sz w:val="24"/>
          <w:szCs w:val="24"/>
        </w:rPr>
        <w:t xml:space="preserve"> </w:t>
      </w:r>
      <w:r w:rsidRPr="00967C61">
        <w:rPr>
          <w:rFonts w:ascii="Times New Roman" w:hAnsi="Times New Roman" w:cs="Times New Roman"/>
          <w:sz w:val="24"/>
          <w:szCs w:val="24"/>
        </w:rPr>
        <w:t>microbial</w:t>
      </w:r>
      <w:r w:rsidRPr="004C20BC">
        <w:rPr>
          <w:rFonts w:ascii="Times New Roman" w:hAnsi="Times New Roman" w:cs="Times New Roman"/>
          <w:sz w:val="24"/>
          <w:szCs w:val="24"/>
        </w:rPr>
        <w:t xml:space="preserve"> transcripts; thus, further RNA selection may be required.</w:t>
      </w:r>
      <w:r w:rsidR="003F14B1">
        <w:rPr>
          <w:rFonts w:ascii="Times New Roman" w:hAnsi="Times New Roman" w:cs="Times New Roman"/>
          <w:sz w:val="24"/>
          <w:szCs w:val="24"/>
        </w:rPr>
        <w:t xml:space="preserve"> </w:t>
      </w:r>
    </w:p>
    <w:p w14:paraId="4743D108" w14:textId="64A85DD8" w:rsidR="00592EE6" w:rsidRPr="004C20BC" w:rsidRDefault="00592EE6" w:rsidP="00967C61">
      <w:pPr>
        <w:spacing w:line="480" w:lineRule="auto"/>
        <w:ind w:firstLine="720"/>
        <w:rPr>
          <w:rFonts w:ascii="Times New Roman" w:hAnsi="Times New Roman" w:cs="Times New Roman"/>
          <w:sz w:val="24"/>
          <w:szCs w:val="24"/>
        </w:rPr>
      </w:pPr>
      <w:r w:rsidRPr="004C20BC">
        <w:rPr>
          <w:rFonts w:ascii="Times New Roman" w:hAnsi="Times New Roman" w:cs="Times New Roman"/>
          <w:sz w:val="24"/>
          <w:szCs w:val="24"/>
        </w:rPr>
        <w:t xml:space="preserve">Despite these difficulties, microbial </w:t>
      </w:r>
      <w:proofErr w:type="spellStart"/>
      <w:r w:rsidRPr="004C20BC">
        <w:rPr>
          <w:rFonts w:ascii="Times New Roman" w:hAnsi="Times New Roman" w:cs="Times New Roman"/>
          <w:sz w:val="24"/>
          <w:szCs w:val="24"/>
        </w:rPr>
        <w:t>metatranscriptom</w:t>
      </w:r>
      <w:r w:rsidR="00137F78">
        <w:rPr>
          <w:rFonts w:ascii="Times New Roman" w:hAnsi="Times New Roman" w:cs="Times New Roman"/>
          <w:sz w:val="24"/>
          <w:szCs w:val="24"/>
        </w:rPr>
        <w:t>e</w:t>
      </w:r>
      <w:proofErr w:type="spellEnd"/>
      <w:r w:rsidRPr="004C20BC">
        <w:rPr>
          <w:rFonts w:ascii="Times New Roman" w:hAnsi="Times New Roman" w:cs="Times New Roman"/>
          <w:sz w:val="24"/>
          <w:szCs w:val="24"/>
        </w:rPr>
        <w:t xml:space="preserve"> sequence data can be highly valuable.</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RNA-based sequencing approaches provide information regarding microorganisms active at the time of sampling and </w:t>
      </w:r>
      <w:r w:rsidR="00137F78">
        <w:rPr>
          <w:rFonts w:ascii="Times New Roman" w:hAnsi="Times New Roman" w:cs="Times New Roman"/>
          <w:sz w:val="24"/>
          <w:szCs w:val="24"/>
        </w:rPr>
        <w:t xml:space="preserve">(because </w:t>
      </w:r>
      <w:r w:rsidRPr="004C20BC">
        <w:rPr>
          <w:rFonts w:ascii="Times New Roman" w:hAnsi="Times New Roman" w:cs="Times New Roman"/>
          <w:sz w:val="24"/>
          <w:szCs w:val="24"/>
        </w:rPr>
        <w:t>microorganisms alter transcript abundances rapidly</w:t>
      </w:r>
      <w:r w:rsidR="00137F78">
        <w:rPr>
          <w:rFonts w:ascii="Times New Roman" w:hAnsi="Times New Roman" w:cs="Times New Roman"/>
          <w:sz w:val="24"/>
          <w:szCs w:val="24"/>
        </w:rPr>
        <w:t>)</w:t>
      </w:r>
      <w:r w:rsidR="00ED7086">
        <w:rPr>
          <w:rFonts w:ascii="Times New Roman" w:hAnsi="Times New Roman" w:cs="Times New Roman"/>
          <w:sz w:val="24"/>
          <w:szCs w:val="24"/>
        </w:rPr>
        <w:t>,</w:t>
      </w:r>
      <w:r w:rsidRPr="004C20BC">
        <w:rPr>
          <w:rFonts w:ascii="Times New Roman" w:hAnsi="Times New Roman" w:cs="Times New Roman"/>
          <w:sz w:val="24"/>
          <w:szCs w:val="24"/>
        </w:rPr>
        <w:t xml:space="preserve"> </w:t>
      </w:r>
      <w:r w:rsidR="00ED7086">
        <w:rPr>
          <w:rFonts w:ascii="Times New Roman" w:hAnsi="Times New Roman" w:cs="Times New Roman"/>
          <w:sz w:val="24"/>
          <w:szCs w:val="24"/>
        </w:rPr>
        <w:t>thus,</w:t>
      </w:r>
      <w:r w:rsidR="00ED7086" w:rsidRPr="004C20BC">
        <w:rPr>
          <w:rFonts w:ascii="Times New Roman" w:hAnsi="Times New Roman" w:cs="Times New Roman"/>
          <w:sz w:val="24"/>
          <w:szCs w:val="24"/>
        </w:rPr>
        <w:t xml:space="preserve"> </w:t>
      </w:r>
      <w:r w:rsidRPr="004C20BC">
        <w:rPr>
          <w:rFonts w:ascii="Times New Roman" w:hAnsi="Times New Roman" w:cs="Times New Roman"/>
          <w:sz w:val="24"/>
          <w:szCs w:val="24"/>
        </w:rPr>
        <w:t>a snapshot of microbial gene expression patterns (</w:t>
      </w:r>
      <w:proofErr w:type="spellStart"/>
      <w:r w:rsidRPr="004C20BC">
        <w:rPr>
          <w:rFonts w:ascii="Times New Roman" w:hAnsi="Times New Roman" w:cs="Times New Roman"/>
          <w:sz w:val="24"/>
          <w:szCs w:val="24"/>
        </w:rPr>
        <w:t>Sarode</w:t>
      </w:r>
      <w:proofErr w:type="spellEnd"/>
      <w:r w:rsidRPr="004C20BC">
        <w:rPr>
          <w:rFonts w:ascii="Times New Roman" w:hAnsi="Times New Roman" w:cs="Times New Roman"/>
          <w:sz w:val="24"/>
          <w:szCs w:val="24"/>
        </w:rPr>
        <w:t xml:space="preserve"> et al.</w:t>
      </w:r>
      <w:r w:rsidR="00BA6524">
        <w:rPr>
          <w:rFonts w:ascii="Times New Roman" w:hAnsi="Times New Roman" w:cs="Times New Roman"/>
          <w:sz w:val="24"/>
          <w:szCs w:val="24"/>
        </w:rPr>
        <w:t>,</w:t>
      </w:r>
      <w:r w:rsidRPr="004C20BC">
        <w:rPr>
          <w:rFonts w:ascii="Times New Roman" w:hAnsi="Times New Roman" w:cs="Times New Roman"/>
          <w:sz w:val="24"/>
          <w:szCs w:val="24"/>
        </w:rPr>
        <w:t xml:space="preserve"> 2016)</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In addition, </w:t>
      </w:r>
      <w:proofErr w:type="spellStart"/>
      <w:r w:rsidRPr="004C20BC">
        <w:rPr>
          <w:rFonts w:ascii="Times New Roman" w:hAnsi="Times New Roman" w:cs="Times New Roman"/>
          <w:sz w:val="24"/>
          <w:szCs w:val="24"/>
        </w:rPr>
        <w:t>metatranscriptome</w:t>
      </w:r>
      <w:proofErr w:type="spellEnd"/>
      <w:r w:rsidRPr="004C20BC">
        <w:rPr>
          <w:rFonts w:ascii="Times New Roman" w:hAnsi="Times New Roman" w:cs="Times New Roman"/>
          <w:sz w:val="24"/>
          <w:szCs w:val="24"/>
        </w:rPr>
        <w:t xml:space="preserve"> sequencing </w:t>
      </w:r>
      <w:r w:rsidRPr="004C20BC">
        <w:rPr>
          <w:rFonts w:ascii="Times New Roman" w:hAnsi="Times New Roman" w:cs="Times New Roman"/>
          <w:noProof/>
          <w:sz w:val="24"/>
          <w:szCs w:val="24"/>
        </w:rPr>
        <w:t>provide</w:t>
      </w:r>
      <w:r w:rsidR="002169D6" w:rsidRPr="004C20BC">
        <w:rPr>
          <w:rFonts w:ascii="Times New Roman" w:hAnsi="Times New Roman" w:cs="Times New Roman"/>
          <w:sz w:val="24"/>
          <w:szCs w:val="24"/>
        </w:rPr>
        <w:t xml:space="preserve">s </w:t>
      </w:r>
      <w:r w:rsidRPr="004C20BC">
        <w:rPr>
          <w:rFonts w:ascii="Times New Roman" w:hAnsi="Times New Roman" w:cs="Times New Roman"/>
          <w:sz w:val="24"/>
          <w:szCs w:val="24"/>
        </w:rPr>
        <w:t>quantitative data that can be used to characterize essential and condition-specific gene expression patterns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Thus, </w:t>
      </w:r>
      <w:proofErr w:type="spellStart"/>
      <w:r w:rsidRPr="004C20BC">
        <w:rPr>
          <w:rFonts w:ascii="Times New Roman" w:hAnsi="Times New Roman" w:cs="Times New Roman"/>
          <w:sz w:val="24"/>
          <w:szCs w:val="24"/>
        </w:rPr>
        <w:t>metatranscriptomics</w:t>
      </w:r>
      <w:proofErr w:type="spellEnd"/>
      <w:r w:rsidRPr="004C20BC">
        <w:rPr>
          <w:rFonts w:ascii="Times New Roman" w:hAnsi="Times New Roman" w:cs="Times New Roman"/>
          <w:sz w:val="24"/>
          <w:szCs w:val="24"/>
        </w:rPr>
        <w:t xml:space="preserve"> provides the added information of gene transcription and activity (compared to simply identifying presence or absence</w:t>
      </w:r>
      <w:r w:rsidR="00BA6524">
        <w:rPr>
          <w:rFonts w:ascii="Times New Roman" w:hAnsi="Times New Roman" w:cs="Times New Roman"/>
          <w:sz w:val="24"/>
          <w:szCs w:val="24"/>
        </w:rPr>
        <w:t xml:space="preserve"> of a gene</w:t>
      </w:r>
      <w:r w:rsidRPr="004C20BC">
        <w:rPr>
          <w:rFonts w:ascii="Times New Roman" w:hAnsi="Times New Roman" w:cs="Times New Roman"/>
          <w:sz w:val="24"/>
          <w:szCs w:val="24"/>
        </w:rPr>
        <w:t xml:space="preserve">) and has the potential to </w:t>
      </w:r>
      <w:r w:rsidR="00BA6524">
        <w:rPr>
          <w:rFonts w:ascii="Times New Roman" w:hAnsi="Times New Roman" w:cs="Times New Roman"/>
          <w:sz w:val="24"/>
          <w:szCs w:val="24"/>
        </w:rPr>
        <w:t>address</w:t>
      </w:r>
      <w:r w:rsidR="00BA6524" w:rsidRPr="004C20BC">
        <w:rPr>
          <w:rFonts w:ascii="Times New Roman" w:hAnsi="Times New Roman" w:cs="Times New Roman"/>
          <w:sz w:val="24"/>
          <w:szCs w:val="24"/>
        </w:rPr>
        <w:t xml:space="preserve"> </w:t>
      </w:r>
      <w:r w:rsidRPr="004C20BC">
        <w:rPr>
          <w:rFonts w:ascii="Times New Roman" w:hAnsi="Times New Roman" w:cs="Times New Roman"/>
          <w:sz w:val="24"/>
          <w:szCs w:val="24"/>
        </w:rPr>
        <w:t xml:space="preserve">research questions related to external factors and their influence on microbiome activity in healthy and disease states </w:t>
      </w:r>
      <w:r w:rsidRPr="004C20BC">
        <w:rPr>
          <w:rFonts w:ascii="Times New Roman" w:hAnsi="Times New Roman" w:cs="Times New Roman"/>
          <w:noProof/>
          <w:sz w:val="24"/>
          <w:szCs w:val="24"/>
        </w:rPr>
        <w:t>(Helbling, Ackermann, Fenner, Kohler, &amp; Johnson, 2012)</w:t>
      </w:r>
      <w:r w:rsidR="00E8153B"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0FB6FAF3" w14:textId="77777777" w:rsidR="00592EE6" w:rsidRPr="004C20BC" w:rsidRDefault="00592EE6" w:rsidP="00BF0230">
      <w:pPr>
        <w:spacing w:line="480" w:lineRule="auto"/>
        <w:outlineLvl w:val="0"/>
        <w:rPr>
          <w:rFonts w:ascii="Times New Roman" w:hAnsi="Times New Roman" w:cs="Times New Roman"/>
          <w:b/>
          <w:sz w:val="24"/>
          <w:szCs w:val="24"/>
        </w:rPr>
      </w:pPr>
      <w:r w:rsidRPr="004C20BC">
        <w:rPr>
          <w:rFonts w:ascii="Times New Roman" w:hAnsi="Times New Roman" w:cs="Times New Roman"/>
          <w:b/>
          <w:sz w:val="24"/>
          <w:szCs w:val="24"/>
        </w:rPr>
        <w:t>Quantifying Metabolic Output of the Microbiome: Metabolomics</w:t>
      </w:r>
    </w:p>
    <w:p w14:paraId="79C5E3FC" w14:textId="6B1CE96F" w:rsidR="00592EE6" w:rsidRPr="004C20BC" w:rsidRDefault="00592EE6" w:rsidP="00967C61">
      <w:pPr>
        <w:spacing w:line="480" w:lineRule="auto"/>
        <w:ind w:firstLine="720"/>
        <w:rPr>
          <w:rFonts w:ascii="Times New Roman" w:hAnsi="Times New Roman" w:cs="Times New Roman"/>
          <w:sz w:val="24"/>
          <w:szCs w:val="24"/>
        </w:rPr>
      </w:pPr>
      <w:r w:rsidRPr="004C20BC">
        <w:rPr>
          <w:rFonts w:ascii="Times New Roman" w:hAnsi="Times New Roman" w:cs="Times New Roman"/>
          <w:sz w:val="24"/>
          <w:szCs w:val="24"/>
        </w:rPr>
        <w:t xml:space="preserve">Although shotgun metagenomic and </w:t>
      </w:r>
      <w:proofErr w:type="spellStart"/>
      <w:r w:rsidRPr="004C20BC">
        <w:rPr>
          <w:rFonts w:ascii="Times New Roman" w:hAnsi="Times New Roman" w:cs="Times New Roman"/>
          <w:sz w:val="24"/>
          <w:szCs w:val="24"/>
        </w:rPr>
        <w:t>metatranscriptom</w:t>
      </w:r>
      <w:r w:rsidR="00137F78">
        <w:rPr>
          <w:rFonts w:ascii="Times New Roman" w:hAnsi="Times New Roman" w:cs="Times New Roman"/>
          <w:sz w:val="24"/>
          <w:szCs w:val="24"/>
        </w:rPr>
        <w:t>e</w:t>
      </w:r>
      <w:proofErr w:type="spellEnd"/>
      <w:r w:rsidRPr="004C20BC">
        <w:rPr>
          <w:rFonts w:ascii="Times New Roman" w:hAnsi="Times New Roman" w:cs="Times New Roman"/>
          <w:sz w:val="24"/>
          <w:szCs w:val="24"/>
        </w:rPr>
        <w:t xml:space="preserve"> sequencing are critical tools for characterizing community structure and activity in microbial environments, these methods still serve as pr</w:t>
      </w:r>
      <w:r w:rsidR="00856818" w:rsidRPr="004C20BC">
        <w:rPr>
          <w:rFonts w:ascii="Times New Roman" w:hAnsi="Times New Roman" w:cs="Times New Roman"/>
          <w:sz w:val="24"/>
          <w:szCs w:val="24"/>
        </w:rPr>
        <w:t>oxies for metabolic activity</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Direct measurement of metabolites can be used in concert with molecular data to demonstrate that a shift in microbial community structure and in microbial gene expression patterns lead to a change in physiochemical conditions </w:t>
      </w:r>
      <w:r w:rsidRPr="004C20BC">
        <w:rPr>
          <w:rFonts w:ascii="Times New Roman" w:hAnsi="Times New Roman" w:cs="Times New Roman"/>
          <w:noProof/>
          <w:sz w:val="24"/>
          <w:szCs w:val="24"/>
        </w:rPr>
        <w:t>(Hale et al., 2018; Tankou et al., 2018; Yan et al., 2018)</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Metabolomics is the study of the metabolite composition within a cell type, tissue</w:t>
      </w:r>
      <w:r w:rsidR="00137F78">
        <w:rPr>
          <w:rFonts w:ascii="Times New Roman" w:hAnsi="Times New Roman" w:cs="Times New Roman"/>
          <w:sz w:val="24"/>
          <w:szCs w:val="24"/>
        </w:rPr>
        <w:t>,</w:t>
      </w:r>
      <w:r w:rsidRPr="004C20BC">
        <w:rPr>
          <w:rFonts w:ascii="Times New Roman" w:hAnsi="Times New Roman" w:cs="Times New Roman"/>
          <w:sz w:val="24"/>
          <w:szCs w:val="24"/>
        </w:rPr>
        <w:t xml:space="preserve"> or other sample and allows </w:t>
      </w:r>
      <w:r w:rsidR="00A6484D">
        <w:rPr>
          <w:rFonts w:ascii="Times New Roman" w:hAnsi="Times New Roman" w:cs="Times New Roman"/>
          <w:sz w:val="24"/>
          <w:szCs w:val="24"/>
        </w:rPr>
        <w:t xml:space="preserve">for </w:t>
      </w:r>
      <w:r w:rsidRPr="004C20BC">
        <w:rPr>
          <w:rFonts w:ascii="Times New Roman" w:hAnsi="Times New Roman" w:cs="Times New Roman"/>
          <w:sz w:val="24"/>
          <w:szCs w:val="24"/>
        </w:rPr>
        <w:t xml:space="preserve">an analysis of functional </w:t>
      </w:r>
      <w:r w:rsidRPr="004C20BC">
        <w:rPr>
          <w:rFonts w:ascii="Times New Roman" w:hAnsi="Times New Roman" w:cs="Times New Roman"/>
          <w:sz w:val="24"/>
          <w:szCs w:val="24"/>
        </w:rPr>
        <w:lastRenderedPageBreak/>
        <w:t xml:space="preserve">processes that are occurring as a result of cellular metabolism </w:t>
      </w:r>
      <w:r w:rsidRPr="004C20BC">
        <w:rPr>
          <w:rFonts w:ascii="Times New Roman" w:hAnsi="Times New Roman" w:cs="Times New Roman"/>
          <w:noProof/>
          <w:sz w:val="24"/>
          <w:szCs w:val="24"/>
        </w:rPr>
        <w:t>(Patti, Yanes, &amp; Siuzdak, 2012)</w:t>
      </w:r>
      <w:r w:rsidR="00856818"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Such analyses can be more sensitive to changing conditions tha</w:t>
      </w:r>
      <w:r w:rsidR="00DB1542" w:rsidRPr="004C20BC">
        <w:rPr>
          <w:rFonts w:ascii="Times New Roman" w:hAnsi="Times New Roman" w:cs="Times New Roman"/>
          <w:sz w:val="24"/>
          <w:szCs w:val="24"/>
        </w:rPr>
        <w:t>n</w:t>
      </w:r>
      <w:r w:rsidRPr="004C20BC">
        <w:rPr>
          <w:rFonts w:ascii="Times New Roman" w:hAnsi="Times New Roman" w:cs="Times New Roman"/>
          <w:sz w:val="24"/>
          <w:szCs w:val="24"/>
        </w:rPr>
        <w:t xml:space="preserve"> shotgun metagenomics </w:t>
      </w:r>
      <w:r w:rsidRPr="004C20BC">
        <w:rPr>
          <w:rFonts w:ascii="Times New Roman" w:hAnsi="Times New Roman" w:cs="Times New Roman"/>
          <w:noProof/>
          <w:sz w:val="24"/>
          <w:szCs w:val="24"/>
        </w:rPr>
        <w:t>(Gowda &amp; Djukovic, 2014)</w:t>
      </w:r>
      <w:r w:rsidRPr="004C20BC">
        <w:rPr>
          <w:rFonts w:ascii="Times New Roman" w:hAnsi="Times New Roman" w:cs="Times New Roman"/>
          <w:sz w:val="24"/>
          <w:szCs w:val="24"/>
        </w:rPr>
        <w:t>, and recent research has shown that the microbial phenotype, or the functional result of metabolic pathways, is more suggestive of disease or hea</w:t>
      </w:r>
      <w:r w:rsidR="00B01FB7">
        <w:rPr>
          <w:rFonts w:ascii="Times New Roman" w:hAnsi="Times New Roman" w:cs="Times New Roman"/>
          <w:sz w:val="24"/>
          <w:szCs w:val="24"/>
        </w:rPr>
        <w:t>l</w:t>
      </w:r>
      <w:r w:rsidRPr="004C20BC">
        <w:rPr>
          <w:rFonts w:ascii="Times New Roman" w:hAnsi="Times New Roman" w:cs="Times New Roman"/>
          <w:sz w:val="24"/>
          <w:szCs w:val="24"/>
        </w:rPr>
        <w:t xml:space="preserve">th </w:t>
      </w:r>
      <w:r w:rsidR="00A6484D">
        <w:rPr>
          <w:rFonts w:ascii="Times New Roman" w:hAnsi="Times New Roman" w:cs="Times New Roman"/>
          <w:sz w:val="24"/>
          <w:szCs w:val="24"/>
        </w:rPr>
        <w:t>than is</w:t>
      </w:r>
      <w:r w:rsidRPr="004C20BC">
        <w:rPr>
          <w:rFonts w:ascii="Times New Roman" w:hAnsi="Times New Roman" w:cs="Times New Roman"/>
          <w:sz w:val="24"/>
          <w:szCs w:val="24"/>
        </w:rPr>
        <w:t xml:space="preserve"> the presence </w:t>
      </w:r>
      <w:r w:rsidRPr="004C20BC">
        <w:rPr>
          <w:rFonts w:ascii="Times New Roman" w:hAnsi="Times New Roman" w:cs="Times New Roman"/>
          <w:noProof/>
          <w:sz w:val="24"/>
          <w:szCs w:val="24"/>
        </w:rPr>
        <w:t>o</w:t>
      </w:r>
      <w:r w:rsidR="002169D6" w:rsidRPr="004C20BC">
        <w:rPr>
          <w:rFonts w:ascii="Times New Roman" w:hAnsi="Times New Roman" w:cs="Times New Roman"/>
          <w:noProof/>
          <w:sz w:val="24"/>
          <w:szCs w:val="24"/>
        </w:rPr>
        <w:t xml:space="preserve">r </w:t>
      </w:r>
      <w:r w:rsidRPr="004C20BC">
        <w:rPr>
          <w:rFonts w:ascii="Times New Roman" w:hAnsi="Times New Roman" w:cs="Times New Roman"/>
          <w:sz w:val="24"/>
          <w:szCs w:val="24"/>
        </w:rPr>
        <w:t>absence of bacteria</w:t>
      </w:r>
      <w:r w:rsidR="00A6484D">
        <w:rPr>
          <w:rFonts w:ascii="Times New Roman" w:hAnsi="Times New Roman" w:cs="Times New Roman"/>
          <w:sz w:val="24"/>
          <w:szCs w:val="24"/>
        </w:rPr>
        <w:t>, alone</w:t>
      </w:r>
      <w:r w:rsidRPr="004C20BC">
        <w:rPr>
          <w:rFonts w:ascii="Times New Roman" w:hAnsi="Times New Roman" w:cs="Times New Roman"/>
          <w:sz w:val="24"/>
          <w:szCs w:val="24"/>
        </w:rPr>
        <w:t xml:space="preserve"> </w:t>
      </w:r>
      <w:r w:rsidRPr="004C20BC">
        <w:rPr>
          <w:rFonts w:ascii="Times New Roman" w:hAnsi="Times New Roman" w:cs="Times New Roman"/>
          <w:noProof/>
          <w:sz w:val="24"/>
          <w:szCs w:val="24"/>
        </w:rPr>
        <w:t>(Gowda &amp; Djukovic, 2014)</w:t>
      </w:r>
      <w:r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7C285028" w14:textId="3D29C0C5" w:rsidR="00F56CA1" w:rsidRDefault="00592EE6" w:rsidP="00C93CCD">
      <w:pPr>
        <w:spacing w:line="480" w:lineRule="auto"/>
        <w:ind w:firstLine="720"/>
        <w:rPr>
          <w:rFonts w:ascii="Times New Roman" w:eastAsia="Times New Roman" w:hAnsi="Times New Roman" w:cs="Times New Roman"/>
          <w:b/>
          <w:sz w:val="24"/>
          <w:szCs w:val="24"/>
        </w:rPr>
      </w:pPr>
      <w:r w:rsidRPr="004C20BC">
        <w:rPr>
          <w:rFonts w:ascii="Times New Roman" w:hAnsi="Times New Roman" w:cs="Times New Roman"/>
          <w:sz w:val="24"/>
          <w:szCs w:val="24"/>
        </w:rPr>
        <w:t>The two main techniques used for metabolomics analysis are nuclear magnetic resonance (NMR)- and mass spectrometry (MS)-based metabolomics, and both platforms are used to characterize the metabolic profiles of biological fluids such as urine, feces, serum</w:t>
      </w:r>
      <w:r w:rsidR="0071327B" w:rsidRPr="004C20BC">
        <w:rPr>
          <w:rFonts w:ascii="Times New Roman" w:hAnsi="Times New Roman" w:cs="Times New Roman"/>
          <w:sz w:val="24"/>
          <w:szCs w:val="24"/>
        </w:rPr>
        <w:t>,</w:t>
      </w:r>
      <w:r w:rsidRPr="004C20BC">
        <w:rPr>
          <w:rFonts w:ascii="Times New Roman" w:hAnsi="Times New Roman" w:cs="Times New Roman"/>
          <w:sz w:val="24"/>
          <w:szCs w:val="24"/>
        </w:rPr>
        <w:t xml:space="preserve"> and saliva </w:t>
      </w:r>
      <w:r w:rsidRPr="004C20BC">
        <w:rPr>
          <w:rFonts w:ascii="Times New Roman" w:hAnsi="Times New Roman" w:cs="Times New Roman"/>
          <w:noProof/>
          <w:sz w:val="24"/>
          <w:szCs w:val="24"/>
        </w:rPr>
        <w:t>(Dettmer, Aronov, &amp; Hammock, 2007; Lindon, Nicholson, Holmes, &amp; Everett, 2000; Patti et al., 2012)</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MS-based metabolomics is usually coupled </w:t>
      </w:r>
      <w:r w:rsidR="00137F78">
        <w:rPr>
          <w:rFonts w:ascii="Times New Roman" w:hAnsi="Times New Roman" w:cs="Times New Roman"/>
          <w:sz w:val="24"/>
          <w:szCs w:val="24"/>
        </w:rPr>
        <w:t xml:space="preserve">with </w:t>
      </w:r>
      <w:r w:rsidRPr="004C20BC">
        <w:rPr>
          <w:rFonts w:ascii="Times New Roman" w:hAnsi="Times New Roman" w:cs="Times New Roman"/>
          <w:sz w:val="24"/>
          <w:szCs w:val="24"/>
        </w:rPr>
        <w:t xml:space="preserve">gas chromatography, ion </w:t>
      </w:r>
      <w:r w:rsidR="00427100" w:rsidRPr="004C20BC">
        <w:rPr>
          <w:rFonts w:ascii="Times New Roman" w:hAnsi="Times New Roman" w:cs="Times New Roman"/>
          <w:sz w:val="24"/>
          <w:szCs w:val="24"/>
        </w:rPr>
        <w:t>chromatography,</w:t>
      </w:r>
      <w:r w:rsidRPr="004C20BC">
        <w:rPr>
          <w:rFonts w:ascii="Times New Roman" w:hAnsi="Times New Roman" w:cs="Times New Roman"/>
          <w:sz w:val="24"/>
          <w:szCs w:val="24"/>
        </w:rPr>
        <w:t xml:space="preserve"> or liquid chromatography to analyze specific metabolite components in the sample</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Comparison of the NMR- and </w:t>
      </w:r>
      <w:r w:rsidRPr="004C20BC">
        <w:rPr>
          <w:rFonts w:ascii="Times New Roman" w:hAnsi="Times New Roman" w:cs="Times New Roman"/>
          <w:noProof/>
          <w:sz w:val="24"/>
          <w:szCs w:val="24"/>
        </w:rPr>
        <w:t>MS-based</w:t>
      </w:r>
      <w:r w:rsidRPr="004C20BC">
        <w:rPr>
          <w:rFonts w:ascii="Times New Roman" w:hAnsi="Times New Roman" w:cs="Times New Roman"/>
          <w:sz w:val="24"/>
          <w:szCs w:val="24"/>
        </w:rPr>
        <w:t xml:space="preserve"> metabolomics is beyond the scope of this article, but each system has unique benefits and limitations that </w:t>
      </w:r>
      <w:r w:rsidR="000874BF">
        <w:rPr>
          <w:rFonts w:ascii="Times New Roman" w:hAnsi="Times New Roman" w:cs="Times New Roman"/>
          <w:sz w:val="24"/>
          <w:szCs w:val="24"/>
        </w:rPr>
        <w:t xml:space="preserve">researchers </w:t>
      </w:r>
      <w:r w:rsidRPr="004C20BC">
        <w:rPr>
          <w:rFonts w:ascii="Times New Roman" w:hAnsi="Times New Roman" w:cs="Times New Roman"/>
          <w:sz w:val="24"/>
          <w:szCs w:val="24"/>
        </w:rPr>
        <w:t xml:space="preserve">should consider </w:t>
      </w:r>
      <w:r w:rsidR="000874BF">
        <w:rPr>
          <w:rFonts w:ascii="Times New Roman" w:hAnsi="Times New Roman" w:cs="Times New Roman"/>
          <w:sz w:val="24"/>
          <w:szCs w:val="24"/>
        </w:rPr>
        <w:t>in light of</w:t>
      </w:r>
      <w:r w:rsidRPr="004C20BC">
        <w:rPr>
          <w:rFonts w:ascii="Times New Roman" w:hAnsi="Times New Roman" w:cs="Times New Roman"/>
          <w:sz w:val="24"/>
          <w:szCs w:val="24"/>
        </w:rPr>
        <w:t xml:space="preserve"> the design of the microbiome study</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An increase or decrease in relevant metabolites, such as short</w:t>
      </w:r>
      <w:r w:rsidR="00137F78">
        <w:rPr>
          <w:rFonts w:ascii="Times New Roman" w:hAnsi="Times New Roman" w:cs="Times New Roman"/>
          <w:sz w:val="24"/>
          <w:szCs w:val="24"/>
        </w:rPr>
        <w:t>-</w:t>
      </w:r>
      <w:r w:rsidRPr="004C20BC">
        <w:rPr>
          <w:rFonts w:ascii="Times New Roman" w:hAnsi="Times New Roman" w:cs="Times New Roman"/>
          <w:sz w:val="24"/>
          <w:szCs w:val="24"/>
        </w:rPr>
        <w:t xml:space="preserve">chain fatty acids, can lead to hypothesis generation and pathway analysis of processes associated with microbiota pathology that may lead to disease </w:t>
      </w:r>
      <w:r w:rsidRPr="004C20BC">
        <w:rPr>
          <w:rFonts w:ascii="Times New Roman" w:hAnsi="Times New Roman" w:cs="Times New Roman"/>
          <w:noProof/>
          <w:sz w:val="24"/>
          <w:szCs w:val="24"/>
        </w:rPr>
        <w:t>(Romick-Rosendale et al., 2009)</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If shotgun sequencing is not performed, metabolite data can be paired with the 16S rRNA sequencing to identify associations between specific taxa and metabolites</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The lack of </w:t>
      </w:r>
      <w:r w:rsidR="002659CA">
        <w:rPr>
          <w:rFonts w:ascii="Times New Roman" w:hAnsi="Times New Roman" w:cs="Times New Roman"/>
          <w:sz w:val="24"/>
          <w:szCs w:val="24"/>
        </w:rPr>
        <w:t>associated metabolic data</w:t>
      </w:r>
      <w:r w:rsidR="002659CA" w:rsidRPr="004C20BC">
        <w:rPr>
          <w:rFonts w:ascii="Times New Roman" w:hAnsi="Times New Roman" w:cs="Times New Roman"/>
          <w:sz w:val="24"/>
          <w:szCs w:val="24"/>
        </w:rPr>
        <w:t xml:space="preserve"> </w:t>
      </w:r>
      <w:r w:rsidRPr="004C20BC">
        <w:rPr>
          <w:rFonts w:ascii="Times New Roman" w:hAnsi="Times New Roman" w:cs="Times New Roman"/>
          <w:sz w:val="24"/>
          <w:szCs w:val="24"/>
        </w:rPr>
        <w:t xml:space="preserve">is a common criticism of 16S rRNA gene amplicon sequencing; thus, metabolomics can be </w:t>
      </w:r>
      <w:r w:rsidR="002169D6" w:rsidRPr="004C20BC">
        <w:rPr>
          <w:rFonts w:ascii="Times New Roman" w:hAnsi="Times New Roman" w:cs="Times New Roman"/>
          <w:noProof/>
          <w:sz w:val="24"/>
          <w:szCs w:val="24"/>
        </w:rPr>
        <w:t>a</w:t>
      </w:r>
      <w:r w:rsidRPr="004C20BC">
        <w:rPr>
          <w:rFonts w:ascii="Times New Roman" w:hAnsi="Times New Roman" w:cs="Times New Roman"/>
          <w:noProof/>
          <w:sz w:val="24"/>
          <w:szCs w:val="24"/>
        </w:rPr>
        <w:t>n</w:t>
      </w:r>
      <w:r w:rsidRPr="004C20BC">
        <w:rPr>
          <w:rFonts w:ascii="Times New Roman" w:hAnsi="Times New Roman" w:cs="Times New Roman"/>
          <w:sz w:val="24"/>
          <w:szCs w:val="24"/>
        </w:rPr>
        <w:t xml:space="preserve"> important tool in studying the processes involved in regulation of the gut microbiota </w:t>
      </w:r>
      <w:r w:rsidRPr="004C20BC">
        <w:rPr>
          <w:rFonts w:ascii="Times New Roman" w:hAnsi="Times New Roman" w:cs="Times New Roman"/>
          <w:noProof/>
          <w:sz w:val="24"/>
          <w:szCs w:val="24"/>
        </w:rPr>
        <w:t>(Ranjan et al., 2016)</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Likewise, even with the </w:t>
      </w:r>
      <w:r w:rsidRPr="004C20BC">
        <w:rPr>
          <w:rFonts w:ascii="Times New Roman" w:hAnsi="Times New Roman" w:cs="Times New Roman"/>
          <w:noProof/>
          <w:sz w:val="24"/>
          <w:szCs w:val="24"/>
        </w:rPr>
        <w:t>information</w:t>
      </w:r>
      <w:r w:rsidR="00137F78">
        <w:rPr>
          <w:rFonts w:ascii="Times New Roman" w:hAnsi="Times New Roman" w:cs="Times New Roman"/>
          <w:noProof/>
          <w:sz w:val="24"/>
          <w:szCs w:val="24"/>
        </w:rPr>
        <w:t>-</w:t>
      </w:r>
      <w:r w:rsidRPr="004C20BC">
        <w:rPr>
          <w:rFonts w:ascii="Times New Roman" w:hAnsi="Times New Roman" w:cs="Times New Roman"/>
          <w:noProof/>
          <w:sz w:val="24"/>
          <w:szCs w:val="24"/>
        </w:rPr>
        <w:t>rich</w:t>
      </w:r>
      <w:r w:rsidRPr="004C20BC">
        <w:rPr>
          <w:rFonts w:ascii="Times New Roman" w:hAnsi="Times New Roman" w:cs="Times New Roman"/>
          <w:sz w:val="24"/>
          <w:szCs w:val="24"/>
        </w:rPr>
        <w:t xml:space="preserve"> data from shotgun metagenomic and </w:t>
      </w:r>
      <w:proofErr w:type="spellStart"/>
      <w:r w:rsidRPr="004C20BC">
        <w:rPr>
          <w:rFonts w:ascii="Times New Roman" w:hAnsi="Times New Roman" w:cs="Times New Roman"/>
          <w:sz w:val="24"/>
          <w:szCs w:val="24"/>
        </w:rPr>
        <w:t>metatranscriptom</w:t>
      </w:r>
      <w:r w:rsidR="00137F78">
        <w:rPr>
          <w:rFonts w:ascii="Times New Roman" w:hAnsi="Times New Roman" w:cs="Times New Roman"/>
          <w:sz w:val="24"/>
          <w:szCs w:val="24"/>
        </w:rPr>
        <w:t>e</w:t>
      </w:r>
      <w:proofErr w:type="spellEnd"/>
      <w:r w:rsidRPr="004C20BC">
        <w:rPr>
          <w:rFonts w:ascii="Times New Roman" w:hAnsi="Times New Roman" w:cs="Times New Roman"/>
          <w:sz w:val="24"/>
          <w:szCs w:val="24"/>
        </w:rPr>
        <w:t xml:space="preserve"> sequencing, metabolite analysis provides a definitive link </w:t>
      </w:r>
      <w:r w:rsidR="00137F78">
        <w:rPr>
          <w:rFonts w:ascii="Times New Roman" w:hAnsi="Times New Roman" w:cs="Times New Roman"/>
          <w:sz w:val="24"/>
          <w:szCs w:val="24"/>
        </w:rPr>
        <w:t xml:space="preserve">of </w:t>
      </w:r>
      <w:r w:rsidRPr="004C20BC">
        <w:rPr>
          <w:rFonts w:ascii="Times New Roman" w:hAnsi="Times New Roman" w:cs="Times New Roman"/>
          <w:sz w:val="24"/>
          <w:szCs w:val="24"/>
        </w:rPr>
        <w:t xml:space="preserve">microbial community structure and activity </w:t>
      </w:r>
      <w:r w:rsidR="00137F78">
        <w:rPr>
          <w:rFonts w:ascii="Times New Roman" w:hAnsi="Times New Roman" w:cs="Times New Roman"/>
          <w:sz w:val="24"/>
          <w:szCs w:val="24"/>
        </w:rPr>
        <w:t xml:space="preserve">with </w:t>
      </w:r>
      <w:r w:rsidRPr="004C20BC">
        <w:rPr>
          <w:rFonts w:ascii="Times New Roman" w:hAnsi="Times New Roman" w:cs="Times New Roman"/>
          <w:sz w:val="24"/>
          <w:szCs w:val="24"/>
        </w:rPr>
        <w:t>microbiome function</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r w:rsidRPr="004C20BC">
        <w:rPr>
          <w:rFonts w:ascii="Times New Roman" w:hAnsi="Times New Roman" w:cs="Times New Roman"/>
          <w:sz w:val="24"/>
          <w:szCs w:val="24"/>
        </w:rPr>
        <w:t xml:space="preserve">The analysis of host </w:t>
      </w:r>
      <w:r w:rsidRPr="004C20BC">
        <w:rPr>
          <w:rFonts w:ascii="Times New Roman" w:hAnsi="Times New Roman" w:cs="Times New Roman"/>
          <w:sz w:val="24"/>
          <w:szCs w:val="24"/>
        </w:rPr>
        <w:lastRenderedPageBreak/>
        <w:t>metabolic profiles in the context of the host-specific microbiome has important potential in the study of personalized medicine and may allow greater understanding of how the microbiota is involved in human health and disease</w:t>
      </w:r>
      <w:r w:rsidR="00427100" w:rsidRPr="004C20BC">
        <w:rPr>
          <w:rFonts w:ascii="Times New Roman" w:hAnsi="Times New Roman" w:cs="Times New Roman"/>
          <w:sz w:val="24"/>
          <w:szCs w:val="24"/>
        </w:rPr>
        <w:t>.</w:t>
      </w:r>
      <w:r w:rsidR="003F14B1">
        <w:rPr>
          <w:rFonts w:ascii="Times New Roman" w:hAnsi="Times New Roman" w:cs="Times New Roman"/>
          <w:sz w:val="24"/>
          <w:szCs w:val="24"/>
        </w:rPr>
        <w:t xml:space="preserve"> </w:t>
      </w:r>
    </w:p>
    <w:p w14:paraId="7BA79FC8" w14:textId="6C791505" w:rsidR="00563A3F" w:rsidRPr="004C20BC" w:rsidRDefault="009B4B6A" w:rsidP="00BF0230">
      <w:pPr>
        <w:spacing w:line="480" w:lineRule="auto"/>
        <w:jc w:val="center"/>
        <w:outlineLvl w:val="0"/>
        <w:rPr>
          <w:rFonts w:ascii="Times New Roman" w:eastAsia="Times New Roman" w:hAnsi="Times New Roman" w:cs="Times New Roman"/>
          <w:b/>
          <w:sz w:val="24"/>
          <w:szCs w:val="24"/>
        </w:rPr>
      </w:pPr>
      <w:r w:rsidRPr="004C20BC">
        <w:rPr>
          <w:rFonts w:ascii="Times New Roman" w:eastAsia="Times New Roman" w:hAnsi="Times New Roman" w:cs="Times New Roman"/>
          <w:b/>
          <w:sz w:val="24"/>
          <w:szCs w:val="24"/>
        </w:rPr>
        <w:t xml:space="preserve">State and of </w:t>
      </w:r>
      <w:r w:rsidR="00CA0609">
        <w:rPr>
          <w:rFonts w:ascii="Times New Roman" w:eastAsia="Times New Roman" w:hAnsi="Times New Roman" w:cs="Times New Roman"/>
          <w:b/>
          <w:sz w:val="24"/>
          <w:szCs w:val="24"/>
        </w:rPr>
        <w:t xml:space="preserve">the </w:t>
      </w:r>
      <w:r w:rsidRPr="004C20BC">
        <w:rPr>
          <w:rFonts w:ascii="Times New Roman" w:eastAsia="Times New Roman" w:hAnsi="Times New Roman" w:cs="Times New Roman"/>
          <w:b/>
          <w:sz w:val="24"/>
          <w:szCs w:val="24"/>
        </w:rPr>
        <w:t xml:space="preserve">Science and </w:t>
      </w:r>
      <w:r w:rsidR="00DF77B9" w:rsidRPr="004C20BC">
        <w:rPr>
          <w:rFonts w:ascii="Times New Roman" w:eastAsia="Times New Roman" w:hAnsi="Times New Roman" w:cs="Times New Roman"/>
          <w:b/>
          <w:sz w:val="24"/>
          <w:szCs w:val="24"/>
        </w:rPr>
        <w:t>Future Directions</w:t>
      </w:r>
    </w:p>
    <w:p w14:paraId="43C49151" w14:textId="58A0ABE0" w:rsidR="00940803" w:rsidRDefault="009B4B6A" w:rsidP="00967C61">
      <w:pPr>
        <w:spacing w:line="480" w:lineRule="auto"/>
        <w:ind w:firstLine="720"/>
        <w:rPr>
          <w:rFonts w:ascii="Times New Roman" w:eastAsia="Times New Roman" w:hAnsi="Times New Roman" w:cs="Times New Roman"/>
          <w:sz w:val="24"/>
          <w:szCs w:val="24"/>
        </w:rPr>
      </w:pPr>
      <w:r w:rsidRPr="004C20BC">
        <w:rPr>
          <w:rFonts w:ascii="Times New Roman" w:eastAsia="Times New Roman" w:hAnsi="Times New Roman" w:cs="Times New Roman"/>
          <w:sz w:val="24"/>
          <w:szCs w:val="24"/>
        </w:rPr>
        <w:t xml:space="preserve">To date, several nurse scientists </w:t>
      </w:r>
      <w:r w:rsidR="00137F78">
        <w:rPr>
          <w:rFonts w:ascii="Times New Roman" w:eastAsia="Times New Roman" w:hAnsi="Times New Roman" w:cs="Times New Roman"/>
          <w:sz w:val="24"/>
          <w:szCs w:val="24"/>
        </w:rPr>
        <w:t xml:space="preserve">have incorporated </w:t>
      </w:r>
      <w:r w:rsidRPr="004C20BC">
        <w:rPr>
          <w:rFonts w:ascii="Times New Roman" w:eastAsia="Times New Roman" w:hAnsi="Times New Roman" w:cs="Times New Roman"/>
          <w:sz w:val="24"/>
          <w:szCs w:val="24"/>
        </w:rPr>
        <w:t>microbiome research into their research que</w:t>
      </w:r>
      <w:r w:rsidR="0059289C" w:rsidRPr="004C20BC">
        <w:rPr>
          <w:rFonts w:ascii="Times New Roman" w:eastAsia="Times New Roman" w:hAnsi="Times New Roman" w:cs="Times New Roman"/>
          <w:sz w:val="24"/>
          <w:szCs w:val="24"/>
        </w:rPr>
        <w:t>stions</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137F78">
        <w:rPr>
          <w:rFonts w:ascii="Times New Roman" w:eastAsia="Times New Roman" w:hAnsi="Times New Roman" w:cs="Times New Roman"/>
          <w:sz w:val="24"/>
          <w:szCs w:val="24"/>
        </w:rPr>
        <w:t>S</w:t>
      </w:r>
      <w:r w:rsidR="00763AF8" w:rsidRPr="004C20BC">
        <w:rPr>
          <w:rFonts w:ascii="Times New Roman" w:eastAsia="Times New Roman" w:hAnsi="Times New Roman" w:cs="Times New Roman"/>
          <w:sz w:val="24"/>
          <w:szCs w:val="24"/>
        </w:rPr>
        <w:t xml:space="preserve">ome areas studied by nurse scientists </w:t>
      </w:r>
      <w:r w:rsidR="00E63469">
        <w:rPr>
          <w:rFonts w:ascii="Times New Roman" w:eastAsia="Times New Roman" w:hAnsi="Times New Roman" w:cs="Times New Roman"/>
          <w:sz w:val="24"/>
          <w:szCs w:val="24"/>
        </w:rPr>
        <w:t xml:space="preserve">using </w:t>
      </w:r>
      <w:proofErr w:type="spellStart"/>
      <w:r w:rsidR="00E63469">
        <w:rPr>
          <w:rFonts w:ascii="Times New Roman" w:eastAsia="Times New Roman" w:hAnsi="Times New Roman" w:cs="Times New Roman"/>
          <w:sz w:val="24"/>
          <w:szCs w:val="24"/>
        </w:rPr>
        <w:t>microbiomics</w:t>
      </w:r>
      <w:proofErr w:type="spellEnd"/>
      <w:r w:rsidR="00E63469">
        <w:rPr>
          <w:rFonts w:ascii="Times New Roman" w:eastAsia="Times New Roman" w:hAnsi="Times New Roman" w:cs="Times New Roman"/>
          <w:sz w:val="24"/>
          <w:szCs w:val="24"/>
        </w:rPr>
        <w:t xml:space="preserve"> </w:t>
      </w:r>
      <w:r w:rsidR="00763AF8" w:rsidRPr="004C20BC">
        <w:rPr>
          <w:rFonts w:ascii="Times New Roman" w:eastAsia="Times New Roman" w:hAnsi="Times New Roman" w:cs="Times New Roman"/>
          <w:sz w:val="24"/>
          <w:szCs w:val="24"/>
        </w:rPr>
        <w:t xml:space="preserve">are </w:t>
      </w:r>
      <w:r w:rsidR="0059289C" w:rsidRPr="004C20BC">
        <w:rPr>
          <w:rFonts w:ascii="Times New Roman" w:eastAsia="Times New Roman" w:hAnsi="Times New Roman" w:cs="Times New Roman"/>
          <w:sz w:val="24"/>
          <w:szCs w:val="24"/>
        </w:rPr>
        <w:t xml:space="preserve">feeding </w:t>
      </w:r>
      <w:r w:rsidR="008F5EFA">
        <w:rPr>
          <w:rFonts w:ascii="Times New Roman" w:eastAsia="Times New Roman" w:hAnsi="Times New Roman" w:cs="Times New Roman"/>
          <w:sz w:val="24"/>
          <w:szCs w:val="24"/>
        </w:rPr>
        <w:t>m</w:t>
      </w:r>
      <w:r w:rsidR="0059289C" w:rsidRPr="004C20BC">
        <w:rPr>
          <w:rFonts w:ascii="Times New Roman" w:eastAsia="Times New Roman" w:hAnsi="Times New Roman" w:cs="Times New Roman"/>
          <w:sz w:val="24"/>
          <w:szCs w:val="24"/>
        </w:rPr>
        <w:t>e</w:t>
      </w:r>
      <w:r w:rsidR="008F5EFA">
        <w:rPr>
          <w:rFonts w:ascii="Times New Roman" w:eastAsia="Times New Roman" w:hAnsi="Times New Roman" w:cs="Times New Roman"/>
          <w:sz w:val="24"/>
          <w:szCs w:val="24"/>
        </w:rPr>
        <w:t>thod (i.e. breastfed vs. formula</w:t>
      </w:r>
      <w:r w:rsidR="003352C6">
        <w:rPr>
          <w:rFonts w:ascii="Times New Roman" w:eastAsia="Times New Roman" w:hAnsi="Times New Roman" w:cs="Times New Roman"/>
          <w:sz w:val="24"/>
          <w:szCs w:val="24"/>
        </w:rPr>
        <w:t xml:space="preserve"> </w:t>
      </w:r>
      <w:r w:rsidR="008F5EFA">
        <w:rPr>
          <w:rFonts w:ascii="Times New Roman" w:eastAsia="Times New Roman" w:hAnsi="Times New Roman" w:cs="Times New Roman"/>
          <w:sz w:val="24"/>
          <w:szCs w:val="24"/>
        </w:rPr>
        <w:t>fed)</w:t>
      </w:r>
      <w:r w:rsidR="0059289C" w:rsidRPr="004C20BC">
        <w:rPr>
          <w:rFonts w:ascii="Times New Roman" w:eastAsia="Times New Roman" w:hAnsi="Times New Roman" w:cs="Times New Roman"/>
          <w:sz w:val="24"/>
          <w:szCs w:val="24"/>
        </w:rPr>
        <w:t xml:space="preserve"> in preterm infants </w:t>
      </w:r>
      <w:r w:rsidR="00DA0608" w:rsidRPr="004C20BC">
        <w:rPr>
          <w:rFonts w:ascii="Times New Roman" w:eastAsia="Times New Roman" w:hAnsi="Times New Roman" w:cs="Times New Roman"/>
          <w:noProof/>
          <w:sz w:val="24"/>
          <w:szCs w:val="24"/>
        </w:rPr>
        <w:t>(Cong et al., 2017; Cong et al., 2016)</w:t>
      </w:r>
      <w:r w:rsidR="00DA0608" w:rsidRPr="004C20BC">
        <w:rPr>
          <w:rFonts w:ascii="Times New Roman" w:eastAsia="Times New Roman" w:hAnsi="Times New Roman" w:cs="Times New Roman"/>
          <w:sz w:val="24"/>
          <w:szCs w:val="24"/>
        </w:rPr>
        <w:t xml:space="preserve">, irritable bowel syndrome </w:t>
      </w:r>
      <w:r w:rsidR="002C002E" w:rsidRPr="004C20BC">
        <w:rPr>
          <w:rFonts w:ascii="Times New Roman" w:eastAsia="Times New Roman" w:hAnsi="Times New Roman" w:cs="Times New Roman"/>
          <w:noProof/>
          <w:sz w:val="24"/>
          <w:szCs w:val="24"/>
        </w:rPr>
        <w:t>(Fourie et al., 2017; Fourie et al., 2016)</w:t>
      </w:r>
      <w:r w:rsidR="002C002E" w:rsidRPr="004C20BC">
        <w:rPr>
          <w:rFonts w:ascii="Times New Roman" w:eastAsia="Times New Roman" w:hAnsi="Times New Roman" w:cs="Times New Roman"/>
          <w:sz w:val="24"/>
          <w:szCs w:val="24"/>
        </w:rPr>
        <w:t>, and the vaginal microbial community</w:t>
      </w:r>
      <w:r w:rsidR="0059289C" w:rsidRPr="004C20BC">
        <w:rPr>
          <w:rFonts w:ascii="Times New Roman" w:eastAsia="Times New Roman" w:hAnsi="Times New Roman" w:cs="Times New Roman"/>
          <w:sz w:val="24"/>
          <w:szCs w:val="24"/>
        </w:rPr>
        <w:t xml:space="preserve"> </w:t>
      </w:r>
      <w:r w:rsidR="00D704A3" w:rsidRPr="004C20BC">
        <w:rPr>
          <w:rFonts w:ascii="Times New Roman" w:eastAsia="Times New Roman" w:hAnsi="Times New Roman" w:cs="Times New Roman"/>
          <w:noProof/>
          <w:sz w:val="24"/>
          <w:szCs w:val="24"/>
        </w:rPr>
        <w:t>(Brooks et al., 2017)</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333E9D" w:rsidRPr="004C20BC">
        <w:rPr>
          <w:rFonts w:ascii="Times New Roman" w:eastAsia="Times New Roman" w:hAnsi="Times New Roman" w:cs="Times New Roman"/>
          <w:sz w:val="24"/>
          <w:szCs w:val="24"/>
        </w:rPr>
        <w:t xml:space="preserve">Although this </w:t>
      </w:r>
      <w:r w:rsidR="006344C3">
        <w:rPr>
          <w:rFonts w:ascii="Times New Roman" w:eastAsia="Times New Roman" w:hAnsi="Times New Roman" w:cs="Times New Roman"/>
          <w:sz w:val="24"/>
          <w:szCs w:val="24"/>
        </w:rPr>
        <w:t xml:space="preserve">list </w:t>
      </w:r>
      <w:r w:rsidR="00333E9D" w:rsidRPr="004C20BC">
        <w:rPr>
          <w:rFonts w:ascii="Times New Roman" w:eastAsia="Times New Roman" w:hAnsi="Times New Roman" w:cs="Times New Roman"/>
          <w:sz w:val="24"/>
          <w:szCs w:val="24"/>
        </w:rPr>
        <w:t xml:space="preserve">is not a comprehensive </w:t>
      </w:r>
      <w:r w:rsidR="006344C3">
        <w:rPr>
          <w:rFonts w:ascii="Times New Roman" w:eastAsia="Times New Roman" w:hAnsi="Times New Roman" w:cs="Times New Roman"/>
          <w:sz w:val="24"/>
          <w:szCs w:val="24"/>
        </w:rPr>
        <w:t>one</w:t>
      </w:r>
      <w:r w:rsidR="006344C3" w:rsidRPr="004C20BC">
        <w:rPr>
          <w:rFonts w:ascii="Times New Roman" w:eastAsia="Times New Roman" w:hAnsi="Times New Roman" w:cs="Times New Roman"/>
          <w:sz w:val="24"/>
          <w:szCs w:val="24"/>
        </w:rPr>
        <w:t xml:space="preserve"> </w:t>
      </w:r>
      <w:r w:rsidR="00333E9D" w:rsidRPr="004C20BC">
        <w:rPr>
          <w:rFonts w:ascii="Times New Roman" w:eastAsia="Times New Roman" w:hAnsi="Times New Roman" w:cs="Times New Roman"/>
          <w:sz w:val="24"/>
          <w:szCs w:val="24"/>
        </w:rPr>
        <w:t>of all the w</w:t>
      </w:r>
      <w:r w:rsidR="00D704A3" w:rsidRPr="004C20BC">
        <w:rPr>
          <w:rFonts w:ascii="Times New Roman" w:eastAsia="Times New Roman" w:hAnsi="Times New Roman" w:cs="Times New Roman"/>
          <w:sz w:val="24"/>
          <w:szCs w:val="24"/>
        </w:rPr>
        <w:t>ork done by nurse scientists</w:t>
      </w:r>
      <w:r w:rsidR="00333E9D" w:rsidRPr="004C20BC">
        <w:rPr>
          <w:rFonts w:ascii="Times New Roman" w:eastAsia="Times New Roman" w:hAnsi="Times New Roman" w:cs="Times New Roman"/>
          <w:sz w:val="24"/>
          <w:szCs w:val="24"/>
        </w:rPr>
        <w:t xml:space="preserve">, it provides exemplars of </w:t>
      </w:r>
      <w:r w:rsidR="00D704A3" w:rsidRPr="004C20BC">
        <w:rPr>
          <w:rFonts w:ascii="Times New Roman" w:eastAsia="Times New Roman" w:hAnsi="Times New Roman" w:cs="Times New Roman"/>
          <w:sz w:val="24"/>
          <w:szCs w:val="24"/>
        </w:rPr>
        <w:t>advancement</w:t>
      </w:r>
      <w:r w:rsidR="00333E9D" w:rsidRPr="004C20BC">
        <w:rPr>
          <w:rFonts w:ascii="Times New Roman" w:eastAsia="Times New Roman" w:hAnsi="Times New Roman" w:cs="Times New Roman"/>
          <w:sz w:val="24"/>
          <w:szCs w:val="24"/>
        </w:rPr>
        <w:t xml:space="preserve"> in the field</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Pr="004C20BC">
        <w:rPr>
          <w:rFonts w:ascii="Times New Roman" w:eastAsia="Times New Roman" w:hAnsi="Times New Roman" w:cs="Times New Roman"/>
          <w:sz w:val="24"/>
          <w:szCs w:val="24"/>
        </w:rPr>
        <w:t xml:space="preserve">Table </w:t>
      </w:r>
      <w:r w:rsidR="00BD2FAD">
        <w:rPr>
          <w:rFonts w:ascii="Times New Roman" w:eastAsia="Times New Roman" w:hAnsi="Times New Roman" w:cs="Times New Roman"/>
          <w:sz w:val="24"/>
          <w:szCs w:val="24"/>
        </w:rPr>
        <w:t>3</w:t>
      </w:r>
      <w:r w:rsidRPr="004C20BC">
        <w:rPr>
          <w:rFonts w:ascii="Times New Roman" w:eastAsia="Times New Roman" w:hAnsi="Times New Roman" w:cs="Times New Roman"/>
          <w:sz w:val="24"/>
          <w:szCs w:val="24"/>
        </w:rPr>
        <w:t xml:space="preserve"> </w:t>
      </w:r>
      <w:r w:rsidR="00333E9D" w:rsidRPr="004C20BC">
        <w:rPr>
          <w:rFonts w:ascii="Times New Roman" w:eastAsia="Times New Roman" w:hAnsi="Times New Roman" w:cs="Times New Roman"/>
          <w:sz w:val="24"/>
          <w:szCs w:val="24"/>
        </w:rPr>
        <w:t>describes</w:t>
      </w:r>
      <w:r w:rsidRPr="004C20BC">
        <w:rPr>
          <w:rFonts w:ascii="Times New Roman" w:eastAsia="Times New Roman" w:hAnsi="Times New Roman" w:cs="Times New Roman"/>
          <w:sz w:val="24"/>
          <w:szCs w:val="24"/>
        </w:rPr>
        <w:t xml:space="preserve"> in detail</w:t>
      </w:r>
      <w:r w:rsidR="00763AF8" w:rsidRPr="004C20BC">
        <w:rPr>
          <w:rFonts w:ascii="Times New Roman" w:eastAsia="Times New Roman" w:hAnsi="Times New Roman" w:cs="Times New Roman"/>
          <w:sz w:val="24"/>
          <w:szCs w:val="24"/>
        </w:rPr>
        <w:t xml:space="preserve"> various research designs and methodological techniques </w:t>
      </w:r>
      <w:r w:rsidR="00D704A3" w:rsidRPr="004C20BC">
        <w:rPr>
          <w:rFonts w:ascii="Times New Roman" w:eastAsia="Times New Roman" w:hAnsi="Times New Roman" w:cs="Times New Roman"/>
          <w:sz w:val="24"/>
          <w:szCs w:val="24"/>
        </w:rPr>
        <w:t>in which microbiome analysis</w:t>
      </w:r>
      <w:r w:rsidR="00763AF8" w:rsidRPr="004C20BC">
        <w:rPr>
          <w:rFonts w:ascii="Times New Roman" w:eastAsia="Times New Roman" w:hAnsi="Times New Roman" w:cs="Times New Roman"/>
          <w:sz w:val="24"/>
          <w:szCs w:val="24"/>
        </w:rPr>
        <w:t xml:space="preserve"> can be </w:t>
      </w:r>
      <w:r w:rsidR="00D704A3" w:rsidRPr="004C20BC">
        <w:rPr>
          <w:rFonts w:ascii="Times New Roman" w:eastAsia="Times New Roman" w:hAnsi="Times New Roman" w:cs="Times New Roman"/>
          <w:sz w:val="24"/>
          <w:szCs w:val="24"/>
        </w:rPr>
        <w:t xml:space="preserve">incorporated </w:t>
      </w:r>
      <w:r w:rsidR="00763AF8" w:rsidRPr="004C20BC">
        <w:rPr>
          <w:rFonts w:ascii="Times New Roman" w:eastAsia="Times New Roman" w:hAnsi="Times New Roman" w:cs="Times New Roman"/>
          <w:sz w:val="24"/>
          <w:szCs w:val="24"/>
        </w:rPr>
        <w:t>to answer</w:t>
      </w:r>
      <w:r w:rsidR="00D704A3" w:rsidRPr="00967C61">
        <w:rPr>
          <w:rFonts w:ascii="Times New Roman" w:eastAsia="Times New Roman" w:hAnsi="Times New Roman" w:cs="Times New Roman"/>
          <w:sz w:val="24"/>
          <w:szCs w:val="24"/>
        </w:rPr>
        <w:t xml:space="preserve"> </w:t>
      </w:r>
      <w:r w:rsidR="00D704A3" w:rsidRPr="004C20BC">
        <w:rPr>
          <w:rFonts w:ascii="Times New Roman" w:eastAsia="Times New Roman" w:hAnsi="Times New Roman" w:cs="Times New Roman"/>
          <w:sz w:val="24"/>
          <w:szCs w:val="24"/>
        </w:rPr>
        <w:t>research questions relevant to nursing</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D704A3" w:rsidRPr="004C20BC">
        <w:rPr>
          <w:rFonts w:ascii="Times New Roman" w:eastAsia="Times New Roman" w:hAnsi="Times New Roman" w:cs="Times New Roman"/>
          <w:sz w:val="24"/>
          <w:szCs w:val="24"/>
        </w:rPr>
        <w:t>Although there has been a large amount of progress in the field of microbiome research in the past several years, m</w:t>
      </w:r>
      <w:r w:rsidR="00333E9D" w:rsidRPr="004C20BC">
        <w:rPr>
          <w:rFonts w:ascii="Times New Roman" w:eastAsia="Times New Roman" w:hAnsi="Times New Roman" w:cs="Times New Roman"/>
          <w:sz w:val="24"/>
          <w:szCs w:val="24"/>
        </w:rPr>
        <w:t>ost work is associational</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2659CA">
        <w:rPr>
          <w:rFonts w:ascii="Times New Roman" w:eastAsia="Times New Roman" w:hAnsi="Times New Roman" w:cs="Times New Roman"/>
          <w:sz w:val="24"/>
          <w:szCs w:val="24"/>
        </w:rPr>
        <w:t>A</w:t>
      </w:r>
      <w:r w:rsidR="00D704A3" w:rsidRPr="004C20BC">
        <w:rPr>
          <w:rFonts w:ascii="Times New Roman" w:eastAsia="Times New Roman" w:hAnsi="Times New Roman" w:cs="Times New Roman"/>
          <w:sz w:val="24"/>
          <w:szCs w:val="24"/>
        </w:rPr>
        <w:t>ssociational studies narrow future research questions</w:t>
      </w:r>
      <w:r w:rsidR="002659CA">
        <w:rPr>
          <w:rFonts w:ascii="Times New Roman" w:eastAsia="Times New Roman" w:hAnsi="Times New Roman" w:cs="Times New Roman"/>
          <w:sz w:val="24"/>
          <w:szCs w:val="24"/>
        </w:rPr>
        <w:t xml:space="preserve"> and</w:t>
      </w:r>
      <w:r w:rsidR="00333E9D" w:rsidRPr="004C20BC">
        <w:rPr>
          <w:rFonts w:ascii="Times New Roman" w:eastAsia="Times New Roman" w:hAnsi="Times New Roman" w:cs="Times New Roman"/>
          <w:sz w:val="24"/>
          <w:szCs w:val="24"/>
        </w:rPr>
        <w:t xml:space="preserve"> </w:t>
      </w:r>
      <w:r w:rsidR="00D704A3" w:rsidRPr="004C20BC">
        <w:rPr>
          <w:rFonts w:ascii="Times New Roman" w:eastAsia="Times New Roman" w:hAnsi="Times New Roman" w:cs="Times New Roman"/>
          <w:sz w:val="24"/>
          <w:szCs w:val="24"/>
        </w:rPr>
        <w:t>are</w:t>
      </w:r>
      <w:r w:rsidR="00333E9D" w:rsidRPr="004C20BC">
        <w:rPr>
          <w:rFonts w:ascii="Times New Roman" w:eastAsia="Times New Roman" w:hAnsi="Times New Roman" w:cs="Times New Roman"/>
          <w:sz w:val="24"/>
          <w:szCs w:val="24"/>
        </w:rPr>
        <w:t xml:space="preserve"> </w:t>
      </w:r>
      <w:r w:rsidR="00C93CCD" w:rsidRPr="004C20BC">
        <w:rPr>
          <w:rFonts w:ascii="Times New Roman" w:eastAsia="Times New Roman" w:hAnsi="Times New Roman" w:cs="Times New Roman"/>
          <w:sz w:val="24"/>
          <w:szCs w:val="24"/>
        </w:rPr>
        <w:t>important starting points</w:t>
      </w:r>
      <w:r w:rsidR="002659CA">
        <w:rPr>
          <w:rFonts w:ascii="Times New Roman" w:eastAsia="Times New Roman" w:hAnsi="Times New Roman" w:cs="Times New Roman"/>
          <w:sz w:val="24"/>
          <w:szCs w:val="24"/>
        </w:rPr>
        <w:t>; however</w:t>
      </w:r>
      <w:r w:rsidR="00D704A3" w:rsidRPr="004C20BC">
        <w:rPr>
          <w:rFonts w:ascii="Times New Roman" w:eastAsia="Times New Roman" w:hAnsi="Times New Roman" w:cs="Times New Roman"/>
          <w:sz w:val="24"/>
          <w:szCs w:val="24"/>
        </w:rPr>
        <w:t>,</w:t>
      </w:r>
      <w:r w:rsidR="00333E9D" w:rsidRPr="004C20BC">
        <w:rPr>
          <w:rFonts w:ascii="Times New Roman" w:eastAsia="Times New Roman" w:hAnsi="Times New Roman" w:cs="Times New Roman"/>
          <w:sz w:val="24"/>
          <w:szCs w:val="24"/>
        </w:rPr>
        <w:t xml:space="preserve"> more mechanistic studies are needed to understand the </w:t>
      </w:r>
      <w:r w:rsidR="00333E9D" w:rsidRPr="004C20BC">
        <w:rPr>
          <w:rFonts w:ascii="Times New Roman" w:eastAsia="Times New Roman" w:hAnsi="Times New Roman" w:cs="Times New Roman"/>
          <w:noProof/>
          <w:sz w:val="24"/>
          <w:szCs w:val="24"/>
        </w:rPr>
        <w:t>effect</w:t>
      </w:r>
      <w:r w:rsidR="00333E9D" w:rsidRPr="004C20BC">
        <w:rPr>
          <w:rFonts w:ascii="Times New Roman" w:eastAsia="Times New Roman" w:hAnsi="Times New Roman" w:cs="Times New Roman"/>
          <w:sz w:val="24"/>
          <w:szCs w:val="24"/>
        </w:rPr>
        <w:t xml:space="preserve"> </w:t>
      </w:r>
      <w:r w:rsidR="002169D6" w:rsidRPr="004C20BC">
        <w:rPr>
          <w:rFonts w:ascii="Times New Roman" w:eastAsia="Times New Roman" w:hAnsi="Times New Roman" w:cs="Times New Roman"/>
          <w:sz w:val="24"/>
          <w:szCs w:val="24"/>
        </w:rPr>
        <w:t xml:space="preserve">of </w:t>
      </w:r>
      <w:r w:rsidR="002659CA">
        <w:rPr>
          <w:rFonts w:ascii="Times New Roman" w:eastAsia="Times New Roman" w:hAnsi="Times New Roman" w:cs="Times New Roman"/>
          <w:sz w:val="24"/>
          <w:szCs w:val="24"/>
        </w:rPr>
        <w:t>microorganisms</w:t>
      </w:r>
      <w:r w:rsidR="002659CA" w:rsidRPr="004C20BC">
        <w:rPr>
          <w:rFonts w:ascii="Times New Roman" w:eastAsia="Times New Roman" w:hAnsi="Times New Roman" w:cs="Times New Roman"/>
          <w:sz w:val="24"/>
          <w:szCs w:val="24"/>
        </w:rPr>
        <w:t xml:space="preserve"> </w:t>
      </w:r>
      <w:r w:rsidR="00333E9D" w:rsidRPr="004C20BC">
        <w:rPr>
          <w:rFonts w:ascii="Times New Roman" w:eastAsia="Times New Roman" w:hAnsi="Times New Roman" w:cs="Times New Roman"/>
          <w:sz w:val="24"/>
          <w:szCs w:val="24"/>
        </w:rPr>
        <w:t>on health and disease</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7E5A0B">
        <w:rPr>
          <w:rFonts w:ascii="Times New Roman" w:eastAsia="Times New Roman" w:hAnsi="Times New Roman" w:cs="Times New Roman"/>
          <w:sz w:val="24"/>
          <w:szCs w:val="24"/>
        </w:rPr>
        <w:t>N</w:t>
      </w:r>
      <w:r w:rsidR="00D704A3" w:rsidRPr="004C20BC">
        <w:rPr>
          <w:rFonts w:ascii="Times New Roman" w:eastAsia="Times New Roman" w:hAnsi="Times New Roman" w:cs="Times New Roman"/>
          <w:sz w:val="24"/>
          <w:szCs w:val="24"/>
        </w:rPr>
        <w:t xml:space="preserve">urse </w:t>
      </w:r>
      <w:r w:rsidR="00F52202">
        <w:rPr>
          <w:rFonts w:ascii="Times New Roman" w:eastAsia="Times New Roman" w:hAnsi="Times New Roman" w:cs="Times New Roman"/>
          <w:sz w:val="24"/>
          <w:szCs w:val="24"/>
        </w:rPr>
        <w:t>scientist</w:t>
      </w:r>
      <w:r w:rsidR="00D704A3" w:rsidRPr="004C20BC">
        <w:rPr>
          <w:rFonts w:ascii="Times New Roman" w:eastAsia="Times New Roman" w:hAnsi="Times New Roman" w:cs="Times New Roman"/>
          <w:sz w:val="24"/>
          <w:szCs w:val="24"/>
        </w:rPr>
        <w:t>s</w:t>
      </w:r>
      <w:r w:rsidR="007E5A0B">
        <w:rPr>
          <w:rFonts w:ascii="Times New Roman" w:eastAsia="Times New Roman" w:hAnsi="Times New Roman" w:cs="Times New Roman"/>
          <w:sz w:val="24"/>
          <w:szCs w:val="24"/>
        </w:rPr>
        <w:t>’ training</w:t>
      </w:r>
      <w:r w:rsidR="00D704A3" w:rsidRPr="004C20BC">
        <w:rPr>
          <w:rFonts w:ascii="Times New Roman" w:eastAsia="Times New Roman" w:hAnsi="Times New Roman" w:cs="Times New Roman"/>
          <w:sz w:val="24"/>
          <w:szCs w:val="24"/>
        </w:rPr>
        <w:t xml:space="preserve"> to view the patient as an interconnected unit can be harnessed to incorporate the microbiota in</w:t>
      </w:r>
      <w:r w:rsidR="007E5A0B">
        <w:rPr>
          <w:rFonts w:ascii="Times New Roman" w:eastAsia="Times New Roman" w:hAnsi="Times New Roman" w:cs="Times New Roman"/>
          <w:sz w:val="24"/>
          <w:szCs w:val="24"/>
        </w:rPr>
        <w:t>to</w:t>
      </w:r>
      <w:r w:rsidR="00D704A3" w:rsidRPr="004C20BC">
        <w:rPr>
          <w:rFonts w:ascii="Times New Roman" w:eastAsia="Times New Roman" w:hAnsi="Times New Roman" w:cs="Times New Roman"/>
          <w:sz w:val="24"/>
          <w:szCs w:val="24"/>
        </w:rPr>
        <w:t xml:space="preserve"> research questions aimed at improving </w:t>
      </w:r>
      <w:r w:rsidR="00333E9D" w:rsidRPr="004C20BC">
        <w:rPr>
          <w:rFonts w:ascii="Times New Roman" w:eastAsia="Times New Roman" w:hAnsi="Times New Roman" w:cs="Times New Roman"/>
          <w:sz w:val="24"/>
          <w:szCs w:val="24"/>
        </w:rPr>
        <w:t>patient outcomes</w:t>
      </w:r>
      <w:r w:rsidR="00D704A3" w:rsidRPr="004C20BC">
        <w:rPr>
          <w:rFonts w:ascii="Times New Roman" w:eastAsia="Times New Roman" w:hAnsi="Times New Roman" w:cs="Times New Roman"/>
          <w:sz w:val="24"/>
          <w:szCs w:val="24"/>
        </w:rPr>
        <w:t>, reducing symptom burden from chronic disease</w:t>
      </w:r>
      <w:r w:rsidR="00B57733" w:rsidRPr="004C20BC">
        <w:rPr>
          <w:rFonts w:ascii="Times New Roman" w:eastAsia="Times New Roman" w:hAnsi="Times New Roman" w:cs="Times New Roman"/>
          <w:sz w:val="24"/>
          <w:szCs w:val="24"/>
        </w:rPr>
        <w:t>,</w:t>
      </w:r>
      <w:r w:rsidR="00D704A3" w:rsidRPr="004C20BC">
        <w:rPr>
          <w:rFonts w:ascii="Times New Roman" w:eastAsia="Times New Roman" w:hAnsi="Times New Roman" w:cs="Times New Roman"/>
          <w:sz w:val="24"/>
          <w:szCs w:val="24"/>
        </w:rPr>
        <w:t xml:space="preserve"> and promoting long-term health</w:t>
      </w:r>
      <w:r w:rsidR="00333E9D"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p>
    <w:p w14:paraId="3ED0C439" w14:textId="3003C7AF" w:rsidR="006344C3" w:rsidRPr="004C20BC" w:rsidRDefault="006344C3" w:rsidP="00967C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&lt;Table 3 near here.&gt;</w:t>
      </w:r>
    </w:p>
    <w:p w14:paraId="06A85F9B" w14:textId="1A1CC731" w:rsidR="00213B28" w:rsidRPr="004C20BC" w:rsidRDefault="00DE4954" w:rsidP="006624B2">
      <w:pPr>
        <w:spacing w:line="480" w:lineRule="auto"/>
        <w:jc w:val="center"/>
        <w:outlineLvl w:val="0"/>
        <w:rPr>
          <w:rFonts w:ascii="Times New Roman" w:eastAsia="Times New Roman" w:hAnsi="Times New Roman" w:cs="Times New Roman"/>
          <w:sz w:val="24"/>
          <w:szCs w:val="24"/>
        </w:rPr>
      </w:pPr>
      <w:r w:rsidRPr="004C20BC">
        <w:rPr>
          <w:rFonts w:ascii="Times New Roman" w:eastAsia="Times New Roman" w:hAnsi="Times New Roman" w:cs="Times New Roman"/>
          <w:b/>
          <w:sz w:val="24"/>
          <w:szCs w:val="24"/>
        </w:rPr>
        <w:t>Conclusion</w:t>
      </w:r>
    </w:p>
    <w:p w14:paraId="588D5304" w14:textId="21585FC5" w:rsidR="002C570B" w:rsidRPr="004C20BC" w:rsidRDefault="00210B86" w:rsidP="00967C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Nurse scientist</w:t>
      </w:r>
      <w:r w:rsidR="00213B28" w:rsidRPr="004C20BC">
        <w:rPr>
          <w:rFonts w:ascii="Times New Roman" w:eastAsia="Times New Roman" w:hAnsi="Times New Roman" w:cs="Times New Roman"/>
          <w:sz w:val="24"/>
          <w:szCs w:val="24"/>
        </w:rPr>
        <w:t xml:space="preserve">s have a unique lens based on their patient-focused training and are well equipped to study the complex relationships </w:t>
      </w:r>
      <w:r w:rsidR="007E5A0B">
        <w:rPr>
          <w:rFonts w:ascii="Times New Roman" w:eastAsia="Times New Roman" w:hAnsi="Times New Roman" w:cs="Times New Roman"/>
          <w:sz w:val="24"/>
          <w:szCs w:val="24"/>
        </w:rPr>
        <w:t>among</w:t>
      </w:r>
      <w:r w:rsidR="007E5A0B" w:rsidRPr="004C20BC">
        <w:rPr>
          <w:rFonts w:ascii="Times New Roman" w:eastAsia="Times New Roman" w:hAnsi="Times New Roman" w:cs="Times New Roman"/>
          <w:sz w:val="24"/>
          <w:szCs w:val="24"/>
        </w:rPr>
        <w:t xml:space="preserve"> </w:t>
      </w:r>
      <w:r w:rsidR="00213B28" w:rsidRPr="004C20BC">
        <w:rPr>
          <w:rFonts w:ascii="Times New Roman" w:eastAsia="Times New Roman" w:hAnsi="Times New Roman" w:cs="Times New Roman"/>
          <w:sz w:val="24"/>
          <w:szCs w:val="24"/>
        </w:rPr>
        <w:t xml:space="preserve">the human genome, the genomes of the </w:t>
      </w:r>
      <w:r w:rsidR="00213B28" w:rsidRPr="004C20BC">
        <w:rPr>
          <w:rFonts w:ascii="Times New Roman" w:eastAsia="Times New Roman" w:hAnsi="Times New Roman" w:cs="Times New Roman"/>
          <w:sz w:val="24"/>
          <w:szCs w:val="24"/>
        </w:rPr>
        <w:lastRenderedPageBreak/>
        <w:t xml:space="preserve">microbiota, the multitude of environmental forces </w:t>
      </w:r>
      <w:r w:rsidR="007E5A0B">
        <w:rPr>
          <w:rFonts w:ascii="Times New Roman" w:eastAsia="Times New Roman" w:hAnsi="Times New Roman" w:cs="Times New Roman"/>
          <w:sz w:val="24"/>
          <w:szCs w:val="24"/>
        </w:rPr>
        <w:t xml:space="preserve">that </w:t>
      </w:r>
      <w:r w:rsidR="00213B28" w:rsidRPr="004C20BC">
        <w:rPr>
          <w:rFonts w:ascii="Times New Roman" w:eastAsia="Times New Roman" w:hAnsi="Times New Roman" w:cs="Times New Roman"/>
          <w:sz w:val="24"/>
          <w:szCs w:val="24"/>
        </w:rPr>
        <w:t>influence health</w:t>
      </w:r>
      <w:r w:rsidR="00137F78">
        <w:rPr>
          <w:rFonts w:ascii="Times New Roman" w:eastAsia="Times New Roman" w:hAnsi="Times New Roman" w:cs="Times New Roman"/>
          <w:sz w:val="24"/>
          <w:szCs w:val="24"/>
        </w:rPr>
        <w:t>,</w:t>
      </w:r>
      <w:r w:rsidR="00213B28" w:rsidRPr="004C20BC">
        <w:rPr>
          <w:rFonts w:ascii="Times New Roman" w:eastAsia="Times New Roman" w:hAnsi="Times New Roman" w:cs="Times New Roman"/>
          <w:sz w:val="24"/>
          <w:szCs w:val="24"/>
        </w:rPr>
        <w:t xml:space="preserve"> and disease</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137F78">
        <w:rPr>
          <w:rFonts w:ascii="Times New Roman" w:eastAsia="Times New Roman" w:hAnsi="Times New Roman" w:cs="Times New Roman"/>
          <w:sz w:val="24"/>
          <w:szCs w:val="24"/>
        </w:rPr>
        <w:t>E</w:t>
      </w:r>
      <w:r w:rsidR="00CB42C7" w:rsidRPr="004C20BC">
        <w:rPr>
          <w:rFonts w:ascii="Times New Roman" w:eastAsia="Times New Roman" w:hAnsi="Times New Roman" w:cs="Times New Roman"/>
          <w:sz w:val="24"/>
          <w:szCs w:val="24"/>
        </w:rPr>
        <w:t xml:space="preserve">nsuring </w:t>
      </w:r>
      <w:r w:rsidR="00137F78">
        <w:rPr>
          <w:rFonts w:ascii="Times New Roman" w:eastAsia="Times New Roman" w:hAnsi="Times New Roman" w:cs="Times New Roman"/>
          <w:sz w:val="24"/>
          <w:szCs w:val="24"/>
        </w:rPr>
        <w:t xml:space="preserve">that </w:t>
      </w:r>
      <w:r w:rsidR="00CB42C7" w:rsidRPr="004C20BC">
        <w:rPr>
          <w:rFonts w:ascii="Times New Roman" w:eastAsia="Times New Roman" w:hAnsi="Times New Roman" w:cs="Times New Roman"/>
          <w:sz w:val="24"/>
          <w:szCs w:val="24"/>
        </w:rPr>
        <w:t xml:space="preserve">they have the tools and resources </w:t>
      </w:r>
      <w:r w:rsidR="007E5A0B">
        <w:rPr>
          <w:rFonts w:ascii="Times New Roman" w:eastAsia="Times New Roman" w:hAnsi="Times New Roman" w:cs="Times New Roman"/>
          <w:sz w:val="24"/>
          <w:szCs w:val="24"/>
        </w:rPr>
        <w:t xml:space="preserve">they </w:t>
      </w:r>
      <w:r w:rsidR="00137F78">
        <w:rPr>
          <w:rFonts w:ascii="Times New Roman" w:eastAsia="Times New Roman" w:hAnsi="Times New Roman" w:cs="Times New Roman"/>
          <w:sz w:val="24"/>
          <w:szCs w:val="24"/>
        </w:rPr>
        <w:t xml:space="preserve">need </w:t>
      </w:r>
      <w:r w:rsidR="00CB42C7" w:rsidRPr="004C20BC">
        <w:rPr>
          <w:rFonts w:ascii="Times New Roman" w:eastAsia="Times New Roman" w:hAnsi="Times New Roman" w:cs="Times New Roman"/>
          <w:sz w:val="24"/>
          <w:szCs w:val="24"/>
        </w:rPr>
        <w:t xml:space="preserve">when </w:t>
      </w:r>
      <w:r w:rsidR="007A646A" w:rsidRPr="004C20BC">
        <w:rPr>
          <w:rFonts w:ascii="Times New Roman" w:eastAsia="Times New Roman" w:hAnsi="Times New Roman" w:cs="Times New Roman"/>
          <w:sz w:val="24"/>
          <w:szCs w:val="24"/>
        </w:rPr>
        <w:t xml:space="preserve">incorporating </w:t>
      </w:r>
      <w:r w:rsidR="00CB42C7" w:rsidRPr="004C20BC">
        <w:rPr>
          <w:rFonts w:ascii="Times New Roman" w:eastAsia="Times New Roman" w:hAnsi="Times New Roman" w:cs="Times New Roman"/>
          <w:sz w:val="24"/>
          <w:szCs w:val="24"/>
        </w:rPr>
        <w:t>microbiome</w:t>
      </w:r>
      <w:r w:rsidR="007A646A" w:rsidRPr="004C20BC">
        <w:rPr>
          <w:rFonts w:ascii="Times New Roman" w:eastAsia="Times New Roman" w:hAnsi="Times New Roman" w:cs="Times New Roman"/>
          <w:sz w:val="24"/>
          <w:szCs w:val="24"/>
        </w:rPr>
        <w:t xml:space="preserve"> methods into a</w:t>
      </w:r>
      <w:r w:rsidR="00CB42C7" w:rsidRPr="004C20BC">
        <w:rPr>
          <w:rFonts w:ascii="Times New Roman" w:eastAsia="Times New Roman" w:hAnsi="Times New Roman" w:cs="Times New Roman"/>
          <w:sz w:val="24"/>
          <w:szCs w:val="24"/>
        </w:rPr>
        <w:t xml:space="preserve"> </w:t>
      </w:r>
      <w:r w:rsidR="007A646A" w:rsidRPr="004C20BC">
        <w:rPr>
          <w:rFonts w:ascii="Times New Roman" w:eastAsia="Times New Roman" w:hAnsi="Times New Roman" w:cs="Times New Roman"/>
          <w:sz w:val="24"/>
          <w:szCs w:val="24"/>
        </w:rPr>
        <w:t xml:space="preserve">study </w:t>
      </w:r>
      <w:r w:rsidR="00CB42C7" w:rsidRPr="004C20BC">
        <w:rPr>
          <w:rFonts w:ascii="Times New Roman" w:eastAsia="Times New Roman" w:hAnsi="Times New Roman" w:cs="Times New Roman"/>
          <w:sz w:val="24"/>
          <w:szCs w:val="24"/>
        </w:rPr>
        <w:t>is vital to mov</w:t>
      </w:r>
      <w:r w:rsidR="007E5A0B">
        <w:rPr>
          <w:rFonts w:ascii="Times New Roman" w:eastAsia="Times New Roman" w:hAnsi="Times New Roman" w:cs="Times New Roman"/>
          <w:sz w:val="24"/>
          <w:szCs w:val="24"/>
        </w:rPr>
        <w:t>ing</w:t>
      </w:r>
      <w:r w:rsidR="00CB42C7" w:rsidRPr="004C20BC">
        <w:rPr>
          <w:rFonts w:ascii="Times New Roman" w:eastAsia="Times New Roman" w:hAnsi="Times New Roman" w:cs="Times New Roman"/>
          <w:sz w:val="24"/>
          <w:szCs w:val="24"/>
        </w:rPr>
        <w:t xml:space="preserve"> </w:t>
      </w:r>
      <w:proofErr w:type="spellStart"/>
      <w:r w:rsidR="00CB42C7" w:rsidRPr="004C20BC">
        <w:rPr>
          <w:rFonts w:ascii="Times New Roman" w:eastAsia="Times New Roman" w:hAnsi="Times New Roman" w:cs="Times New Roman"/>
          <w:sz w:val="24"/>
          <w:szCs w:val="24"/>
        </w:rPr>
        <w:t>microbiom</w:t>
      </w:r>
      <w:r w:rsidR="007E5A0B">
        <w:rPr>
          <w:rFonts w:ascii="Times New Roman" w:eastAsia="Times New Roman" w:hAnsi="Times New Roman" w:cs="Times New Roman"/>
          <w:sz w:val="24"/>
          <w:szCs w:val="24"/>
        </w:rPr>
        <w:t>ics</w:t>
      </w:r>
      <w:proofErr w:type="spellEnd"/>
      <w:r w:rsidR="00CB42C7" w:rsidRPr="004C20BC">
        <w:rPr>
          <w:rFonts w:ascii="Times New Roman" w:eastAsia="Times New Roman" w:hAnsi="Times New Roman" w:cs="Times New Roman"/>
          <w:sz w:val="24"/>
          <w:szCs w:val="24"/>
        </w:rPr>
        <w:t xml:space="preserve"> research forward</w:t>
      </w:r>
      <w:r w:rsidR="00427100" w:rsidRPr="004C20BC">
        <w:rPr>
          <w:rFonts w:ascii="Times New Roman" w:eastAsia="Times New Roman" w:hAnsi="Times New Roman" w:cs="Times New Roman"/>
          <w:sz w:val="24"/>
          <w:szCs w:val="24"/>
        </w:rPr>
        <w:t>.</w:t>
      </w:r>
      <w:r w:rsidR="003F14B1">
        <w:rPr>
          <w:rFonts w:ascii="Times New Roman" w:eastAsia="Times New Roman" w:hAnsi="Times New Roman" w:cs="Times New Roman"/>
          <w:sz w:val="24"/>
          <w:szCs w:val="24"/>
        </w:rPr>
        <w:t xml:space="preserve"> </w:t>
      </w:r>
      <w:r w:rsidR="00D2172E" w:rsidRPr="004C20BC">
        <w:rPr>
          <w:rFonts w:ascii="Times New Roman" w:eastAsia="Times New Roman" w:hAnsi="Times New Roman" w:cs="Times New Roman"/>
          <w:sz w:val="24"/>
          <w:szCs w:val="24"/>
        </w:rPr>
        <w:t xml:space="preserve">Identifying important covariates, meticulously designing the study from research team to sample </w:t>
      </w:r>
      <w:r w:rsidR="00C93CCD" w:rsidRPr="004C20BC">
        <w:rPr>
          <w:rFonts w:ascii="Times New Roman" w:eastAsia="Times New Roman" w:hAnsi="Times New Roman" w:cs="Times New Roman"/>
          <w:sz w:val="24"/>
          <w:szCs w:val="24"/>
        </w:rPr>
        <w:t>storage</w:t>
      </w:r>
      <w:r w:rsidR="00C93CCD">
        <w:rPr>
          <w:rFonts w:ascii="Times New Roman" w:eastAsia="Times New Roman" w:hAnsi="Times New Roman" w:cs="Times New Roman"/>
          <w:sz w:val="24"/>
          <w:szCs w:val="24"/>
        </w:rPr>
        <w:t xml:space="preserve"> and</w:t>
      </w:r>
      <w:r w:rsidR="00D2172E" w:rsidRPr="004C20BC">
        <w:rPr>
          <w:rFonts w:ascii="Times New Roman" w:eastAsia="Times New Roman" w:hAnsi="Times New Roman" w:cs="Times New Roman"/>
          <w:sz w:val="24"/>
          <w:szCs w:val="24"/>
        </w:rPr>
        <w:t xml:space="preserve"> </w:t>
      </w:r>
      <w:r w:rsidR="00D7695A">
        <w:rPr>
          <w:rFonts w:ascii="Times New Roman" w:eastAsia="Times New Roman" w:hAnsi="Times New Roman" w:cs="Times New Roman"/>
          <w:sz w:val="24"/>
          <w:szCs w:val="24"/>
        </w:rPr>
        <w:t>selecting</w:t>
      </w:r>
      <w:r w:rsidR="00D7695A" w:rsidRPr="004C20BC">
        <w:rPr>
          <w:rFonts w:ascii="Times New Roman" w:eastAsia="Times New Roman" w:hAnsi="Times New Roman" w:cs="Times New Roman"/>
          <w:sz w:val="24"/>
          <w:szCs w:val="24"/>
        </w:rPr>
        <w:t xml:space="preserve"> </w:t>
      </w:r>
      <w:r w:rsidR="00D2172E" w:rsidRPr="004C20BC">
        <w:rPr>
          <w:rFonts w:ascii="Times New Roman" w:eastAsia="Times New Roman" w:hAnsi="Times New Roman" w:cs="Times New Roman"/>
          <w:sz w:val="24"/>
          <w:szCs w:val="24"/>
        </w:rPr>
        <w:t xml:space="preserve">the microbiome sequencing method that is most appropriate for the research question will </w:t>
      </w:r>
      <w:r w:rsidR="007A646A" w:rsidRPr="004C20BC">
        <w:rPr>
          <w:rFonts w:ascii="Times New Roman" w:eastAsia="Times New Roman" w:hAnsi="Times New Roman" w:cs="Times New Roman"/>
          <w:sz w:val="24"/>
          <w:szCs w:val="24"/>
        </w:rPr>
        <w:t>support a scientifically sound microbiome study.</w:t>
      </w:r>
      <w:r w:rsidR="003F14B1">
        <w:rPr>
          <w:rFonts w:ascii="Times New Roman" w:eastAsia="Times New Roman" w:hAnsi="Times New Roman" w:cs="Times New Roman"/>
          <w:sz w:val="24"/>
          <w:szCs w:val="24"/>
        </w:rPr>
        <w:t xml:space="preserve"> </w:t>
      </w:r>
    </w:p>
    <w:p w14:paraId="37F6A4AB" w14:textId="1F7EDD64" w:rsidR="002C570B" w:rsidRDefault="002C570B" w:rsidP="00967C61">
      <w:pPr>
        <w:spacing w:line="480" w:lineRule="auto"/>
        <w:ind w:firstLine="720"/>
        <w:rPr>
          <w:rFonts w:ascii="Times New Roman" w:eastAsia="Times New Roman" w:hAnsi="Times New Roman" w:cs="Times New Roman"/>
          <w:sz w:val="24"/>
          <w:szCs w:val="24"/>
        </w:rPr>
      </w:pPr>
    </w:p>
    <w:p w14:paraId="2EED209B" w14:textId="260C235D" w:rsidR="00743DB7" w:rsidRPr="004C20BC" w:rsidRDefault="00D714E6" w:rsidP="00967C61">
      <w:pPr>
        <w:spacing w:line="480" w:lineRule="auto"/>
        <w:ind w:firstLine="720"/>
        <w:rPr>
          <w:rFonts w:ascii="Times New Roman" w:eastAsia="Times New Roman" w:hAnsi="Times New Roman" w:cs="Times New Roman"/>
          <w:sz w:val="24"/>
          <w:szCs w:val="24"/>
        </w:rPr>
      </w:pPr>
      <w:r w:rsidRPr="00D714E6">
        <w:rPr>
          <w:rFonts w:ascii="Times New Roman" w:eastAsia="Times New Roman" w:hAnsi="Times New Roman" w:cs="Times New Roman"/>
          <w:sz w:val="24"/>
          <w:szCs w:val="24"/>
        </w:rPr>
        <w:t>Conflicts of interest: The Author(s) declare(s) that there is no conflict of interest.</w:t>
      </w:r>
      <w:r w:rsidR="003F14B1">
        <w:rPr>
          <w:rFonts w:ascii="Times New Roman" w:eastAsia="Times New Roman" w:hAnsi="Times New Roman" w:cs="Times New Roman"/>
          <w:sz w:val="24"/>
          <w:szCs w:val="24"/>
        </w:rPr>
        <w:t xml:space="preserve"> </w:t>
      </w:r>
    </w:p>
    <w:p w14:paraId="63211909" w14:textId="77777777" w:rsidR="00743DB7" w:rsidRDefault="00743DB7">
      <w:pPr>
        <w:rPr>
          <w:rFonts w:ascii="Times New Roman" w:hAnsi="Times New Roman" w:cs="Times New Roman"/>
          <w:sz w:val="24"/>
          <w:szCs w:val="24"/>
        </w:rPr>
      </w:pPr>
      <w:r>
        <w:rPr>
          <w:rFonts w:ascii="Times New Roman" w:hAnsi="Times New Roman" w:cs="Times New Roman"/>
          <w:sz w:val="24"/>
          <w:szCs w:val="24"/>
        </w:rPr>
        <w:br w:type="page"/>
      </w:r>
    </w:p>
    <w:p w14:paraId="647F1EB1" w14:textId="3B6526D0" w:rsidR="00E2381E" w:rsidRPr="00967C61" w:rsidRDefault="00E2381E" w:rsidP="00BF0230">
      <w:pPr>
        <w:spacing w:line="480" w:lineRule="auto"/>
        <w:jc w:val="center"/>
        <w:outlineLvl w:val="0"/>
        <w:rPr>
          <w:rFonts w:ascii="Times New Roman" w:eastAsia="Times New Roman" w:hAnsi="Times New Roman" w:cs="Times New Roman"/>
          <w:b/>
          <w:sz w:val="24"/>
          <w:szCs w:val="24"/>
        </w:rPr>
      </w:pPr>
      <w:r w:rsidRPr="00967C61">
        <w:rPr>
          <w:rFonts w:ascii="Times New Roman" w:eastAsia="Times New Roman" w:hAnsi="Times New Roman" w:cs="Times New Roman"/>
          <w:b/>
          <w:sz w:val="24"/>
          <w:szCs w:val="24"/>
        </w:rPr>
        <w:lastRenderedPageBreak/>
        <w:t xml:space="preserve">Figure </w:t>
      </w:r>
      <w:r>
        <w:rPr>
          <w:rFonts w:ascii="Times New Roman" w:eastAsia="Times New Roman" w:hAnsi="Times New Roman" w:cs="Times New Roman"/>
          <w:b/>
          <w:sz w:val="24"/>
          <w:szCs w:val="24"/>
        </w:rPr>
        <w:t>C</w:t>
      </w:r>
      <w:r w:rsidRPr="00967C61">
        <w:rPr>
          <w:rFonts w:ascii="Times New Roman" w:eastAsia="Times New Roman" w:hAnsi="Times New Roman" w:cs="Times New Roman"/>
          <w:b/>
          <w:sz w:val="24"/>
          <w:szCs w:val="24"/>
        </w:rPr>
        <w:t>aptions</w:t>
      </w:r>
    </w:p>
    <w:p w14:paraId="74CDF6A7" w14:textId="5BE13C2A" w:rsidR="00E2381E" w:rsidRPr="004C20BC" w:rsidRDefault="00E2381E" w:rsidP="002F765A">
      <w:pPr>
        <w:spacing w:line="480" w:lineRule="auto"/>
        <w:ind w:left="720" w:hanging="720"/>
        <w:outlineLvl w:val="0"/>
        <w:rPr>
          <w:rFonts w:ascii="Times New Roman" w:eastAsia="Times New Roman" w:hAnsi="Times New Roman" w:cs="Times New Roman"/>
          <w:sz w:val="24"/>
          <w:szCs w:val="24"/>
        </w:rPr>
      </w:pPr>
      <w:r w:rsidRPr="00DE1A41">
        <w:rPr>
          <w:rFonts w:ascii="Times New Roman" w:eastAsia="Times New Roman" w:hAnsi="Times New Roman" w:cs="Times New Roman"/>
          <w:b/>
          <w:sz w:val="24"/>
          <w:szCs w:val="24"/>
        </w:rPr>
        <w:t>Figure 1.</w:t>
      </w:r>
      <w:r w:rsidR="003F14B1">
        <w:rPr>
          <w:rFonts w:ascii="Times New Roman" w:eastAsia="Times New Roman" w:hAnsi="Times New Roman" w:cs="Times New Roman"/>
          <w:sz w:val="24"/>
          <w:szCs w:val="24"/>
        </w:rPr>
        <w:t xml:space="preserve"> </w:t>
      </w:r>
      <w:r w:rsidR="007C0D87">
        <w:rPr>
          <w:rFonts w:ascii="Times New Roman" w:eastAsia="Times New Roman" w:hAnsi="Times New Roman" w:cs="Times New Roman"/>
          <w:sz w:val="24"/>
          <w:szCs w:val="24"/>
        </w:rPr>
        <w:t>Some common f</w:t>
      </w:r>
      <w:r w:rsidRPr="00AB7CB4">
        <w:rPr>
          <w:rFonts w:ascii="Times New Roman" w:eastAsia="Times New Roman" w:hAnsi="Times New Roman" w:cs="Times New Roman"/>
          <w:sz w:val="24"/>
          <w:szCs w:val="24"/>
        </w:rPr>
        <w:t xml:space="preserve">actors </w:t>
      </w:r>
      <w:r w:rsidR="00137F78">
        <w:rPr>
          <w:rFonts w:ascii="Times New Roman" w:eastAsia="Times New Roman" w:hAnsi="Times New Roman" w:cs="Times New Roman"/>
          <w:sz w:val="24"/>
          <w:szCs w:val="24"/>
        </w:rPr>
        <w:t>a</w:t>
      </w:r>
      <w:r w:rsidRPr="00AB7CB4">
        <w:rPr>
          <w:rFonts w:ascii="Times New Roman" w:eastAsia="Times New Roman" w:hAnsi="Times New Roman" w:cs="Times New Roman"/>
          <w:sz w:val="24"/>
          <w:szCs w:val="24"/>
        </w:rPr>
        <w:t xml:space="preserve">ffecting the </w:t>
      </w:r>
      <w:r w:rsidR="00137F78">
        <w:rPr>
          <w:rFonts w:ascii="Times New Roman" w:eastAsia="Times New Roman" w:hAnsi="Times New Roman" w:cs="Times New Roman"/>
          <w:sz w:val="24"/>
          <w:szCs w:val="24"/>
        </w:rPr>
        <w:t>m</w:t>
      </w:r>
      <w:r w:rsidRPr="00AB7CB4">
        <w:rPr>
          <w:rFonts w:ascii="Times New Roman" w:eastAsia="Times New Roman" w:hAnsi="Times New Roman" w:cs="Times New Roman"/>
          <w:sz w:val="24"/>
          <w:szCs w:val="24"/>
        </w:rPr>
        <w:t xml:space="preserve">icrobiome: Humans and </w:t>
      </w:r>
      <w:r w:rsidR="00137F78">
        <w:rPr>
          <w:rFonts w:ascii="Times New Roman" w:eastAsia="Times New Roman" w:hAnsi="Times New Roman" w:cs="Times New Roman"/>
          <w:sz w:val="24"/>
          <w:szCs w:val="24"/>
        </w:rPr>
        <w:t>a</w:t>
      </w:r>
      <w:r w:rsidRPr="00AB7CB4">
        <w:rPr>
          <w:rFonts w:ascii="Times New Roman" w:eastAsia="Times New Roman" w:hAnsi="Times New Roman" w:cs="Times New Roman"/>
          <w:sz w:val="24"/>
          <w:szCs w:val="24"/>
        </w:rPr>
        <w:t>nimals.</w:t>
      </w:r>
    </w:p>
    <w:p w14:paraId="7F1DB0E3" w14:textId="52D90517" w:rsidR="00E2381E" w:rsidRPr="00967C61" w:rsidRDefault="00E2381E" w:rsidP="002F765A">
      <w:pPr>
        <w:spacing w:line="480" w:lineRule="auto"/>
        <w:ind w:left="720" w:hanging="720"/>
        <w:rPr>
          <w:rFonts w:ascii="Times New Roman" w:hAnsi="Times New Roman" w:cs="Times New Roman"/>
          <w:sz w:val="24"/>
          <w:szCs w:val="24"/>
        </w:rPr>
      </w:pPr>
      <w:r w:rsidRPr="002F765A">
        <w:rPr>
          <w:rFonts w:ascii="Times New Roman" w:eastAsia="Times New Roman" w:hAnsi="Times New Roman" w:cs="Times New Roman"/>
          <w:b/>
          <w:sz w:val="24"/>
          <w:szCs w:val="24"/>
          <w:shd w:val="clear" w:color="auto" w:fill="FFFFFF"/>
          <w:lang w:val="en-US"/>
        </w:rPr>
        <w:t>Figure 2.</w:t>
      </w:r>
      <w:r w:rsidR="003F14B1">
        <w:rPr>
          <w:rFonts w:ascii="Times New Roman" w:eastAsia="Times New Roman" w:hAnsi="Times New Roman" w:cs="Times New Roman"/>
          <w:sz w:val="24"/>
          <w:szCs w:val="24"/>
          <w:shd w:val="clear" w:color="auto" w:fill="FFFFFF"/>
          <w:lang w:val="en-US"/>
        </w:rPr>
        <w:t xml:space="preserve"> </w:t>
      </w:r>
      <w:r w:rsidRPr="00AB7CB4">
        <w:rPr>
          <w:rFonts w:ascii="Times New Roman" w:eastAsia="Times New Roman" w:hAnsi="Times New Roman" w:cs="Times New Roman"/>
          <w:bCs/>
          <w:sz w:val="24"/>
          <w:szCs w:val="24"/>
          <w:lang w:val="en-US"/>
        </w:rPr>
        <w:t xml:space="preserve">Targeting the </w:t>
      </w:r>
      <w:r w:rsidR="00137F78">
        <w:rPr>
          <w:rFonts w:ascii="Times New Roman" w:eastAsia="Times New Roman" w:hAnsi="Times New Roman" w:cs="Times New Roman"/>
          <w:bCs/>
          <w:sz w:val="24"/>
          <w:szCs w:val="24"/>
          <w:lang w:val="en-US"/>
        </w:rPr>
        <w:t>s</w:t>
      </w:r>
      <w:r w:rsidRPr="00AB7CB4">
        <w:rPr>
          <w:rFonts w:ascii="Times New Roman" w:eastAsia="Times New Roman" w:hAnsi="Times New Roman" w:cs="Times New Roman"/>
          <w:bCs/>
          <w:sz w:val="24"/>
          <w:szCs w:val="24"/>
          <w:lang w:val="en-US"/>
        </w:rPr>
        <w:t xml:space="preserve">mall </w:t>
      </w:r>
      <w:r w:rsidR="00137F78">
        <w:rPr>
          <w:rFonts w:ascii="Times New Roman" w:eastAsia="Times New Roman" w:hAnsi="Times New Roman" w:cs="Times New Roman"/>
          <w:bCs/>
          <w:sz w:val="24"/>
          <w:szCs w:val="24"/>
          <w:lang w:val="en-US"/>
        </w:rPr>
        <w:t>s</w:t>
      </w:r>
      <w:r w:rsidRPr="00AB7CB4">
        <w:rPr>
          <w:rFonts w:ascii="Times New Roman" w:eastAsia="Times New Roman" w:hAnsi="Times New Roman" w:cs="Times New Roman"/>
          <w:bCs/>
          <w:sz w:val="24"/>
          <w:szCs w:val="24"/>
          <w:lang w:val="en-US"/>
        </w:rPr>
        <w:t xml:space="preserve">ubunit (16S) ribosomal RNA </w:t>
      </w:r>
      <w:r w:rsidR="00E6347B">
        <w:rPr>
          <w:rFonts w:ascii="Times New Roman" w:eastAsia="Times New Roman" w:hAnsi="Times New Roman" w:cs="Times New Roman"/>
          <w:bCs/>
          <w:sz w:val="24"/>
          <w:szCs w:val="24"/>
          <w:lang w:val="en-US"/>
        </w:rPr>
        <w:t xml:space="preserve">(rRNA) </w:t>
      </w:r>
      <w:r w:rsidRPr="00AB7CB4">
        <w:rPr>
          <w:rFonts w:ascii="Times New Roman" w:eastAsia="Times New Roman" w:hAnsi="Times New Roman" w:cs="Times New Roman"/>
          <w:bCs/>
          <w:sz w:val="24"/>
          <w:szCs w:val="24"/>
          <w:lang w:val="en-US"/>
        </w:rPr>
        <w:t xml:space="preserve">gene in </w:t>
      </w:r>
      <w:r w:rsidR="00137F78">
        <w:rPr>
          <w:rFonts w:ascii="Times New Roman" w:eastAsia="Times New Roman" w:hAnsi="Times New Roman" w:cs="Times New Roman"/>
          <w:bCs/>
          <w:sz w:val="24"/>
          <w:szCs w:val="24"/>
          <w:lang w:val="en-US"/>
        </w:rPr>
        <w:t>m</w:t>
      </w:r>
      <w:r w:rsidRPr="00AB7CB4">
        <w:rPr>
          <w:rFonts w:ascii="Times New Roman" w:eastAsia="Times New Roman" w:hAnsi="Times New Roman" w:cs="Times New Roman"/>
          <w:bCs/>
          <w:sz w:val="24"/>
          <w:szCs w:val="24"/>
          <w:lang w:val="en-US"/>
        </w:rPr>
        <w:t xml:space="preserve">icrobial </w:t>
      </w:r>
      <w:r w:rsidR="00137F78">
        <w:rPr>
          <w:rFonts w:ascii="Times New Roman" w:eastAsia="Times New Roman" w:hAnsi="Times New Roman" w:cs="Times New Roman"/>
          <w:bCs/>
          <w:sz w:val="24"/>
          <w:szCs w:val="24"/>
          <w:lang w:val="en-US"/>
        </w:rPr>
        <w:t>c</w:t>
      </w:r>
      <w:r w:rsidRPr="00AB7CB4">
        <w:rPr>
          <w:rFonts w:ascii="Times New Roman" w:eastAsia="Times New Roman" w:hAnsi="Times New Roman" w:cs="Times New Roman"/>
          <w:bCs/>
          <w:sz w:val="24"/>
          <w:szCs w:val="24"/>
          <w:lang w:val="en-US"/>
        </w:rPr>
        <w:t xml:space="preserve">ommunities using </w:t>
      </w:r>
      <w:r w:rsidR="00137F78">
        <w:rPr>
          <w:rFonts w:ascii="Times New Roman" w:eastAsia="Times New Roman" w:hAnsi="Times New Roman" w:cs="Times New Roman"/>
          <w:bCs/>
          <w:sz w:val="24"/>
          <w:szCs w:val="24"/>
          <w:lang w:val="en-US"/>
        </w:rPr>
        <w:t>p</w:t>
      </w:r>
      <w:r w:rsidRPr="00AB7CB4">
        <w:rPr>
          <w:rFonts w:ascii="Times New Roman" w:eastAsia="Times New Roman" w:hAnsi="Times New Roman" w:cs="Times New Roman"/>
          <w:bCs/>
          <w:sz w:val="24"/>
          <w:szCs w:val="24"/>
          <w:lang w:val="en-US"/>
        </w:rPr>
        <w:t xml:space="preserve">olymerase </w:t>
      </w:r>
      <w:r w:rsidR="00137F78">
        <w:rPr>
          <w:rFonts w:ascii="Times New Roman" w:eastAsia="Times New Roman" w:hAnsi="Times New Roman" w:cs="Times New Roman"/>
          <w:bCs/>
          <w:sz w:val="24"/>
          <w:szCs w:val="24"/>
          <w:lang w:val="en-US"/>
        </w:rPr>
        <w:t>c</w:t>
      </w:r>
      <w:r w:rsidRPr="00AB7CB4">
        <w:rPr>
          <w:rFonts w:ascii="Times New Roman" w:eastAsia="Times New Roman" w:hAnsi="Times New Roman" w:cs="Times New Roman"/>
          <w:bCs/>
          <w:sz w:val="24"/>
          <w:szCs w:val="24"/>
          <w:lang w:val="en-US"/>
        </w:rPr>
        <w:t xml:space="preserve">hain </w:t>
      </w:r>
      <w:r w:rsidR="00137F78">
        <w:rPr>
          <w:rFonts w:ascii="Times New Roman" w:eastAsia="Times New Roman" w:hAnsi="Times New Roman" w:cs="Times New Roman"/>
          <w:bCs/>
          <w:sz w:val="24"/>
          <w:szCs w:val="24"/>
          <w:lang w:val="en-US"/>
        </w:rPr>
        <w:t>r</w:t>
      </w:r>
      <w:r w:rsidRPr="00AB7CB4">
        <w:rPr>
          <w:rFonts w:ascii="Times New Roman" w:eastAsia="Times New Roman" w:hAnsi="Times New Roman" w:cs="Times New Roman"/>
          <w:bCs/>
          <w:sz w:val="24"/>
          <w:szCs w:val="24"/>
          <w:lang w:val="en-US"/>
        </w:rPr>
        <w:t>eaction</w:t>
      </w:r>
      <w:r w:rsidR="00E6347B">
        <w:rPr>
          <w:rFonts w:ascii="Times New Roman" w:eastAsia="Times New Roman" w:hAnsi="Times New Roman" w:cs="Times New Roman"/>
          <w:bCs/>
          <w:sz w:val="24"/>
          <w:szCs w:val="24"/>
          <w:lang w:val="en-US"/>
        </w:rPr>
        <w:t xml:space="preserve"> (PCR)</w:t>
      </w:r>
      <w:r w:rsidRPr="00AB7CB4">
        <w:rPr>
          <w:rFonts w:ascii="Times New Roman" w:eastAsia="Times New Roman" w:hAnsi="Times New Roman" w:cs="Times New Roman"/>
          <w:bCs/>
          <w:sz w:val="24"/>
          <w:szCs w:val="24"/>
          <w:lang w:val="en-US"/>
        </w:rPr>
        <w:t xml:space="preserve">. A) Schematic of the conserved and variable regions of the 16S rRNA gene and </w:t>
      </w:r>
      <w:r w:rsidR="00E6347B">
        <w:rPr>
          <w:rFonts w:ascii="Times New Roman" w:eastAsia="Times New Roman" w:hAnsi="Times New Roman" w:cs="Times New Roman"/>
          <w:bCs/>
          <w:sz w:val="24"/>
          <w:szCs w:val="24"/>
          <w:lang w:val="en-US"/>
        </w:rPr>
        <w:t>PCR</w:t>
      </w:r>
      <w:r w:rsidRPr="00AB7CB4">
        <w:rPr>
          <w:rFonts w:ascii="Times New Roman" w:eastAsia="Times New Roman" w:hAnsi="Times New Roman" w:cs="Times New Roman"/>
          <w:bCs/>
          <w:sz w:val="24"/>
          <w:szCs w:val="24"/>
          <w:lang w:val="en-US"/>
        </w:rPr>
        <w:t xml:space="preserve"> </w:t>
      </w:r>
      <w:r w:rsidR="00137F78">
        <w:rPr>
          <w:rFonts w:ascii="Times New Roman" w:eastAsia="Times New Roman" w:hAnsi="Times New Roman" w:cs="Times New Roman"/>
          <w:bCs/>
          <w:sz w:val="24"/>
          <w:szCs w:val="24"/>
          <w:lang w:val="en-US"/>
        </w:rPr>
        <w:t>p</w:t>
      </w:r>
      <w:r w:rsidRPr="00AB7CB4">
        <w:rPr>
          <w:rFonts w:ascii="Times New Roman" w:eastAsia="Times New Roman" w:hAnsi="Times New Roman" w:cs="Times New Roman"/>
          <w:bCs/>
          <w:sz w:val="24"/>
          <w:szCs w:val="24"/>
          <w:lang w:val="en-US"/>
        </w:rPr>
        <w:t>rimers.</w:t>
      </w:r>
      <w:r w:rsidR="003F14B1">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The 16S rRNA gene has nine variable regions that are dispersed throughout the conserved regions of the gene</w:t>
      </w:r>
      <w:r w:rsidRPr="004C20BC">
        <w:rPr>
          <w:rFonts w:ascii="Times New Roman" w:eastAsia="Times New Roman" w:hAnsi="Times New Roman" w:cs="Times New Roman"/>
          <w:sz w:val="24"/>
          <w:szCs w:val="24"/>
          <w:lang w:val="en-US"/>
        </w:rPr>
        <w:t>.</w:t>
      </w:r>
      <w:r w:rsidR="003F14B1">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Primers used for sequencing of broad categories of microorganisms (</w:t>
      </w:r>
      <w:r w:rsidRPr="00AB7CB4">
        <w:rPr>
          <w:rFonts w:ascii="Times New Roman" w:eastAsia="Times New Roman" w:hAnsi="Times New Roman" w:cs="Times New Roman"/>
          <w:iCs/>
          <w:sz w:val="24"/>
          <w:szCs w:val="24"/>
          <w:lang w:val="en-US"/>
        </w:rPr>
        <w:t>e.g.</w:t>
      </w:r>
      <w:r w:rsidRPr="00AB7CB4">
        <w:rPr>
          <w:rFonts w:ascii="Times New Roman" w:eastAsia="Times New Roman" w:hAnsi="Times New Roman" w:cs="Times New Roman"/>
          <w:sz w:val="24"/>
          <w:szCs w:val="24"/>
          <w:lang w:val="en-US"/>
        </w:rPr>
        <w:t xml:space="preserve">, all </w:t>
      </w:r>
      <w:r w:rsidR="00E6347B">
        <w:rPr>
          <w:rFonts w:ascii="Times New Roman" w:eastAsia="Times New Roman" w:hAnsi="Times New Roman" w:cs="Times New Roman"/>
          <w:sz w:val="24"/>
          <w:szCs w:val="24"/>
          <w:lang w:val="en-US"/>
        </w:rPr>
        <w:t>b</w:t>
      </w:r>
      <w:r w:rsidRPr="00AB7CB4">
        <w:rPr>
          <w:rFonts w:ascii="Times New Roman" w:eastAsia="Times New Roman" w:hAnsi="Times New Roman" w:cs="Times New Roman"/>
          <w:sz w:val="24"/>
          <w:szCs w:val="24"/>
          <w:lang w:val="en-US"/>
        </w:rPr>
        <w:t>acteria) are designed in the conserved (orange) region, and the generated amplicons span one or more variable (white) regions</w:t>
      </w:r>
      <w:r w:rsidRPr="004C20BC">
        <w:rPr>
          <w:rFonts w:ascii="Times New Roman" w:eastAsia="Times New Roman" w:hAnsi="Times New Roman" w:cs="Times New Roman"/>
          <w:sz w:val="24"/>
          <w:szCs w:val="24"/>
          <w:lang w:val="en-US"/>
        </w:rPr>
        <w:t>.</w:t>
      </w:r>
      <w:r w:rsidR="003F14B1">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The box indicates the approximate region targeted by the commonly used primers 341F and 806R</w:t>
      </w:r>
      <w:r w:rsidRPr="004C20BC">
        <w:rPr>
          <w:rFonts w:ascii="Times New Roman" w:eastAsia="Times New Roman" w:hAnsi="Times New Roman" w:cs="Times New Roman"/>
          <w:sz w:val="24"/>
          <w:szCs w:val="24"/>
          <w:lang w:val="en-US"/>
        </w:rPr>
        <w:t>.</w:t>
      </w:r>
      <w:r w:rsidR="003F14B1">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 xml:space="preserve">B) A full-length sequence (1541 bases) of the </w:t>
      </w:r>
      <w:r w:rsidR="003C6C04">
        <w:rPr>
          <w:rFonts w:ascii="Times New Roman" w:eastAsia="Times New Roman" w:hAnsi="Times New Roman" w:cs="Times New Roman"/>
          <w:sz w:val="24"/>
          <w:szCs w:val="24"/>
          <w:lang w:val="en-US"/>
        </w:rPr>
        <w:t>"</w:t>
      </w:r>
      <w:r w:rsidRPr="00AB7CB4">
        <w:rPr>
          <w:rFonts w:ascii="Times New Roman" w:eastAsia="Times New Roman" w:hAnsi="Times New Roman" w:cs="Times New Roman"/>
          <w:sz w:val="24"/>
          <w:szCs w:val="24"/>
          <w:lang w:val="en-US"/>
        </w:rPr>
        <w:t>top</w:t>
      </w:r>
      <w:r w:rsidR="003C6C04">
        <w:rPr>
          <w:rFonts w:ascii="Times New Roman" w:eastAsia="Times New Roman" w:hAnsi="Times New Roman" w:cs="Times New Roman"/>
          <w:sz w:val="24"/>
          <w:szCs w:val="24"/>
          <w:lang w:val="en-US"/>
        </w:rPr>
        <w:t>"</w:t>
      </w:r>
      <w:r w:rsidRPr="00AB7CB4">
        <w:rPr>
          <w:rFonts w:ascii="Times New Roman" w:eastAsia="Times New Roman" w:hAnsi="Times New Roman" w:cs="Times New Roman"/>
          <w:sz w:val="24"/>
          <w:szCs w:val="24"/>
          <w:lang w:val="en-US"/>
        </w:rPr>
        <w:t xml:space="preserve"> strand of a</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16S rRNA gene of</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i/>
          <w:iCs/>
          <w:sz w:val="24"/>
          <w:szCs w:val="24"/>
          <w:lang w:val="en-US"/>
        </w:rPr>
        <w:t>Escherichia coli</w:t>
      </w:r>
      <w:r>
        <w:rPr>
          <w:rFonts w:ascii="Times New Roman" w:eastAsia="Times New Roman" w:hAnsi="Times New Roman" w:cs="Times New Roman"/>
          <w:i/>
          <w:iCs/>
          <w:sz w:val="24"/>
          <w:szCs w:val="24"/>
          <w:lang w:val="en-US"/>
        </w:rPr>
        <w:t xml:space="preserve"> </w:t>
      </w:r>
      <w:r w:rsidRPr="00AB7CB4">
        <w:rPr>
          <w:rFonts w:ascii="Times New Roman" w:eastAsia="Times New Roman" w:hAnsi="Times New Roman" w:cs="Times New Roman"/>
          <w:sz w:val="24"/>
          <w:szCs w:val="24"/>
          <w:lang w:val="en-US"/>
        </w:rPr>
        <w:t>(GenBank accession number J01859)</w:t>
      </w:r>
      <w:r w:rsidRPr="004C20BC">
        <w:rPr>
          <w:rFonts w:ascii="Times New Roman" w:eastAsia="Times New Roman" w:hAnsi="Times New Roman" w:cs="Times New Roman"/>
          <w:sz w:val="24"/>
          <w:szCs w:val="24"/>
          <w:lang w:val="en-US"/>
        </w:rPr>
        <w:t>.</w:t>
      </w:r>
      <w:r w:rsidR="003F14B1">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The forward</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primer location is</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highlighted in pink and the</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reverse primer location is highlighted in green</w:t>
      </w:r>
      <w:r w:rsidRPr="004C20BC">
        <w:rPr>
          <w:rFonts w:ascii="Times New Roman" w:eastAsia="Times New Roman" w:hAnsi="Times New Roman" w:cs="Times New Roman"/>
          <w:sz w:val="24"/>
          <w:szCs w:val="24"/>
          <w:lang w:val="en-US"/>
        </w:rPr>
        <w:t>.</w:t>
      </w:r>
      <w:r w:rsidR="003F14B1">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Note that the length of the 16S rRNA gene can vary substantially between different taxa, but conserved regions generally remain similar, even among distantly related taxa</w:t>
      </w:r>
      <w:r w:rsidRPr="004C20BC">
        <w:rPr>
          <w:rFonts w:ascii="Times New Roman" w:eastAsia="Times New Roman" w:hAnsi="Times New Roman" w:cs="Times New Roman"/>
          <w:sz w:val="24"/>
          <w:szCs w:val="24"/>
          <w:lang w:val="en-US"/>
        </w:rPr>
        <w:t>.</w:t>
      </w:r>
      <w:r w:rsidR="003F14B1">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 xml:space="preserve">The primer sites are targeted by the </w:t>
      </w:r>
      <w:r w:rsidR="003C6C04">
        <w:rPr>
          <w:rFonts w:ascii="Times New Roman" w:eastAsia="Times New Roman" w:hAnsi="Times New Roman" w:cs="Times New Roman"/>
          <w:sz w:val="24"/>
          <w:szCs w:val="24"/>
          <w:lang w:val="en-US"/>
        </w:rPr>
        <w:t>"forward"</w:t>
      </w:r>
      <w:r w:rsidRPr="00AB7CB4">
        <w:rPr>
          <w:rFonts w:ascii="Times New Roman" w:eastAsia="Times New Roman" w:hAnsi="Times New Roman" w:cs="Times New Roman"/>
          <w:sz w:val="24"/>
          <w:szCs w:val="24"/>
          <w:lang w:val="en-US"/>
        </w:rPr>
        <w:t xml:space="preserve"> primer 341F (CCTACGGGAGGCAGCAG)</w:t>
      </w:r>
      <w:r>
        <w:rPr>
          <w:rFonts w:ascii="Times New Roman" w:eastAsia="Times New Roman" w:hAnsi="Times New Roman" w:cs="Times New Roman"/>
          <w:sz w:val="24"/>
          <w:szCs w:val="24"/>
          <w:lang w:val="en-US"/>
        </w:rPr>
        <w:t xml:space="preserve"> </w:t>
      </w:r>
      <w:r w:rsidR="003C6C04">
        <w:rPr>
          <w:rFonts w:ascii="Times New Roman" w:eastAsia="Times New Roman" w:hAnsi="Times New Roman" w:cs="Times New Roman"/>
          <w:sz w:val="24"/>
          <w:szCs w:val="24"/>
          <w:lang w:val="en-US"/>
        </w:rPr>
        <w:t>and the "reverse"</w:t>
      </w:r>
      <w:r w:rsidRPr="00AB7CB4">
        <w:rPr>
          <w:rFonts w:ascii="Times New Roman" w:eastAsia="Times New Roman" w:hAnsi="Times New Roman" w:cs="Times New Roman"/>
          <w:sz w:val="24"/>
          <w:szCs w:val="24"/>
          <w:lang w:val="en-US"/>
        </w:rPr>
        <w:t xml:space="preserve"> primer 806R (GGACTACNVGGGTWTCTAAT; where N</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 any base, V</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A</w:t>
      </w:r>
      <w:r w:rsidRPr="004C20BC">
        <w:rPr>
          <w:rFonts w:ascii="Times New Roman" w:eastAsia="Times New Roman" w:hAnsi="Times New Roman" w:cs="Times New Roman"/>
          <w:sz w:val="24"/>
          <w:szCs w:val="24"/>
          <w:lang w:val="en-US"/>
        </w:rPr>
        <w:t>, C</w:t>
      </w:r>
      <w:r w:rsidRPr="00AB7CB4">
        <w:rPr>
          <w:rFonts w:ascii="Times New Roman" w:eastAsia="Times New Roman" w:hAnsi="Times New Roman" w:cs="Times New Roman"/>
          <w:sz w:val="24"/>
          <w:szCs w:val="24"/>
          <w:lang w:val="en-US"/>
        </w:rPr>
        <w:t xml:space="preserve"> or G, and W</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 A or T)</w:t>
      </w:r>
      <w:r w:rsidRPr="004C20BC">
        <w:rPr>
          <w:rFonts w:ascii="Times New Roman" w:eastAsia="Times New Roman" w:hAnsi="Times New Roman" w:cs="Times New Roman"/>
          <w:sz w:val="24"/>
          <w:szCs w:val="24"/>
          <w:lang w:val="en-US"/>
        </w:rPr>
        <w:t>.</w:t>
      </w:r>
      <w:r w:rsidR="003F14B1">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Note that only a single variant of the degenerate 806R primer matches the</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i/>
          <w:iCs/>
          <w:sz w:val="24"/>
          <w:szCs w:val="24"/>
          <w:lang w:val="en-US"/>
        </w:rPr>
        <w:t>E. coli</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16S rRNA gene and is shown here</w:t>
      </w:r>
      <w:r w:rsidRPr="004C20BC">
        <w:rPr>
          <w:rFonts w:ascii="Times New Roman" w:eastAsia="Times New Roman" w:hAnsi="Times New Roman" w:cs="Times New Roman"/>
          <w:sz w:val="24"/>
          <w:szCs w:val="24"/>
          <w:lang w:val="en-US"/>
        </w:rPr>
        <w:t>.</w:t>
      </w:r>
      <w:r w:rsidR="003F14B1">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 xml:space="preserve">C) A visual of the annealing of 341F (targeting the pink sequence on the </w:t>
      </w:r>
      <w:r w:rsidR="003C6C04">
        <w:rPr>
          <w:rFonts w:ascii="Times New Roman" w:eastAsia="Times New Roman" w:hAnsi="Times New Roman" w:cs="Times New Roman"/>
          <w:sz w:val="24"/>
          <w:szCs w:val="24"/>
          <w:lang w:val="en-US"/>
        </w:rPr>
        <w:t>"bottom</w:t>
      </w:r>
      <w:r w:rsidR="004D5C26">
        <w:rPr>
          <w:rFonts w:ascii="Times New Roman" w:eastAsia="Times New Roman" w:hAnsi="Times New Roman" w:cs="Times New Roman"/>
          <w:sz w:val="24"/>
          <w:szCs w:val="24"/>
          <w:lang w:val="en-US"/>
        </w:rPr>
        <w:t>"</w:t>
      </w:r>
      <w:r w:rsidRPr="00AB7CB4">
        <w:rPr>
          <w:rFonts w:ascii="Times New Roman" w:eastAsia="Times New Roman" w:hAnsi="Times New Roman" w:cs="Times New Roman"/>
          <w:sz w:val="24"/>
          <w:szCs w:val="24"/>
          <w:lang w:val="en-US"/>
        </w:rPr>
        <w:t xml:space="preserve"> strand) and 806R (targe</w:t>
      </w:r>
      <w:r w:rsidR="003C6C04">
        <w:rPr>
          <w:rFonts w:ascii="Times New Roman" w:eastAsia="Times New Roman" w:hAnsi="Times New Roman" w:cs="Times New Roman"/>
          <w:sz w:val="24"/>
          <w:szCs w:val="24"/>
          <w:lang w:val="en-US"/>
        </w:rPr>
        <w:t>ting the green sequence on the "top"</w:t>
      </w:r>
      <w:r w:rsidRPr="00AB7CB4">
        <w:rPr>
          <w:rFonts w:ascii="Times New Roman" w:eastAsia="Times New Roman" w:hAnsi="Times New Roman" w:cs="Times New Roman"/>
          <w:sz w:val="24"/>
          <w:szCs w:val="24"/>
          <w:lang w:val="en-US"/>
        </w:rPr>
        <w:t xml:space="preserve"> strand) primers to the</w:t>
      </w:r>
      <w:r>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i/>
          <w:iCs/>
          <w:sz w:val="24"/>
          <w:szCs w:val="24"/>
          <w:lang w:val="en-US"/>
        </w:rPr>
        <w:t>E. coli</w:t>
      </w:r>
      <w:r>
        <w:rPr>
          <w:rFonts w:ascii="Times New Roman" w:eastAsia="Times New Roman" w:hAnsi="Times New Roman" w:cs="Times New Roman"/>
          <w:sz w:val="24"/>
          <w:szCs w:val="24"/>
          <w:lang w:val="en-US"/>
        </w:rPr>
        <w:t xml:space="preserve"> </w:t>
      </w:r>
      <w:r w:rsidR="00D7695A">
        <w:rPr>
          <w:rFonts w:ascii="Times New Roman" w:eastAsia="Times New Roman" w:hAnsi="Times New Roman" w:cs="Times New Roman"/>
          <w:sz w:val="24"/>
          <w:szCs w:val="24"/>
          <w:lang w:val="en-US"/>
        </w:rPr>
        <w:t xml:space="preserve">16S rRNA gene </w:t>
      </w:r>
      <w:r w:rsidR="00D7695A" w:rsidRPr="00AB7CB4">
        <w:rPr>
          <w:rFonts w:ascii="Times New Roman" w:eastAsia="Times New Roman" w:hAnsi="Times New Roman" w:cs="Times New Roman"/>
          <w:sz w:val="24"/>
          <w:szCs w:val="24"/>
          <w:lang w:val="en-US"/>
        </w:rPr>
        <w:t>sequenc</w:t>
      </w:r>
      <w:r w:rsidR="00D7695A">
        <w:rPr>
          <w:rFonts w:ascii="Times New Roman" w:eastAsia="Times New Roman" w:hAnsi="Times New Roman" w:cs="Times New Roman"/>
          <w:sz w:val="24"/>
          <w:szCs w:val="24"/>
          <w:lang w:val="en-US"/>
        </w:rPr>
        <w:t>e</w:t>
      </w:r>
      <w:r w:rsidRPr="004C20BC">
        <w:rPr>
          <w:rFonts w:ascii="Times New Roman" w:eastAsia="Times New Roman" w:hAnsi="Times New Roman" w:cs="Times New Roman"/>
          <w:sz w:val="24"/>
          <w:szCs w:val="24"/>
          <w:lang w:val="en-US"/>
        </w:rPr>
        <w:t>.</w:t>
      </w:r>
      <w:r w:rsidR="003F14B1">
        <w:rPr>
          <w:rFonts w:ascii="Times New Roman" w:eastAsia="Times New Roman" w:hAnsi="Times New Roman" w:cs="Times New Roman"/>
          <w:sz w:val="24"/>
          <w:szCs w:val="24"/>
          <w:lang w:val="en-US"/>
        </w:rPr>
        <w:t xml:space="preserve"> </w:t>
      </w:r>
      <w:r w:rsidRPr="00AB7CB4">
        <w:rPr>
          <w:rFonts w:ascii="Times New Roman" w:eastAsia="Times New Roman" w:hAnsi="Times New Roman" w:cs="Times New Roman"/>
          <w:sz w:val="24"/>
          <w:szCs w:val="24"/>
          <w:lang w:val="en-US"/>
        </w:rPr>
        <w:t xml:space="preserve">These primers can also anneal to most </w:t>
      </w:r>
      <w:r w:rsidR="003C6C04">
        <w:rPr>
          <w:rFonts w:ascii="Times New Roman" w:eastAsia="Times New Roman" w:hAnsi="Times New Roman" w:cs="Times New Roman"/>
          <w:sz w:val="24"/>
          <w:szCs w:val="24"/>
          <w:lang w:val="en-US"/>
        </w:rPr>
        <w:t>b</w:t>
      </w:r>
      <w:r w:rsidRPr="00AB7CB4">
        <w:rPr>
          <w:rFonts w:ascii="Times New Roman" w:eastAsia="Times New Roman" w:hAnsi="Times New Roman" w:cs="Times New Roman"/>
          <w:sz w:val="24"/>
          <w:szCs w:val="24"/>
          <w:lang w:val="en-US"/>
        </w:rPr>
        <w:t xml:space="preserve">acterial 16S rRNA genes and generate PCR amplicons containing the V3 and V4 </w:t>
      </w:r>
      <w:r w:rsidRPr="00AB7CB4">
        <w:rPr>
          <w:rFonts w:ascii="Times New Roman" w:eastAsia="Times New Roman" w:hAnsi="Times New Roman" w:cs="Times New Roman"/>
          <w:sz w:val="24"/>
          <w:szCs w:val="24"/>
          <w:lang w:val="en-US"/>
        </w:rPr>
        <w:lastRenderedPageBreak/>
        <w:t>variable regions that are used for annotation purposes.</w:t>
      </w:r>
      <w:r w:rsidR="003F14B1">
        <w:rPr>
          <w:rFonts w:ascii="Times New Roman" w:eastAsia="Times New Roman" w:hAnsi="Times New Roman" w:cs="Times New Roman"/>
          <w:sz w:val="24"/>
          <w:szCs w:val="24"/>
          <w:lang w:val="en-US"/>
        </w:rPr>
        <w:t xml:space="preserve"> </w:t>
      </w:r>
      <w:r w:rsidR="001533A9">
        <w:rPr>
          <w:rFonts w:ascii="Times New Roman" w:eastAsia="Times New Roman" w:hAnsi="Times New Roman" w:cs="Times New Roman"/>
          <w:sz w:val="24"/>
          <w:szCs w:val="24"/>
          <w:lang w:val="en-US"/>
        </w:rPr>
        <w:t>(</w:t>
      </w:r>
      <w:r w:rsidRPr="00AB7CB4">
        <w:rPr>
          <w:rFonts w:ascii="Times New Roman" w:eastAsia="Times New Roman" w:hAnsi="Times New Roman" w:cs="Times New Roman"/>
          <w:sz w:val="24"/>
          <w:szCs w:val="24"/>
        </w:rPr>
        <w:t xml:space="preserve">Figure modified from </w:t>
      </w:r>
      <w:r w:rsidRPr="00AB7CB4">
        <w:rPr>
          <w:rFonts w:ascii="Times New Roman" w:eastAsia="Times New Roman" w:hAnsi="Times New Roman" w:cs="Times New Roman"/>
          <w:noProof/>
          <w:sz w:val="24"/>
          <w:szCs w:val="24"/>
        </w:rPr>
        <w:t>Del Chierico et al., 2015</w:t>
      </w:r>
      <w:r w:rsidR="0066584B">
        <w:rPr>
          <w:rFonts w:ascii="Times New Roman" w:eastAsia="Times New Roman" w:hAnsi="Times New Roman" w:cs="Times New Roman"/>
          <w:noProof/>
          <w:sz w:val="24"/>
          <w:szCs w:val="24"/>
        </w:rPr>
        <w:t>.</w:t>
      </w:r>
      <w:r w:rsidRPr="00AB7CB4">
        <w:rPr>
          <w:rFonts w:ascii="Times New Roman" w:eastAsia="Times New Roman" w:hAnsi="Times New Roman" w:cs="Times New Roman"/>
          <w:noProof/>
          <w:sz w:val="24"/>
          <w:szCs w:val="24"/>
        </w:rPr>
        <w:t>)</w:t>
      </w:r>
      <w:r w:rsidR="003F14B1">
        <w:rPr>
          <w:rFonts w:ascii="Times New Roman" w:hAnsi="Times New Roman" w:cs="Times New Roman"/>
          <w:sz w:val="24"/>
          <w:szCs w:val="24"/>
        </w:rPr>
        <w:t xml:space="preserve"> </w:t>
      </w:r>
    </w:p>
    <w:p w14:paraId="3BC82FA4" w14:textId="01E3EC3B" w:rsidR="003B6FF4" w:rsidRDefault="003B6FF4" w:rsidP="002F765A">
      <w:pPr>
        <w:spacing w:line="480" w:lineRule="auto"/>
        <w:ind w:left="720" w:hanging="720"/>
        <w:rPr>
          <w:rFonts w:ascii="Times New Roman" w:eastAsia="Times New Roman" w:hAnsi="Times New Roman" w:cs="Times New Roman"/>
          <w:sz w:val="24"/>
          <w:szCs w:val="24"/>
        </w:rPr>
      </w:pPr>
    </w:p>
    <w:p w14:paraId="1FEA535A" w14:textId="7B8C54D9" w:rsidR="001D7D94" w:rsidRDefault="001D7D94" w:rsidP="002F765A">
      <w:pPr>
        <w:spacing w:line="480" w:lineRule="auto"/>
        <w:ind w:left="720" w:hanging="720"/>
        <w:rPr>
          <w:rFonts w:ascii="Times New Roman" w:eastAsia="Times New Roman" w:hAnsi="Times New Roman" w:cs="Times New Roman"/>
          <w:sz w:val="24"/>
          <w:szCs w:val="24"/>
        </w:rPr>
      </w:pPr>
    </w:p>
    <w:p w14:paraId="519FFFAB" w14:textId="02202043" w:rsidR="001D7D94" w:rsidRDefault="001D7D94" w:rsidP="002F765A">
      <w:pPr>
        <w:spacing w:line="480" w:lineRule="auto"/>
        <w:ind w:left="720" w:hanging="720"/>
        <w:rPr>
          <w:rFonts w:ascii="Times New Roman" w:eastAsia="Times New Roman" w:hAnsi="Times New Roman" w:cs="Times New Roman"/>
          <w:sz w:val="24"/>
          <w:szCs w:val="24"/>
        </w:rPr>
      </w:pPr>
    </w:p>
    <w:p w14:paraId="2582555A" w14:textId="14111B37" w:rsidR="001D7D94" w:rsidRDefault="001D7D94" w:rsidP="002F765A">
      <w:pPr>
        <w:spacing w:line="480" w:lineRule="auto"/>
        <w:ind w:left="720" w:hanging="720"/>
        <w:rPr>
          <w:rFonts w:ascii="Times New Roman" w:eastAsia="Times New Roman" w:hAnsi="Times New Roman" w:cs="Times New Roman"/>
          <w:sz w:val="24"/>
          <w:szCs w:val="24"/>
        </w:rPr>
      </w:pPr>
    </w:p>
    <w:p w14:paraId="6F4DDC54" w14:textId="190A6A12" w:rsidR="001D7D94" w:rsidRDefault="001D7D94" w:rsidP="002F765A">
      <w:pPr>
        <w:spacing w:line="480" w:lineRule="auto"/>
        <w:ind w:left="720" w:hanging="720"/>
        <w:rPr>
          <w:rFonts w:ascii="Times New Roman" w:eastAsia="Times New Roman" w:hAnsi="Times New Roman" w:cs="Times New Roman"/>
          <w:sz w:val="24"/>
          <w:szCs w:val="24"/>
        </w:rPr>
      </w:pPr>
    </w:p>
    <w:p w14:paraId="3F93E937" w14:textId="2866B10F" w:rsidR="001D7D94" w:rsidRDefault="001D7D94" w:rsidP="002F765A">
      <w:pPr>
        <w:spacing w:line="480" w:lineRule="auto"/>
        <w:ind w:left="720" w:hanging="720"/>
        <w:rPr>
          <w:rFonts w:ascii="Times New Roman" w:eastAsia="Times New Roman" w:hAnsi="Times New Roman" w:cs="Times New Roman"/>
          <w:sz w:val="24"/>
          <w:szCs w:val="24"/>
        </w:rPr>
      </w:pPr>
    </w:p>
    <w:p w14:paraId="06A34A45" w14:textId="4164E6EC" w:rsidR="001D7D94" w:rsidRDefault="001D7D94" w:rsidP="002F765A">
      <w:pPr>
        <w:spacing w:line="480" w:lineRule="auto"/>
        <w:ind w:left="720" w:hanging="720"/>
        <w:rPr>
          <w:rFonts w:ascii="Times New Roman" w:eastAsia="Times New Roman" w:hAnsi="Times New Roman" w:cs="Times New Roman"/>
          <w:sz w:val="24"/>
          <w:szCs w:val="24"/>
        </w:rPr>
      </w:pPr>
    </w:p>
    <w:p w14:paraId="56FBCBDE" w14:textId="14C8DF37" w:rsidR="001D7D94" w:rsidRDefault="001D7D94" w:rsidP="002F765A">
      <w:pPr>
        <w:spacing w:line="480" w:lineRule="auto"/>
        <w:ind w:left="720" w:hanging="720"/>
        <w:rPr>
          <w:rFonts w:ascii="Times New Roman" w:eastAsia="Times New Roman" w:hAnsi="Times New Roman" w:cs="Times New Roman"/>
          <w:sz w:val="24"/>
          <w:szCs w:val="24"/>
        </w:rPr>
      </w:pPr>
    </w:p>
    <w:p w14:paraId="7927F31B" w14:textId="0CA64082" w:rsidR="001D7D94" w:rsidRDefault="001D7D94" w:rsidP="002F765A">
      <w:pPr>
        <w:spacing w:line="480" w:lineRule="auto"/>
        <w:ind w:left="720" w:hanging="720"/>
        <w:rPr>
          <w:rFonts w:ascii="Times New Roman" w:eastAsia="Times New Roman" w:hAnsi="Times New Roman" w:cs="Times New Roman"/>
          <w:sz w:val="24"/>
          <w:szCs w:val="24"/>
        </w:rPr>
      </w:pPr>
    </w:p>
    <w:p w14:paraId="61056BB4" w14:textId="2801C63D" w:rsidR="001D7D94" w:rsidRDefault="001D7D94" w:rsidP="002F765A">
      <w:pPr>
        <w:spacing w:line="480" w:lineRule="auto"/>
        <w:ind w:left="720" w:hanging="720"/>
        <w:rPr>
          <w:rFonts w:ascii="Times New Roman" w:eastAsia="Times New Roman" w:hAnsi="Times New Roman" w:cs="Times New Roman"/>
          <w:sz w:val="24"/>
          <w:szCs w:val="24"/>
        </w:rPr>
      </w:pPr>
    </w:p>
    <w:p w14:paraId="671ED093" w14:textId="24347D02" w:rsidR="001D7D94" w:rsidRDefault="001D7D94" w:rsidP="002F765A">
      <w:pPr>
        <w:spacing w:line="480" w:lineRule="auto"/>
        <w:ind w:left="720" w:hanging="720"/>
        <w:rPr>
          <w:rFonts w:ascii="Times New Roman" w:eastAsia="Times New Roman" w:hAnsi="Times New Roman" w:cs="Times New Roman"/>
          <w:sz w:val="24"/>
          <w:szCs w:val="24"/>
        </w:rPr>
      </w:pPr>
    </w:p>
    <w:p w14:paraId="0CAC74E5" w14:textId="4F0D2D63" w:rsidR="001D7D94" w:rsidRDefault="001D7D94" w:rsidP="002F765A">
      <w:pPr>
        <w:spacing w:line="480" w:lineRule="auto"/>
        <w:ind w:left="720" w:hanging="720"/>
        <w:rPr>
          <w:rFonts w:ascii="Times New Roman" w:eastAsia="Times New Roman" w:hAnsi="Times New Roman" w:cs="Times New Roman"/>
          <w:sz w:val="24"/>
          <w:szCs w:val="24"/>
        </w:rPr>
      </w:pPr>
    </w:p>
    <w:p w14:paraId="479311A5" w14:textId="7018C93F" w:rsidR="001D7D94" w:rsidRDefault="001D7D94" w:rsidP="002F765A">
      <w:pPr>
        <w:spacing w:line="480" w:lineRule="auto"/>
        <w:ind w:left="720" w:hanging="720"/>
        <w:rPr>
          <w:rFonts w:ascii="Times New Roman" w:eastAsia="Times New Roman" w:hAnsi="Times New Roman" w:cs="Times New Roman"/>
          <w:sz w:val="24"/>
          <w:szCs w:val="24"/>
        </w:rPr>
      </w:pPr>
    </w:p>
    <w:p w14:paraId="01ED5BB8" w14:textId="09E44FA1" w:rsidR="001D7D94" w:rsidRDefault="001D7D94" w:rsidP="002F765A">
      <w:pPr>
        <w:spacing w:line="480" w:lineRule="auto"/>
        <w:ind w:left="720" w:hanging="720"/>
        <w:rPr>
          <w:rFonts w:ascii="Times New Roman" w:eastAsia="Times New Roman" w:hAnsi="Times New Roman" w:cs="Times New Roman"/>
          <w:sz w:val="24"/>
          <w:szCs w:val="24"/>
        </w:rPr>
      </w:pPr>
    </w:p>
    <w:p w14:paraId="16CF864B" w14:textId="325FBB90" w:rsidR="001D7D94" w:rsidRDefault="001D7D94" w:rsidP="002F765A">
      <w:pPr>
        <w:spacing w:line="480" w:lineRule="auto"/>
        <w:ind w:left="720" w:hanging="720"/>
        <w:rPr>
          <w:rFonts w:ascii="Times New Roman" w:eastAsia="Times New Roman" w:hAnsi="Times New Roman" w:cs="Times New Roman"/>
          <w:sz w:val="24"/>
          <w:szCs w:val="24"/>
        </w:rPr>
      </w:pPr>
    </w:p>
    <w:p w14:paraId="1DAB431E" w14:textId="4E3A8FC8" w:rsidR="001D7D94" w:rsidRDefault="001D7D94" w:rsidP="002F765A">
      <w:pPr>
        <w:spacing w:line="480" w:lineRule="auto"/>
        <w:ind w:left="720" w:hanging="720"/>
        <w:rPr>
          <w:rFonts w:ascii="Times New Roman" w:eastAsia="Times New Roman" w:hAnsi="Times New Roman" w:cs="Times New Roman"/>
          <w:sz w:val="24"/>
          <w:szCs w:val="24"/>
        </w:rPr>
      </w:pPr>
    </w:p>
    <w:p w14:paraId="37AABE7E" w14:textId="2C5AA6DD" w:rsidR="001D7D94" w:rsidRDefault="001D7D94" w:rsidP="002F765A">
      <w:pPr>
        <w:spacing w:line="480" w:lineRule="auto"/>
        <w:ind w:left="720" w:hanging="720"/>
        <w:rPr>
          <w:rFonts w:ascii="Times New Roman" w:eastAsia="Times New Roman" w:hAnsi="Times New Roman" w:cs="Times New Roman"/>
          <w:sz w:val="24"/>
          <w:szCs w:val="24"/>
        </w:rPr>
      </w:pPr>
    </w:p>
    <w:p w14:paraId="2CC043E1" w14:textId="66F8CF2D" w:rsidR="001D7D94" w:rsidRDefault="001D7D94" w:rsidP="002F765A">
      <w:pPr>
        <w:spacing w:line="480" w:lineRule="auto"/>
        <w:ind w:left="720" w:hanging="720"/>
        <w:rPr>
          <w:rFonts w:ascii="Times New Roman" w:eastAsia="Times New Roman" w:hAnsi="Times New Roman" w:cs="Times New Roman"/>
          <w:sz w:val="24"/>
          <w:szCs w:val="24"/>
        </w:rPr>
      </w:pPr>
    </w:p>
    <w:p w14:paraId="7230D347" w14:textId="56263424" w:rsidR="001D7D94" w:rsidRDefault="001D7D94" w:rsidP="002F765A">
      <w:pPr>
        <w:spacing w:line="480" w:lineRule="auto"/>
        <w:ind w:left="720" w:hanging="720"/>
        <w:rPr>
          <w:rFonts w:ascii="Times New Roman" w:eastAsia="Times New Roman" w:hAnsi="Times New Roman" w:cs="Times New Roman"/>
          <w:sz w:val="24"/>
          <w:szCs w:val="24"/>
        </w:rPr>
      </w:pPr>
    </w:p>
    <w:p w14:paraId="12AB31E8" w14:textId="4CA6492D" w:rsidR="001D7D94" w:rsidRDefault="001D7D94" w:rsidP="002F765A">
      <w:pPr>
        <w:spacing w:line="480" w:lineRule="auto"/>
        <w:ind w:left="720" w:hanging="720"/>
        <w:rPr>
          <w:rFonts w:ascii="Times New Roman" w:eastAsia="Times New Roman" w:hAnsi="Times New Roman" w:cs="Times New Roman"/>
          <w:sz w:val="24"/>
          <w:szCs w:val="24"/>
        </w:rPr>
      </w:pPr>
    </w:p>
    <w:p w14:paraId="22523085" w14:textId="461C2ABE" w:rsidR="001D7D94" w:rsidRDefault="001D7D94" w:rsidP="002F765A">
      <w:pPr>
        <w:spacing w:line="480" w:lineRule="auto"/>
        <w:ind w:left="720" w:hanging="720"/>
        <w:rPr>
          <w:rFonts w:ascii="Times New Roman" w:eastAsia="Times New Roman" w:hAnsi="Times New Roman" w:cs="Times New Roman"/>
          <w:sz w:val="24"/>
          <w:szCs w:val="24"/>
        </w:rPr>
      </w:pPr>
    </w:p>
    <w:p w14:paraId="79256E22" w14:textId="77777777" w:rsidR="001D7D94" w:rsidRPr="00646A4C" w:rsidRDefault="001D7D94" w:rsidP="001D7D94">
      <w:pPr>
        <w:spacing w:line="480" w:lineRule="auto"/>
        <w:jc w:val="center"/>
        <w:outlineLvl w:val="0"/>
        <w:rPr>
          <w:rFonts w:ascii="Times New Roman" w:hAnsi="Times New Roman" w:cs="Times New Roman"/>
          <w:b/>
          <w:sz w:val="24"/>
          <w:szCs w:val="24"/>
        </w:rPr>
      </w:pPr>
      <w:r w:rsidRPr="00646A4C">
        <w:rPr>
          <w:rFonts w:ascii="Times New Roman" w:hAnsi="Times New Roman" w:cs="Times New Roman"/>
          <w:b/>
          <w:sz w:val="24"/>
          <w:szCs w:val="24"/>
        </w:rPr>
        <w:lastRenderedPageBreak/>
        <w:t>References</w:t>
      </w:r>
    </w:p>
    <w:p w14:paraId="2BFF0291" w14:textId="77777777" w:rsidR="001D7D94" w:rsidRPr="00646A4C" w:rsidRDefault="001D7D94" w:rsidP="001D7D94">
      <w:pPr>
        <w:pStyle w:val="EndNoteBibliography"/>
        <w:ind w:left="720" w:hanging="720"/>
        <w:rPr>
          <w:noProof/>
        </w:rPr>
      </w:pPr>
      <w:r w:rsidRPr="00646A4C">
        <w:rPr>
          <w:noProof/>
        </w:rPr>
        <w:t xml:space="preserve">Albertsen, M., Hugenholtz, P., Skarshewski, A., Nielsen, K. L., Tyson, G. W., &amp; Nielsen, P. H. (2013). Genome sequences of rare, uncultured bacteria obtained by differential coverage binning of multiple metagenomes. </w:t>
      </w:r>
      <w:r w:rsidRPr="00646A4C">
        <w:rPr>
          <w:i/>
          <w:noProof/>
        </w:rPr>
        <w:t>Nature Biotechnology, 31</w:t>
      </w:r>
      <w:r w:rsidRPr="00646A4C">
        <w:rPr>
          <w:noProof/>
        </w:rPr>
        <w:t>(6), 533-538. doi:10.1038/nbt.2579</w:t>
      </w:r>
    </w:p>
    <w:p w14:paraId="71124406" w14:textId="77777777" w:rsidR="001D7D94" w:rsidRPr="00646A4C" w:rsidRDefault="001D7D94" w:rsidP="001D7D94">
      <w:pPr>
        <w:pStyle w:val="EndNoteBibliography"/>
        <w:ind w:left="720" w:hanging="720"/>
        <w:rPr>
          <w:noProof/>
        </w:rPr>
      </w:pPr>
      <w:r w:rsidRPr="00646A4C">
        <w:rPr>
          <w:noProof/>
        </w:rPr>
        <w:t xml:space="preserve">Amann, R. I., Ludwig, W., &amp; Schleifer, K. H. (1995). Phylogenetic identification and in situ detection of individual microbial cells without cultivation. </w:t>
      </w:r>
      <w:r w:rsidRPr="00646A4C">
        <w:rPr>
          <w:i/>
          <w:noProof/>
        </w:rPr>
        <w:t>Microbiological Reviews, 59</w:t>
      </w:r>
      <w:r w:rsidRPr="00646A4C">
        <w:rPr>
          <w:noProof/>
        </w:rPr>
        <w:t xml:space="preserve">(1), 143-169. </w:t>
      </w:r>
    </w:p>
    <w:p w14:paraId="64C881BB" w14:textId="77777777" w:rsidR="001D7D94" w:rsidRPr="00646A4C" w:rsidRDefault="001D7D94" w:rsidP="001D7D94">
      <w:pPr>
        <w:pStyle w:val="EndNoteBibliography"/>
        <w:ind w:left="720" w:hanging="720"/>
        <w:rPr>
          <w:noProof/>
        </w:rPr>
      </w:pPr>
      <w:r w:rsidRPr="00646A4C">
        <w:rPr>
          <w:noProof/>
        </w:rPr>
        <w:t xml:space="preserve">Baquero, F., &amp; Nombela, C. (2012). The microbiome as a human organ. </w:t>
      </w:r>
      <w:r>
        <w:rPr>
          <w:i/>
          <w:noProof/>
        </w:rPr>
        <w:t>Clinical Microbiology and Infection</w:t>
      </w:r>
      <w:r w:rsidRPr="00646A4C">
        <w:rPr>
          <w:i/>
          <w:noProof/>
        </w:rPr>
        <w:t>, 18</w:t>
      </w:r>
      <w:r w:rsidRPr="00646A4C">
        <w:rPr>
          <w:noProof/>
        </w:rPr>
        <w:t xml:space="preserve"> (Suppl 4), 2-4. doi:10.1111/j.1469-0691.2012.03916.x</w:t>
      </w:r>
    </w:p>
    <w:p w14:paraId="7B25BDF8" w14:textId="77777777" w:rsidR="001D7D94" w:rsidRPr="00646A4C" w:rsidRDefault="001D7D94" w:rsidP="001D7D94">
      <w:pPr>
        <w:pStyle w:val="EndNoteBibliography"/>
        <w:ind w:left="720" w:hanging="720"/>
        <w:rPr>
          <w:noProof/>
        </w:rPr>
      </w:pPr>
      <w:r w:rsidRPr="00646A4C">
        <w:rPr>
          <w:noProof/>
        </w:rPr>
        <w:t xml:space="preserve">Bartman, C., Chong, A. S., &amp; Alegre, M. L. (2015). The influence of the microbiota on the immune response to transplantation. </w:t>
      </w:r>
      <w:r>
        <w:rPr>
          <w:i/>
          <w:noProof/>
        </w:rPr>
        <w:t>Current Opinion in Organ Transplantation</w:t>
      </w:r>
      <w:r w:rsidRPr="00646A4C">
        <w:rPr>
          <w:i/>
          <w:noProof/>
        </w:rPr>
        <w:t>, 20</w:t>
      </w:r>
      <w:r w:rsidRPr="00646A4C">
        <w:rPr>
          <w:noProof/>
        </w:rPr>
        <w:t>(1), 1-7. doi:10.1097/mot.0000000000000150</w:t>
      </w:r>
    </w:p>
    <w:p w14:paraId="71F5C788" w14:textId="77777777" w:rsidR="001D7D94" w:rsidRPr="00646A4C" w:rsidRDefault="001D7D94" w:rsidP="001D7D94">
      <w:pPr>
        <w:pStyle w:val="EndNoteBibliography"/>
        <w:ind w:left="720" w:hanging="720"/>
        <w:rPr>
          <w:noProof/>
        </w:rPr>
      </w:pPr>
      <w:r w:rsidRPr="00646A4C">
        <w:rPr>
          <w:noProof/>
        </w:rPr>
        <w:t xml:space="preserve">Bashiardes, S., Zilberman-Schapira, G., &amp; Elinav, E. (2016). Use of metatranscriptomics in microbiome research. </w:t>
      </w:r>
      <w:r>
        <w:rPr>
          <w:i/>
          <w:noProof/>
        </w:rPr>
        <w:t>Bioinformatics and Biology Insights</w:t>
      </w:r>
      <w:r w:rsidRPr="00646A4C">
        <w:rPr>
          <w:i/>
          <w:noProof/>
        </w:rPr>
        <w:t>, 10</w:t>
      </w:r>
      <w:r w:rsidRPr="00646A4C">
        <w:rPr>
          <w:noProof/>
        </w:rPr>
        <w:t>, 19-25. doi:10.4137/bbi.S34610</w:t>
      </w:r>
    </w:p>
    <w:p w14:paraId="7CF490BB" w14:textId="77777777" w:rsidR="001D7D94" w:rsidRPr="00646A4C" w:rsidRDefault="001D7D94" w:rsidP="001D7D94">
      <w:pPr>
        <w:pStyle w:val="EndNoteBibliography"/>
        <w:ind w:left="720" w:hanging="720"/>
        <w:rPr>
          <w:noProof/>
        </w:rPr>
      </w:pPr>
      <w:r w:rsidRPr="00646A4C">
        <w:rPr>
          <w:noProof/>
        </w:rPr>
        <w:t xml:space="preserve">Bianconi, E., Piovesan, A., Facchin, F., Beraudi, A., Casadei, R., Frabetti, F., . . . Canaider, S. (2013). An estimation of the number of cells in the human body. </w:t>
      </w:r>
      <w:r w:rsidRPr="00646A4C">
        <w:rPr>
          <w:i/>
          <w:noProof/>
        </w:rPr>
        <w:t>Annals of Human Biology, 40</w:t>
      </w:r>
      <w:r w:rsidRPr="00646A4C">
        <w:rPr>
          <w:noProof/>
        </w:rPr>
        <w:t>(6), 463-471. doi:10.3109/03014460.2013.807878</w:t>
      </w:r>
    </w:p>
    <w:p w14:paraId="4D615E87" w14:textId="77777777" w:rsidR="001D7D94" w:rsidRPr="00646A4C" w:rsidRDefault="001D7D94" w:rsidP="001D7D94">
      <w:pPr>
        <w:pStyle w:val="EndNoteBibliography"/>
        <w:ind w:left="720" w:hanging="720"/>
        <w:rPr>
          <w:noProof/>
        </w:rPr>
      </w:pPr>
      <w:r w:rsidRPr="00646A4C">
        <w:rPr>
          <w:noProof/>
        </w:rPr>
        <w:t xml:space="preserve">Birtel, J., Walser, J. C., Pichon, S., Burgmann, H., &amp; Matthews, B. (2015). Estimating bacterial diversity for ecological studies: Methods, metrics, and assumptions. </w:t>
      </w:r>
      <w:r w:rsidRPr="00646A4C">
        <w:rPr>
          <w:i/>
          <w:noProof/>
        </w:rPr>
        <w:t>PLoS One, 10</w:t>
      </w:r>
      <w:r w:rsidRPr="00646A4C">
        <w:rPr>
          <w:noProof/>
        </w:rPr>
        <w:t>(4), e0125356. doi:10.1371/journal.pone.0125356</w:t>
      </w:r>
    </w:p>
    <w:p w14:paraId="2B743FFB" w14:textId="77777777" w:rsidR="001D7D94" w:rsidRPr="00646A4C" w:rsidRDefault="001D7D94" w:rsidP="001D7D94">
      <w:pPr>
        <w:pStyle w:val="EndNoteBibliography"/>
        <w:ind w:left="720" w:hanging="720"/>
        <w:rPr>
          <w:noProof/>
        </w:rPr>
      </w:pPr>
      <w:r w:rsidRPr="00646A4C">
        <w:rPr>
          <w:noProof/>
        </w:rPr>
        <w:lastRenderedPageBreak/>
        <w:t xml:space="preserve">Bokulich, N. A., Chung, J., Battaglia, T., Henderson, N., Jay, M., Li, H., . . . Blaser, M. J. (2016). Antibiotics, birth mode, and diet shape microbiome maturation during early life. </w:t>
      </w:r>
      <w:r w:rsidRPr="00646A4C">
        <w:rPr>
          <w:i/>
          <w:noProof/>
        </w:rPr>
        <w:t>Science Translational Medicine, 8</w:t>
      </w:r>
      <w:r w:rsidRPr="00646A4C">
        <w:rPr>
          <w:noProof/>
        </w:rPr>
        <w:t>(343), 343ra82. doi:10.1126/scitranslmed.aad7121</w:t>
      </w:r>
    </w:p>
    <w:p w14:paraId="25C738FB" w14:textId="77777777" w:rsidR="001D7D94" w:rsidRPr="00646A4C" w:rsidRDefault="001D7D94" w:rsidP="001D7D94">
      <w:pPr>
        <w:pStyle w:val="EndNoteBibliography"/>
        <w:ind w:left="720" w:hanging="720"/>
        <w:rPr>
          <w:noProof/>
        </w:rPr>
      </w:pPr>
      <w:r w:rsidRPr="00646A4C">
        <w:rPr>
          <w:noProof/>
        </w:rPr>
        <w:t xml:space="preserve">Brooks, J. P., Buck, G. A., Chen, G., Diao, L., Edwards, D. J., Fettweis, J. M., . . . Zhou, Y. H. (2017). Changes in vaginal community state types reflect major shifts in the microbiome. </w:t>
      </w:r>
      <w:r>
        <w:rPr>
          <w:i/>
          <w:noProof/>
        </w:rPr>
        <w:t>Microbial Ecology in Health and Disease</w:t>
      </w:r>
      <w:r w:rsidRPr="00646A4C">
        <w:rPr>
          <w:i/>
          <w:noProof/>
        </w:rPr>
        <w:t>, 28</w:t>
      </w:r>
      <w:r w:rsidRPr="00646A4C">
        <w:rPr>
          <w:noProof/>
        </w:rPr>
        <w:t>(1), 1303265. doi:10.1080/16512235.2017.1303265</w:t>
      </w:r>
    </w:p>
    <w:p w14:paraId="66E1C2E2" w14:textId="77777777" w:rsidR="001D7D94" w:rsidRPr="00646A4C" w:rsidRDefault="001D7D94" w:rsidP="001D7D94">
      <w:pPr>
        <w:pStyle w:val="EndNoteBibliography"/>
        <w:ind w:left="720" w:hanging="720"/>
        <w:rPr>
          <w:noProof/>
        </w:rPr>
      </w:pPr>
      <w:r w:rsidRPr="00646A4C">
        <w:rPr>
          <w:noProof/>
        </w:rPr>
        <w:t xml:space="preserve">Brooks, J. P., Edwards, D. J., Harwich, M. D., Jr., Rivera, M. C., Fettweis, J. M., Serrano, M. G., . . . Buck, G. A. (2015). The truth about metagenomics: Quantifying and counteracting bias in 16S rRNA studies. </w:t>
      </w:r>
      <w:r w:rsidRPr="00646A4C">
        <w:rPr>
          <w:i/>
          <w:noProof/>
        </w:rPr>
        <w:t>BMC Microbiol</w:t>
      </w:r>
      <w:r>
        <w:rPr>
          <w:i/>
          <w:noProof/>
        </w:rPr>
        <w:t>ogy</w:t>
      </w:r>
      <w:r w:rsidRPr="00646A4C">
        <w:rPr>
          <w:i/>
          <w:noProof/>
        </w:rPr>
        <w:t>, 15</w:t>
      </w:r>
      <w:r w:rsidRPr="00646A4C">
        <w:rPr>
          <w:noProof/>
        </w:rPr>
        <w:t>, 66. doi:10.1186/s12866-015-0351-6</w:t>
      </w:r>
    </w:p>
    <w:p w14:paraId="7DFE3FCD" w14:textId="77777777" w:rsidR="001D7D94" w:rsidRPr="00646A4C" w:rsidRDefault="001D7D94" w:rsidP="001D7D94">
      <w:pPr>
        <w:pStyle w:val="EndNoteBibliography"/>
        <w:ind w:left="720" w:hanging="720"/>
        <w:rPr>
          <w:noProof/>
        </w:rPr>
      </w:pPr>
      <w:r w:rsidRPr="00646A4C">
        <w:rPr>
          <w:noProof/>
        </w:rPr>
        <w:t xml:space="preserve">Brosius, J., Palmer, M. L., Kennedy, P. J., &amp; Noller, H. F. (1978). Complete nucleotide sequence of a 16S ribosomal RNA gene from Escherichia coli. </w:t>
      </w:r>
      <w:r w:rsidRPr="00646A4C">
        <w:rPr>
          <w:i/>
          <w:noProof/>
        </w:rPr>
        <w:t>Proceedings of the National Academy of Sciences of the USA, 75</w:t>
      </w:r>
      <w:r w:rsidRPr="00646A4C">
        <w:rPr>
          <w:noProof/>
        </w:rPr>
        <w:t xml:space="preserve">(10), 4801-4805. </w:t>
      </w:r>
    </w:p>
    <w:p w14:paraId="1DE2844D" w14:textId="77777777" w:rsidR="001D7D94" w:rsidRPr="00646A4C" w:rsidRDefault="001D7D94" w:rsidP="001D7D94">
      <w:pPr>
        <w:pStyle w:val="EndNoteBibliography"/>
        <w:ind w:left="720" w:hanging="720"/>
        <w:rPr>
          <w:noProof/>
        </w:rPr>
      </w:pPr>
      <w:r w:rsidRPr="00646A4C">
        <w:rPr>
          <w:noProof/>
        </w:rPr>
        <w:t xml:space="preserve">Brown, C. T., Davis-Richardson, A. G., Giongo, A., Gano, K. A., Crabb, D. B., Mukherjee, N., . . . Triplett, E. W. (2011). Gut microbiome metagenomics analysis suggests a functional model for the development of autoimmunity for Type 1 diabetes. </w:t>
      </w:r>
      <w:r w:rsidRPr="00646A4C">
        <w:rPr>
          <w:i/>
          <w:noProof/>
        </w:rPr>
        <w:t>PLoS One, 6</w:t>
      </w:r>
      <w:r w:rsidRPr="00646A4C">
        <w:rPr>
          <w:noProof/>
        </w:rPr>
        <w:t>(10), e25792. doi:10.1371/journal.pone.0025792</w:t>
      </w:r>
    </w:p>
    <w:p w14:paraId="15FA35F2" w14:textId="77777777" w:rsidR="001D7D94" w:rsidRPr="00646A4C" w:rsidRDefault="001D7D94" w:rsidP="001D7D94">
      <w:pPr>
        <w:pStyle w:val="EndNoteBibliography"/>
        <w:ind w:left="720" w:hanging="720"/>
        <w:rPr>
          <w:noProof/>
        </w:rPr>
      </w:pPr>
      <w:r w:rsidRPr="00646A4C">
        <w:rPr>
          <w:noProof/>
        </w:rPr>
        <w:t xml:space="preserve">Buchfink, B., Xie, C., &amp; Huson, D. H. (2015). Fast and sensitive protein alignment using DIAMOND. </w:t>
      </w:r>
      <w:r w:rsidRPr="00646A4C">
        <w:rPr>
          <w:i/>
          <w:noProof/>
        </w:rPr>
        <w:t>Nature Methods, 12</w:t>
      </w:r>
      <w:r w:rsidRPr="00646A4C">
        <w:rPr>
          <w:noProof/>
        </w:rPr>
        <w:t>(1), 59-60. doi:10.1038/nmeth.3176</w:t>
      </w:r>
    </w:p>
    <w:p w14:paraId="3AF452B1" w14:textId="77777777" w:rsidR="001D7D94" w:rsidRPr="00646A4C" w:rsidRDefault="001D7D94" w:rsidP="001D7D94">
      <w:pPr>
        <w:pStyle w:val="EndNoteBibliography"/>
        <w:ind w:left="720" w:hanging="720"/>
        <w:rPr>
          <w:noProof/>
        </w:rPr>
      </w:pPr>
      <w:r w:rsidRPr="00646A4C">
        <w:rPr>
          <w:noProof/>
        </w:rPr>
        <w:t xml:space="preserve">Burkitt, D. P., Walker, A. R., &amp; Painter, N. S. (1972). Effect of dietary fibre on stools and the transit-times, and its role in the causation of disease. </w:t>
      </w:r>
      <w:r w:rsidRPr="00646A4C">
        <w:rPr>
          <w:i/>
          <w:noProof/>
        </w:rPr>
        <w:t>Lancet, 2</w:t>
      </w:r>
      <w:r w:rsidRPr="00646A4C">
        <w:rPr>
          <w:noProof/>
        </w:rPr>
        <w:t xml:space="preserve">(7792), 1408-1412. </w:t>
      </w:r>
    </w:p>
    <w:p w14:paraId="4A15189B" w14:textId="77777777" w:rsidR="001D7D94" w:rsidRPr="00646A4C" w:rsidRDefault="001D7D94" w:rsidP="001D7D94">
      <w:pPr>
        <w:pStyle w:val="EndNoteBibliography"/>
        <w:ind w:left="720" w:hanging="720"/>
        <w:rPr>
          <w:noProof/>
        </w:rPr>
      </w:pPr>
      <w:r w:rsidRPr="00646A4C">
        <w:rPr>
          <w:noProof/>
        </w:rPr>
        <w:lastRenderedPageBreak/>
        <w:t xml:space="preserve">Callahan, B. J., McMurdie, P. J., Rosen, M. J., Han, A. W., Johnson, A. J., &amp; Holmes, S. P. (2016). DADA2: High-resolution sample inference from Illumina amplicon data. </w:t>
      </w:r>
      <w:r w:rsidRPr="00646A4C">
        <w:rPr>
          <w:i/>
          <w:noProof/>
        </w:rPr>
        <w:t>Nature Methods, 13</w:t>
      </w:r>
      <w:r w:rsidRPr="00646A4C">
        <w:rPr>
          <w:noProof/>
        </w:rPr>
        <w:t>(7), 581-583. doi:10.1038/nmeth.3869</w:t>
      </w:r>
    </w:p>
    <w:p w14:paraId="265DD704" w14:textId="77777777" w:rsidR="001D7D94" w:rsidRPr="00646A4C" w:rsidRDefault="001D7D94" w:rsidP="001D7D94">
      <w:pPr>
        <w:pStyle w:val="EndNoteBibliography"/>
        <w:ind w:left="720" w:hanging="720"/>
        <w:rPr>
          <w:noProof/>
        </w:rPr>
      </w:pPr>
      <w:r w:rsidRPr="00646A4C">
        <w:rPr>
          <w:noProof/>
        </w:rPr>
        <w:t xml:space="preserve">Caporaso, J. G., Kuczynski, J., Stombaugh, J., Bittinger, K., Bushman, F. D., Costello, E. K., . . . Gordon, J. I. (2010). QIIME allows analysis of high-throughput community sequencing data. </w:t>
      </w:r>
      <w:r w:rsidRPr="00646A4C">
        <w:rPr>
          <w:i/>
          <w:noProof/>
        </w:rPr>
        <w:t>Nature Methods, 7</w:t>
      </w:r>
      <w:r w:rsidRPr="00646A4C">
        <w:rPr>
          <w:noProof/>
        </w:rPr>
        <w:t xml:space="preserve">(5), 335-336. </w:t>
      </w:r>
    </w:p>
    <w:p w14:paraId="790E6CB9" w14:textId="77777777" w:rsidR="001D7D94" w:rsidRPr="00646A4C" w:rsidRDefault="001D7D94" w:rsidP="001D7D94">
      <w:pPr>
        <w:pStyle w:val="EndNoteBibliography"/>
        <w:ind w:left="720" w:hanging="720"/>
        <w:rPr>
          <w:noProof/>
        </w:rPr>
      </w:pPr>
      <w:r w:rsidRPr="00646A4C">
        <w:rPr>
          <w:noProof/>
        </w:rPr>
        <w:t xml:space="preserve">Chen, J., Bittinger, K., Charlson, E. S., Hoffmann, C., Lewis, J., Wu, G. D., . . . Li, H. (2012). Associating microbiome composition with environmental covariates using generalized UniFrac distances. </w:t>
      </w:r>
      <w:r w:rsidRPr="00646A4C">
        <w:rPr>
          <w:i/>
          <w:noProof/>
        </w:rPr>
        <w:t>Bioinformatics, 28</w:t>
      </w:r>
      <w:r w:rsidRPr="00646A4C">
        <w:rPr>
          <w:noProof/>
        </w:rPr>
        <w:t>(16), 2106-2113. doi:10.1093/bioinformatics/bts342</w:t>
      </w:r>
    </w:p>
    <w:p w14:paraId="396DDEDB" w14:textId="77777777" w:rsidR="001D7D94" w:rsidRPr="00646A4C" w:rsidRDefault="001D7D94" w:rsidP="001D7D94">
      <w:pPr>
        <w:pStyle w:val="EndNoteBibliography"/>
        <w:ind w:left="720" w:hanging="720"/>
        <w:rPr>
          <w:noProof/>
        </w:rPr>
      </w:pPr>
      <w:r w:rsidRPr="00646A4C">
        <w:rPr>
          <w:noProof/>
        </w:rPr>
        <w:t xml:space="preserve">Choo, J. M., Leong, L. E., &amp; Rogers, G. B. (2015). Sample storage conditions significantly influence faecal microbiome profiles. </w:t>
      </w:r>
      <w:r w:rsidRPr="00646A4C">
        <w:rPr>
          <w:i/>
          <w:noProof/>
        </w:rPr>
        <w:t>Sci</w:t>
      </w:r>
      <w:r>
        <w:rPr>
          <w:i/>
          <w:noProof/>
        </w:rPr>
        <w:t>entific</w:t>
      </w:r>
      <w:r w:rsidRPr="00646A4C">
        <w:rPr>
          <w:i/>
          <w:noProof/>
        </w:rPr>
        <w:t xml:space="preserve"> Rep</w:t>
      </w:r>
      <w:r>
        <w:rPr>
          <w:i/>
          <w:noProof/>
        </w:rPr>
        <w:t>orts</w:t>
      </w:r>
      <w:r w:rsidRPr="00646A4C">
        <w:rPr>
          <w:i/>
          <w:noProof/>
        </w:rPr>
        <w:t>, 5</w:t>
      </w:r>
      <w:r w:rsidRPr="00646A4C">
        <w:rPr>
          <w:noProof/>
        </w:rPr>
        <w:t>, 16350. doi:10.1038/srep16350</w:t>
      </w:r>
    </w:p>
    <w:p w14:paraId="470B55E5" w14:textId="77777777" w:rsidR="001D7D94" w:rsidRPr="00646A4C" w:rsidRDefault="001D7D94" w:rsidP="001D7D94">
      <w:pPr>
        <w:pStyle w:val="EndNoteBibliography"/>
        <w:ind w:left="720" w:hanging="720"/>
        <w:rPr>
          <w:noProof/>
        </w:rPr>
      </w:pPr>
      <w:r w:rsidRPr="00646A4C">
        <w:rPr>
          <w:noProof/>
        </w:rPr>
        <w:t xml:space="preserve">Clarke, G., Stilling, R. M., Kennedy, P. J., Stanton, C., Cryan, J. F., &amp; Dinan, T. G. (2014). Minireview: Gut microbiota: The neglected endocrine organ. </w:t>
      </w:r>
      <w:r w:rsidRPr="00646A4C">
        <w:rPr>
          <w:i/>
          <w:noProof/>
        </w:rPr>
        <w:t>Mol</w:t>
      </w:r>
      <w:r>
        <w:rPr>
          <w:i/>
          <w:noProof/>
        </w:rPr>
        <w:t>ecular</w:t>
      </w:r>
      <w:r w:rsidRPr="00646A4C">
        <w:rPr>
          <w:i/>
          <w:noProof/>
        </w:rPr>
        <w:t xml:space="preserve"> Endocrinol</w:t>
      </w:r>
      <w:r>
        <w:rPr>
          <w:i/>
          <w:noProof/>
        </w:rPr>
        <w:t>ogy</w:t>
      </w:r>
      <w:r w:rsidRPr="00646A4C">
        <w:rPr>
          <w:i/>
          <w:noProof/>
        </w:rPr>
        <w:t>, 28</w:t>
      </w:r>
      <w:r w:rsidRPr="00646A4C">
        <w:rPr>
          <w:noProof/>
        </w:rPr>
        <w:t>(8), 1221-1238. doi:10.1210/me.2014-1108</w:t>
      </w:r>
    </w:p>
    <w:p w14:paraId="18EAFFF8" w14:textId="77777777" w:rsidR="001D7D94" w:rsidRPr="00646A4C" w:rsidRDefault="001D7D94" w:rsidP="001D7D94">
      <w:pPr>
        <w:pStyle w:val="EndNoteBibliography"/>
        <w:ind w:left="720" w:hanging="720"/>
        <w:rPr>
          <w:noProof/>
        </w:rPr>
      </w:pPr>
      <w:r w:rsidRPr="00646A4C">
        <w:rPr>
          <w:noProof/>
        </w:rPr>
        <w:t xml:space="preserve">Cong, X., Judge, M., Xu, W., Diallo, A., Janton, S., Brownell, E. A., . . . Graf, J. (2017). Influence of feeding type on gut microbiome development in hospitalized preterm infants. </w:t>
      </w:r>
      <w:r w:rsidRPr="00646A4C">
        <w:rPr>
          <w:i/>
          <w:noProof/>
        </w:rPr>
        <w:t>Nursing Research, 66</w:t>
      </w:r>
      <w:r w:rsidRPr="00646A4C">
        <w:rPr>
          <w:noProof/>
        </w:rPr>
        <w:t>(2), 123-133. doi:10.1097/nnr.0000000000000208</w:t>
      </w:r>
    </w:p>
    <w:p w14:paraId="0A6A9567" w14:textId="77777777" w:rsidR="001D7D94" w:rsidRPr="00646A4C" w:rsidRDefault="001D7D94" w:rsidP="001D7D94">
      <w:pPr>
        <w:pStyle w:val="EndNoteBibliography"/>
        <w:ind w:left="720" w:hanging="720"/>
        <w:rPr>
          <w:noProof/>
        </w:rPr>
      </w:pPr>
      <w:r w:rsidRPr="00646A4C">
        <w:rPr>
          <w:noProof/>
        </w:rPr>
        <w:t xml:space="preserve">Cong, X., Xu, W., Janton, S., Henderson, W. A., Matson, A., McGrath, J. M., . . . Graf, J. (2016). Gut microbiome developmental patterns in early life of preterm infants: Impacts of feeding and gender. </w:t>
      </w:r>
      <w:r w:rsidRPr="00646A4C">
        <w:rPr>
          <w:i/>
          <w:noProof/>
        </w:rPr>
        <w:t>PLoS One, 11</w:t>
      </w:r>
      <w:r w:rsidRPr="00646A4C">
        <w:rPr>
          <w:noProof/>
        </w:rPr>
        <w:t>(4), e0152751. doi:10.1371/journal.pone.0152751</w:t>
      </w:r>
    </w:p>
    <w:p w14:paraId="35F24EC2" w14:textId="77777777" w:rsidR="001D7D94" w:rsidRPr="00646A4C" w:rsidRDefault="001D7D94" w:rsidP="001D7D94">
      <w:pPr>
        <w:pStyle w:val="EndNoteBibliography"/>
        <w:ind w:left="720" w:hanging="720"/>
        <w:rPr>
          <w:noProof/>
        </w:rPr>
      </w:pPr>
      <w:r w:rsidRPr="00646A4C">
        <w:rPr>
          <w:noProof/>
        </w:rPr>
        <w:t xml:space="preserve">Conlon, M. A., &amp; Bird, A. R. (2014). The impact of diet and lifestyle on gut microbiota and human health. </w:t>
      </w:r>
      <w:r w:rsidRPr="00646A4C">
        <w:rPr>
          <w:i/>
          <w:noProof/>
        </w:rPr>
        <w:t>Nutrients, 7</w:t>
      </w:r>
      <w:r w:rsidRPr="00646A4C">
        <w:rPr>
          <w:noProof/>
        </w:rPr>
        <w:t>(1), 17-44. doi:10.3390/nu7010017</w:t>
      </w:r>
    </w:p>
    <w:p w14:paraId="2BC4471D" w14:textId="77777777" w:rsidR="001D7D94" w:rsidRPr="00646A4C" w:rsidRDefault="001D7D94" w:rsidP="001D7D94">
      <w:pPr>
        <w:pStyle w:val="EndNoteBibliography"/>
        <w:ind w:left="720" w:hanging="720"/>
        <w:rPr>
          <w:noProof/>
        </w:rPr>
      </w:pPr>
      <w:r w:rsidRPr="00646A4C">
        <w:rPr>
          <w:noProof/>
        </w:rPr>
        <w:lastRenderedPageBreak/>
        <w:t xml:space="preserve">Cresci, G. A., &amp; Bawden, E. (2015). Gut microbiome: What we do and don't know. </w:t>
      </w:r>
      <w:r>
        <w:rPr>
          <w:i/>
          <w:noProof/>
        </w:rPr>
        <w:t>Nutrition in Clinical Practice</w:t>
      </w:r>
      <w:r w:rsidRPr="00646A4C">
        <w:rPr>
          <w:i/>
          <w:noProof/>
        </w:rPr>
        <w:t>, 30</w:t>
      </w:r>
      <w:r w:rsidRPr="00646A4C">
        <w:rPr>
          <w:noProof/>
        </w:rPr>
        <w:t>(6), 734-746. doi:10.1177/0884533615609899</w:t>
      </w:r>
    </w:p>
    <w:p w14:paraId="23E8E6D3" w14:textId="77777777" w:rsidR="001D7D94" w:rsidRPr="00646A4C" w:rsidRDefault="001D7D94" w:rsidP="001D7D94">
      <w:pPr>
        <w:pStyle w:val="EndNoteBibliography"/>
        <w:ind w:left="720" w:hanging="720"/>
        <w:rPr>
          <w:noProof/>
        </w:rPr>
      </w:pPr>
      <w:r w:rsidRPr="00646A4C">
        <w:rPr>
          <w:noProof/>
        </w:rPr>
        <w:t xml:space="preserve">Darmon, N., &amp; Drewnowski, A. (2015). Contribution of food prices and diet cost to socioeconomic disparities in diet quality and health: A systematic review and analysis. </w:t>
      </w:r>
      <w:r>
        <w:rPr>
          <w:i/>
          <w:noProof/>
        </w:rPr>
        <w:t>Nutrition Reviews</w:t>
      </w:r>
      <w:r w:rsidRPr="00646A4C">
        <w:rPr>
          <w:i/>
          <w:noProof/>
        </w:rPr>
        <w:t>, 73</w:t>
      </w:r>
      <w:r w:rsidRPr="00646A4C">
        <w:rPr>
          <w:noProof/>
        </w:rPr>
        <w:t>(10), 643-660. doi:10.1093/nutrit/nuv027</w:t>
      </w:r>
    </w:p>
    <w:p w14:paraId="38EBE47A" w14:textId="77777777" w:rsidR="001D7D94" w:rsidRPr="00646A4C" w:rsidRDefault="001D7D94" w:rsidP="001D7D94">
      <w:pPr>
        <w:pStyle w:val="EndNoteBibliography"/>
        <w:ind w:left="720" w:hanging="720"/>
        <w:rPr>
          <w:noProof/>
        </w:rPr>
      </w:pPr>
      <w:r w:rsidRPr="00646A4C">
        <w:rPr>
          <w:noProof/>
        </w:rPr>
        <w:t xml:space="preserve">David, L. A., Maurice, C. F., Carmody, R. N., Gootenberg, D. B., Button, J. E., Wolfe, B. E., . . . Turnbaugh, P. J. (2014). Diet rapidly and reproducibly alters the human gut microbiome. </w:t>
      </w:r>
      <w:r w:rsidRPr="00646A4C">
        <w:rPr>
          <w:i/>
          <w:noProof/>
        </w:rPr>
        <w:t>Nature, 505</w:t>
      </w:r>
      <w:r w:rsidRPr="00646A4C">
        <w:rPr>
          <w:noProof/>
        </w:rPr>
        <w:t>(7484), 559-563. doi:10.1038/nature12820</w:t>
      </w:r>
    </w:p>
    <w:p w14:paraId="4CA8DC29" w14:textId="77777777" w:rsidR="001D7D94" w:rsidRPr="00646A4C" w:rsidRDefault="001D7D94" w:rsidP="001D7D94">
      <w:pPr>
        <w:pStyle w:val="EndNoteBibliography"/>
        <w:ind w:left="720" w:hanging="720"/>
        <w:rPr>
          <w:noProof/>
        </w:rPr>
      </w:pPr>
      <w:r w:rsidRPr="00646A4C">
        <w:rPr>
          <w:noProof/>
        </w:rPr>
        <w:t xml:space="preserve">Deda, O., Gika, H. G., &amp; Theodoridis, G. A. (2018). Rat fecal metabolomics-based analysis. In G. Theodoridis, H. Gika, &amp; W. I. (Eds.), </w:t>
      </w:r>
      <w:r w:rsidRPr="00646A4C">
        <w:rPr>
          <w:i/>
          <w:noProof/>
        </w:rPr>
        <w:t>Metabolic profiling. Methods in molecular biology</w:t>
      </w:r>
      <w:r w:rsidRPr="00646A4C">
        <w:rPr>
          <w:noProof/>
        </w:rPr>
        <w:t xml:space="preserve"> (Vol. 1738). New York: Humana Press.</w:t>
      </w:r>
    </w:p>
    <w:p w14:paraId="0512E172" w14:textId="77777777" w:rsidR="001D7D94" w:rsidRPr="00646A4C" w:rsidRDefault="001D7D94" w:rsidP="001D7D94">
      <w:pPr>
        <w:pStyle w:val="EndNoteBibliography"/>
        <w:ind w:left="720" w:hanging="720"/>
        <w:rPr>
          <w:noProof/>
        </w:rPr>
      </w:pPr>
      <w:r w:rsidRPr="00646A4C">
        <w:rPr>
          <w:noProof/>
        </w:rPr>
        <w:t xml:space="preserve">Del Chierico, F., Ancora, M., Marcacci, M., Camma, C., Putignani, L., &amp; Conti, S. (2015). Choice of next-generation sequencing pipelines. </w:t>
      </w:r>
      <w:r>
        <w:rPr>
          <w:i/>
          <w:noProof/>
        </w:rPr>
        <w:t>Methods in Molecular Biology</w:t>
      </w:r>
      <w:r w:rsidRPr="00646A4C">
        <w:rPr>
          <w:i/>
          <w:noProof/>
        </w:rPr>
        <w:t>, 1231</w:t>
      </w:r>
      <w:r w:rsidRPr="00646A4C">
        <w:rPr>
          <w:noProof/>
        </w:rPr>
        <w:t>, 31-47. doi:10.1007/978-1-4939-1720-4_3</w:t>
      </w:r>
    </w:p>
    <w:p w14:paraId="405F9001" w14:textId="77777777" w:rsidR="001D7D94" w:rsidRPr="00646A4C" w:rsidRDefault="001D7D94" w:rsidP="001D7D94">
      <w:pPr>
        <w:pStyle w:val="EndNoteBibliography"/>
        <w:ind w:left="720" w:hanging="720"/>
        <w:rPr>
          <w:noProof/>
        </w:rPr>
      </w:pPr>
      <w:r w:rsidRPr="00646A4C">
        <w:rPr>
          <w:noProof/>
        </w:rPr>
        <w:t xml:space="preserve">DeSantis, T. Z., Hugenholtz, P., Larsen, N., Rojas, M., Brodie, E. L., Keller, K., . . . Andersen, G. L. (2006). Greengenes, a chimera-checked 16S rRNA gene database and workbench compatible with ARB. </w:t>
      </w:r>
      <w:r>
        <w:rPr>
          <w:i/>
          <w:noProof/>
        </w:rPr>
        <w:t>Applied and Environmental Microbiology</w:t>
      </w:r>
      <w:r w:rsidRPr="00646A4C">
        <w:rPr>
          <w:i/>
          <w:noProof/>
        </w:rPr>
        <w:t>, 72</w:t>
      </w:r>
      <w:r w:rsidRPr="00646A4C">
        <w:rPr>
          <w:noProof/>
        </w:rPr>
        <w:t>(7), 5069-5072. doi:10.1128/aem.03006-05</w:t>
      </w:r>
    </w:p>
    <w:p w14:paraId="2D245C0B" w14:textId="77777777" w:rsidR="001D7D94" w:rsidRPr="00646A4C" w:rsidRDefault="001D7D94" w:rsidP="001D7D94">
      <w:pPr>
        <w:pStyle w:val="EndNoteBibliography"/>
        <w:ind w:left="720" w:hanging="720"/>
        <w:rPr>
          <w:noProof/>
        </w:rPr>
      </w:pPr>
      <w:r w:rsidRPr="00646A4C">
        <w:rPr>
          <w:noProof/>
        </w:rPr>
        <w:t xml:space="preserve">Dettmer, K., Aronov, P. A., &amp; Hammock, B. D. (2007). Mass spectrometry-based metabolomics. </w:t>
      </w:r>
      <w:r w:rsidRPr="00646A4C">
        <w:rPr>
          <w:i/>
          <w:noProof/>
        </w:rPr>
        <w:t>Mass Spectrom</w:t>
      </w:r>
      <w:r>
        <w:rPr>
          <w:i/>
          <w:noProof/>
        </w:rPr>
        <w:t>etry</w:t>
      </w:r>
      <w:r w:rsidRPr="00646A4C">
        <w:rPr>
          <w:i/>
          <w:noProof/>
        </w:rPr>
        <w:t xml:space="preserve"> Rev</w:t>
      </w:r>
      <w:r>
        <w:rPr>
          <w:i/>
          <w:noProof/>
        </w:rPr>
        <w:t>iews</w:t>
      </w:r>
      <w:r w:rsidRPr="00646A4C">
        <w:rPr>
          <w:i/>
          <w:noProof/>
        </w:rPr>
        <w:t>, 26</w:t>
      </w:r>
      <w:r w:rsidRPr="00646A4C">
        <w:rPr>
          <w:noProof/>
        </w:rPr>
        <w:t>(1), 51-78. doi:10.1002/mas.20108</w:t>
      </w:r>
    </w:p>
    <w:p w14:paraId="66EBD820" w14:textId="77777777" w:rsidR="001D7D94" w:rsidRPr="00646A4C" w:rsidRDefault="001D7D94" w:rsidP="001D7D94">
      <w:pPr>
        <w:pStyle w:val="EndNoteBibliography"/>
        <w:ind w:left="720" w:hanging="720"/>
        <w:rPr>
          <w:noProof/>
        </w:rPr>
      </w:pPr>
      <w:r w:rsidRPr="00646A4C">
        <w:rPr>
          <w:noProof/>
        </w:rPr>
        <w:t xml:space="preserve">Di Bella, J. M., Bao, Y., Gloor, G. B., Burton, J. P., &amp; Reid, G. (2013). High throughput sequencing methods and analysis for microbiome research. </w:t>
      </w:r>
      <w:r w:rsidRPr="00646A4C">
        <w:rPr>
          <w:i/>
          <w:noProof/>
        </w:rPr>
        <w:t>J</w:t>
      </w:r>
      <w:r>
        <w:rPr>
          <w:i/>
          <w:noProof/>
        </w:rPr>
        <w:t>ournal of</w:t>
      </w:r>
      <w:r w:rsidRPr="00646A4C">
        <w:rPr>
          <w:i/>
          <w:noProof/>
        </w:rPr>
        <w:t xml:space="preserve"> Microbiol</w:t>
      </w:r>
      <w:r>
        <w:rPr>
          <w:i/>
          <w:noProof/>
        </w:rPr>
        <w:t>ogical</w:t>
      </w:r>
      <w:r w:rsidRPr="00646A4C">
        <w:rPr>
          <w:i/>
          <w:noProof/>
        </w:rPr>
        <w:t xml:space="preserve"> Methods, 95</w:t>
      </w:r>
      <w:r w:rsidRPr="00646A4C">
        <w:rPr>
          <w:noProof/>
        </w:rPr>
        <w:t>(3), 401-414. doi:10.1016/j.mimet.2013.08.011</w:t>
      </w:r>
    </w:p>
    <w:p w14:paraId="00CF446E" w14:textId="77777777" w:rsidR="001D7D94" w:rsidRPr="00646A4C" w:rsidRDefault="001D7D94" w:rsidP="001D7D94">
      <w:pPr>
        <w:pStyle w:val="EndNoteBibliography"/>
        <w:ind w:left="720" w:hanging="720"/>
        <w:rPr>
          <w:noProof/>
        </w:rPr>
      </w:pPr>
      <w:r w:rsidRPr="00646A4C">
        <w:rPr>
          <w:noProof/>
        </w:rPr>
        <w:lastRenderedPageBreak/>
        <w:t xml:space="preserve">Dinan, T. G., &amp; Cryan, J. F. (2017). Microbes, immunity, and behavior: Psychoneuroimmunology meets the microbiome. </w:t>
      </w:r>
      <w:r w:rsidRPr="00646A4C">
        <w:rPr>
          <w:i/>
          <w:noProof/>
        </w:rPr>
        <w:t>Neuropsychopharmacology, 42</w:t>
      </w:r>
      <w:r w:rsidRPr="00646A4C">
        <w:rPr>
          <w:noProof/>
        </w:rPr>
        <w:t>(1), 178-192. doi:10.1038/npp.2016.103</w:t>
      </w:r>
    </w:p>
    <w:p w14:paraId="2A80ECA8" w14:textId="77777777" w:rsidR="001D7D94" w:rsidRPr="00646A4C" w:rsidRDefault="001D7D94" w:rsidP="001D7D94">
      <w:pPr>
        <w:pStyle w:val="EndNoteBibliography"/>
        <w:ind w:left="720" w:hanging="720"/>
        <w:rPr>
          <w:noProof/>
        </w:rPr>
      </w:pPr>
      <w:r w:rsidRPr="00646A4C">
        <w:rPr>
          <w:noProof/>
        </w:rPr>
        <w:t xml:space="preserve">Edgar, R. C. (2018). Updating the 97% identity threshold for 16S ribosomal RNA OTUs. </w:t>
      </w:r>
      <w:r w:rsidRPr="00646A4C">
        <w:rPr>
          <w:i/>
          <w:noProof/>
        </w:rPr>
        <w:t>Bioinformatics, 34</w:t>
      </w:r>
      <w:r w:rsidRPr="00646A4C">
        <w:rPr>
          <w:noProof/>
        </w:rPr>
        <w:t>(14), 2371-2375. doi:10.1093/bioinformatics/bty113</w:t>
      </w:r>
    </w:p>
    <w:p w14:paraId="2F03A174" w14:textId="77777777" w:rsidR="001D7D94" w:rsidRPr="00646A4C" w:rsidRDefault="001D7D94" w:rsidP="001D7D94">
      <w:pPr>
        <w:pStyle w:val="EndNoteBibliography"/>
        <w:ind w:left="720" w:hanging="720"/>
        <w:rPr>
          <w:noProof/>
        </w:rPr>
      </w:pPr>
      <w:r w:rsidRPr="00646A4C">
        <w:rPr>
          <w:noProof/>
        </w:rPr>
        <w:t xml:space="preserve">Edwards, S. M., Cunningham, S. A., Dunlop, A. L., &amp; Corwin, E. J. (2017). The maternal gut microbiome during pregnancy. </w:t>
      </w:r>
      <w:r w:rsidRPr="00646A4C">
        <w:rPr>
          <w:i/>
          <w:noProof/>
        </w:rPr>
        <w:t>MCN</w:t>
      </w:r>
      <w:r>
        <w:rPr>
          <w:i/>
          <w:noProof/>
        </w:rPr>
        <w:t>: The</w:t>
      </w:r>
      <w:r w:rsidRPr="00646A4C">
        <w:rPr>
          <w:i/>
          <w:noProof/>
        </w:rPr>
        <w:t xml:space="preserve"> Am</w:t>
      </w:r>
      <w:r>
        <w:rPr>
          <w:i/>
          <w:noProof/>
        </w:rPr>
        <w:t>erican</w:t>
      </w:r>
      <w:r w:rsidRPr="00646A4C">
        <w:rPr>
          <w:i/>
          <w:noProof/>
        </w:rPr>
        <w:t xml:space="preserve"> J</w:t>
      </w:r>
      <w:r>
        <w:rPr>
          <w:i/>
          <w:noProof/>
        </w:rPr>
        <w:t>ournal of</w:t>
      </w:r>
      <w:r w:rsidRPr="00646A4C">
        <w:rPr>
          <w:i/>
          <w:noProof/>
        </w:rPr>
        <w:t xml:space="preserve"> Matern</w:t>
      </w:r>
      <w:r>
        <w:rPr>
          <w:i/>
          <w:noProof/>
        </w:rPr>
        <w:t>al/</w:t>
      </w:r>
      <w:r w:rsidRPr="00646A4C">
        <w:rPr>
          <w:i/>
          <w:noProof/>
        </w:rPr>
        <w:t>Child Nurs</w:t>
      </w:r>
      <w:r>
        <w:rPr>
          <w:i/>
          <w:noProof/>
        </w:rPr>
        <w:t>ing</w:t>
      </w:r>
      <w:r w:rsidRPr="00646A4C">
        <w:rPr>
          <w:i/>
          <w:noProof/>
        </w:rPr>
        <w:t>, 42</w:t>
      </w:r>
      <w:r w:rsidRPr="00646A4C">
        <w:rPr>
          <w:noProof/>
        </w:rPr>
        <w:t>(6), 310-317. doi:10.1097/nmc.0000000000000372</w:t>
      </w:r>
    </w:p>
    <w:p w14:paraId="3955BBDD" w14:textId="77777777" w:rsidR="001D7D94" w:rsidRPr="00646A4C" w:rsidRDefault="001D7D94" w:rsidP="001D7D94">
      <w:pPr>
        <w:pStyle w:val="EndNoteBibliography"/>
        <w:ind w:left="720" w:hanging="720"/>
        <w:rPr>
          <w:noProof/>
        </w:rPr>
      </w:pPr>
      <w:r w:rsidRPr="00646A4C">
        <w:rPr>
          <w:noProof/>
        </w:rPr>
        <w:t xml:space="preserve">Faust, K., Lahti, L., Gonze, D., de Vos, W. M., &amp; Raes, J. (2015). Metagenomics meets time series analysis: Unraveling microbial community dynamics. </w:t>
      </w:r>
      <w:r w:rsidRPr="00646A4C">
        <w:rPr>
          <w:i/>
          <w:noProof/>
        </w:rPr>
        <w:t>Curr</w:t>
      </w:r>
      <w:r>
        <w:rPr>
          <w:i/>
          <w:noProof/>
        </w:rPr>
        <w:t>ent</w:t>
      </w:r>
      <w:r w:rsidRPr="00646A4C">
        <w:rPr>
          <w:i/>
          <w:noProof/>
        </w:rPr>
        <w:t xml:space="preserve"> Opin</w:t>
      </w:r>
      <w:r>
        <w:rPr>
          <w:i/>
          <w:noProof/>
        </w:rPr>
        <w:t>ion in</w:t>
      </w:r>
      <w:r w:rsidRPr="00646A4C">
        <w:rPr>
          <w:i/>
          <w:noProof/>
        </w:rPr>
        <w:t xml:space="preserve"> Microbiol</w:t>
      </w:r>
      <w:r>
        <w:rPr>
          <w:i/>
          <w:noProof/>
        </w:rPr>
        <w:t>ogy</w:t>
      </w:r>
      <w:r w:rsidRPr="00646A4C">
        <w:rPr>
          <w:i/>
          <w:noProof/>
        </w:rPr>
        <w:t>, 25</w:t>
      </w:r>
      <w:r w:rsidRPr="00646A4C">
        <w:rPr>
          <w:noProof/>
        </w:rPr>
        <w:t>, 56-66. doi:10.1016/j.mib.2015.04.004</w:t>
      </w:r>
    </w:p>
    <w:p w14:paraId="2914F1E1" w14:textId="77777777" w:rsidR="001D7D94" w:rsidRPr="00646A4C" w:rsidRDefault="001D7D94" w:rsidP="001D7D94">
      <w:pPr>
        <w:pStyle w:val="EndNoteBibliography"/>
        <w:ind w:left="720" w:hanging="720"/>
        <w:rPr>
          <w:noProof/>
        </w:rPr>
      </w:pPr>
      <w:r w:rsidRPr="00646A4C">
        <w:rPr>
          <w:noProof/>
        </w:rPr>
        <w:t xml:space="preserve">Field, D., Garrity, G., Gray, T., Morrison, N., Selengut, J., Sterk, P., . . . Wipat, A. (2008). The minimum information about a genome sequence (MIGS) specification. </w:t>
      </w:r>
      <w:r w:rsidRPr="00646A4C">
        <w:rPr>
          <w:i/>
          <w:noProof/>
        </w:rPr>
        <w:t>Nature Biotechnology, 26</w:t>
      </w:r>
      <w:r w:rsidRPr="00646A4C">
        <w:rPr>
          <w:noProof/>
        </w:rPr>
        <w:t>(5), 541-547. doi:10.1038/nbt1360</w:t>
      </w:r>
    </w:p>
    <w:p w14:paraId="239005C7" w14:textId="77777777" w:rsidR="001D7D94" w:rsidRPr="00646A4C" w:rsidRDefault="001D7D94" w:rsidP="001D7D94">
      <w:pPr>
        <w:pStyle w:val="EndNoteBibliography"/>
        <w:ind w:left="720" w:hanging="720"/>
        <w:rPr>
          <w:noProof/>
        </w:rPr>
      </w:pPr>
      <w:r w:rsidRPr="00646A4C">
        <w:rPr>
          <w:noProof/>
        </w:rPr>
        <w:t xml:space="preserve">Fourie, N. H., Wang, D., Abey, S. K., Creekmore, A. L., Hong, S., Martin, C. G., . . . Henderson, W. A. (2017). Structural and functional alterations in the colonic microbiome of the rat in a model of stress induced irritable bowel syndrome. </w:t>
      </w:r>
      <w:r w:rsidRPr="00646A4C">
        <w:rPr>
          <w:i/>
          <w:noProof/>
        </w:rPr>
        <w:t>Gut Microbes, 8</w:t>
      </w:r>
      <w:r w:rsidRPr="00646A4C">
        <w:rPr>
          <w:noProof/>
        </w:rPr>
        <w:t>(1), 33-45. doi:10.1080/19490976.2016.1273999</w:t>
      </w:r>
    </w:p>
    <w:p w14:paraId="673A703E" w14:textId="77777777" w:rsidR="001D7D94" w:rsidRPr="00646A4C" w:rsidRDefault="001D7D94" w:rsidP="001D7D94">
      <w:pPr>
        <w:pStyle w:val="EndNoteBibliography"/>
        <w:ind w:left="720" w:hanging="720"/>
        <w:rPr>
          <w:noProof/>
        </w:rPr>
      </w:pPr>
      <w:r w:rsidRPr="00646A4C">
        <w:rPr>
          <w:noProof/>
        </w:rPr>
        <w:t xml:space="preserve">Fourie, N. H., Wang, D., Abey, S. K., Sherwin, L. B., Joseph, P. V., Rahim-Williams, B., . . . Henderson, W. A. (2016). The microbiome of the oral mucosa in irritable bowel syndrome. </w:t>
      </w:r>
      <w:r w:rsidRPr="00646A4C">
        <w:rPr>
          <w:i/>
          <w:noProof/>
        </w:rPr>
        <w:t>Gut Microbes, 7</w:t>
      </w:r>
      <w:r w:rsidRPr="00646A4C">
        <w:rPr>
          <w:noProof/>
        </w:rPr>
        <w:t>(4), 286-301. doi:10.1080/19490976.2016.1162363</w:t>
      </w:r>
    </w:p>
    <w:p w14:paraId="47F0E944" w14:textId="77777777" w:rsidR="001D7D94" w:rsidRPr="00646A4C" w:rsidRDefault="001D7D94" w:rsidP="001D7D94">
      <w:pPr>
        <w:pStyle w:val="EndNoteBibliography"/>
        <w:ind w:left="720" w:hanging="720"/>
        <w:rPr>
          <w:noProof/>
        </w:rPr>
      </w:pPr>
      <w:r w:rsidRPr="00646A4C">
        <w:rPr>
          <w:noProof/>
        </w:rPr>
        <w:t xml:space="preserve">Fox, G. E., Stackebrandt, E., Hespell, R. B., Gibson, J., Maniloff, J., Dyer, T. A., . . . Woese, C. R. (1980). The phylogeny of prokaryotes. </w:t>
      </w:r>
      <w:r w:rsidRPr="00646A4C">
        <w:rPr>
          <w:i/>
          <w:noProof/>
        </w:rPr>
        <w:t>Science, 209</w:t>
      </w:r>
      <w:r w:rsidRPr="00646A4C">
        <w:rPr>
          <w:noProof/>
        </w:rPr>
        <w:t xml:space="preserve">(4455), 457-463. </w:t>
      </w:r>
    </w:p>
    <w:p w14:paraId="0031C161" w14:textId="77777777" w:rsidR="001D7D94" w:rsidRPr="00646A4C" w:rsidRDefault="001D7D94" w:rsidP="001D7D94">
      <w:pPr>
        <w:pStyle w:val="EndNoteBibliography"/>
        <w:ind w:left="720" w:hanging="720"/>
        <w:rPr>
          <w:noProof/>
        </w:rPr>
      </w:pPr>
      <w:r w:rsidRPr="00646A4C">
        <w:rPr>
          <w:noProof/>
        </w:rPr>
        <w:lastRenderedPageBreak/>
        <w:t xml:space="preserve">Frank, J. A., Pan, Y., Tooming-Klunderud, A., Eijsink, V. G., McHardy, A. C., Nederbragt, A. J., &amp; Pope, P. B. (2016). Improved metagenome assemblies and taxonomic binning using long-read circular consensus sequence data. </w:t>
      </w:r>
      <w:r w:rsidRPr="00646A4C">
        <w:rPr>
          <w:i/>
          <w:noProof/>
        </w:rPr>
        <w:t>Sci</w:t>
      </w:r>
      <w:r>
        <w:rPr>
          <w:i/>
          <w:noProof/>
        </w:rPr>
        <w:t>entific</w:t>
      </w:r>
      <w:r w:rsidRPr="00646A4C">
        <w:rPr>
          <w:i/>
          <w:noProof/>
        </w:rPr>
        <w:t xml:space="preserve"> Rep</w:t>
      </w:r>
      <w:r>
        <w:rPr>
          <w:i/>
          <w:noProof/>
        </w:rPr>
        <w:t>orts</w:t>
      </w:r>
      <w:r w:rsidRPr="00646A4C">
        <w:rPr>
          <w:i/>
          <w:noProof/>
        </w:rPr>
        <w:t>, 6</w:t>
      </w:r>
      <w:r w:rsidRPr="00646A4C">
        <w:rPr>
          <w:noProof/>
        </w:rPr>
        <w:t xml:space="preserve">, 25373. </w:t>
      </w:r>
    </w:p>
    <w:p w14:paraId="0FD45A64" w14:textId="77777777" w:rsidR="001D7D94" w:rsidRPr="00646A4C" w:rsidRDefault="001D7D94" w:rsidP="001D7D94">
      <w:pPr>
        <w:pStyle w:val="EndNoteBibliography"/>
        <w:ind w:left="720" w:hanging="720"/>
        <w:rPr>
          <w:noProof/>
        </w:rPr>
      </w:pPr>
      <w:r w:rsidRPr="00646A4C">
        <w:rPr>
          <w:noProof/>
        </w:rPr>
        <w:t xml:space="preserve">Gilbert, J. A., Blaser, M. J., Caporaso, J. G., Jansson, J. K., Lynch, S. V., &amp; Knight, R. (2018). Current understanding of the human microbiome. </w:t>
      </w:r>
      <w:r w:rsidRPr="00646A4C">
        <w:rPr>
          <w:i/>
          <w:noProof/>
        </w:rPr>
        <w:t>Nat</w:t>
      </w:r>
      <w:r>
        <w:rPr>
          <w:i/>
          <w:noProof/>
        </w:rPr>
        <w:t>ure</w:t>
      </w:r>
      <w:r w:rsidRPr="00646A4C">
        <w:rPr>
          <w:i/>
          <w:noProof/>
        </w:rPr>
        <w:t xml:space="preserve"> Med</w:t>
      </w:r>
      <w:r>
        <w:rPr>
          <w:i/>
          <w:noProof/>
        </w:rPr>
        <w:t>icine</w:t>
      </w:r>
      <w:r w:rsidRPr="00646A4C">
        <w:rPr>
          <w:i/>
          <w:noProof/>
        </w:rPr>
        <w:t>, 24</w:t>
      </w:r>
      <w:r w:rsidRPr="00646A4C">
        <w:rPr>
          <w:noProof/>
        </w:rPr>
        <w:t>(4), 392-400. doi:10.1038/nm.4517</w:t>
      </w:r>
    </w:p>
    <w:p w14:paraId="609C71FD" w14:textId="77777777" w:rsidR="001D7D94" w:rsidRPr="00646A4C" w:rsidRDefault="001D7D94" w:rsidP="001D7D94">
      <w:pPr>
        <w:pStyle w:val="EndNoteBibliography"/>
        <w:ind w:left="720" w:hanging="720"/>
        <w:rPr>
          <w:noProof/>
        </w:rPr>
      </w:pPr>
      <w:r w:rsidRPr="00646A4C">
        <w:rPr>
          <w:noProof/>
        </w:rPr>
        <w:t xml:space="preserve">Gilbert, J. A., Quinn, R. A., Debelius, J., Xu, Z. Z., Morton, J., Garg, N., . . . Knight, R. (2016). Microbiome-wide association studies link dynamic microbial consortia to disease. </w:t>
      </w:r>
      <w:r w:rsidRPr="00646A4C">
        <w:rPr>
          <w:i/>
          <w:noProof/>
        </w:rPr>
        <w:t>Nature, 535</w:t>
      </w:r>
      <w:r w:rsidRPr="00646A4C">
        <w:rPr>
          <w:noProof/>
        </w:rPr>
        <w:t>(7610), 94-103. doi:10.1038/nature18850</w:t>
      </w:r>
    </w:p>
    <w:p w14:paraId="6CCDDFF0" w14:textId="77777777" w:rsidR="001D7D94" w:rsidRPr="00646A4C" w:rsidRDefault="001D7D94" w:rsidP="001D7D94">
      <w:pPr>
        <w:pStyle w:val="EndNoteBibliography"/>
        <w:ind w:left="720" w:hanging="720"/>
        <w:rPr>
          <w:noProof/>
        </w:rPr>
      </w:pPr>
      <w:r w:rsidRPr="00646A4C">
        <w:rPr>
          <w:noProof/>
        </w:rPr>
        <w:t xml:space="preserve">Gohl, D. M., Vangay, P., Garbe, J., MacLean, A., Hauge, A., Becker, A., . . . Beckman, K. B. (2016). Systematic improvement of amplicon marker gene methods for increased accuracy in microbiome studies. </w:t>
      </w:r>
      <w:r w:rsidRPr="00646A4C">
        <w:rPr>
          <w:i/>
          <w:noProof/>
        </w:rPr>
        <w:t>Nature Biotechnology, 34</w:t>
      </w:r>
      <w:r w:rsidRPr="00646A4C">
        <w:rPr>
          <w:noProof/>
        </w:rPr>
        <w:t>(9), 942-949. doi:10.1038/nbt.3601</w:t>
      </w:r>
    </w:p>
    <w:p w14:paraId="3114F539" w14:textId="77777777" w:rsidR="001D7D94" w:rsidRPr="00646A4C" w:rsidRDefault="001D7D94" w:rsidP="001D7D94">
      <w:pPr>
        <w:pStyle w:val="EndNoteBibliography"/>
        <w:ind w:left="720" w:hanging="720"/>
        <w:rPr>
          <w:noProof/>
        </w:rPr>
      </w:pPr>
      <w:r w:rsidRPr="00646A4C">
        <w:rPr>
          <w:noProof/>
        </w:rPr>
        <w:t xml:space="preserve">Goodman, A. L., &amp; Gordon, J. I. (2010). Our unindicted coconspirators: Human metabolism from a microbial perspective. </w:t>
      </w:r>
      <w:r w:rsidRPr="00646A4C">
        <w:rPr>
          <w:i/>
          <w:noProof/>
        </w:rPr>
        <w:t>Cell Metab</w:t>
      </w:r>
      <w:r>
        <w:rPr>
          <w:i/>
          <w:noProof/>
        </w:rPr>
        <w:t>olism</w:t>
      </w:r>
      <w:r w:rsidRPr="00646A4C">
        <w:rPr>
          <w:i/>
          <w:noProof/>
        </w:rPr>
        <w:t>, 12</w:t>
      </w:r>
      <w:r w:rsidRPr="00646A4C">
        <w:rPr>
          <w:noProof/>
        </w:rPr>
        <w:t>(2), 111-116. doi:10.1016/j.cmet.2010.07.001</w:t>
      </w:r>
    </w:p>
    <w:p w14:paraId="0C104914" w14:textId="77777777" w:rsidR="001D7D94" w:rsidRPr="00646A4C" w:rsidRDefault="001D7D94" w:rsidP="001D7D94">
      <w:pPr>
        <w:pStyle w:val="EndNoteBibliography"/>
        <w:ind w:left="720" w:hanging="720"/>
        <w:rPr>
          <w:noProof/>
        </w:rPr>
      </w:pPr>
      <w:r w:rsidRPr="00646A4C">
        <w:rPr>
          <w:noProof/>
        </w:rPr>
        <w:t xml:space="preserve">Goodrich, J. K., Di Rienzi, S. C., Poole, A. C., Koren, O., Walters, W. A., Caporaso, J. G., . . . Ley, R. E. (2014). Conducting a microbiome study. </w:t>
      </w:r>
      <w:r w:rsidRPr="00646A4C">
        <w:rPr>
          <w:i/>
          <w:noProof/>
        </w:rPr>
        <w:t>Cell, 158</w:t>
      </w:r>
      <w:r w:rsidRPr="00646A4C">
        <w:rPr>
          <w:noProof/>
        </w:rPr>
        <w:t>(2), 250-262. doi:10.1016/j.cell.2014.06.037</w:t>
      </w:r>
    </w:p>
    <w:p w14:paraId="67D02EAC" w14:textId="77777777" w:rsidR="001D7D94" w:rsidRPr="00646A4C" w:rsidRDefault="001D7D94" w:rsidP="001D7D94">
      <w:pPr>
        <w:pStyle w:val="EndNoteBibliography"/>
        <w:ind w:left="720" w:hanging="720"/>
        <w:rPr>
          <w:noProof/>
        </w:rPr>
      </w:pPr>
      <w:r w:rsidRPr="00646A4C">
        <w:rPr>
          <w:noProof/>
        </w:rPr>
        <w:t xml:space="preserve">Gowda, G. A., &amp; Djukovic, D. (2014). Overview of mass spectrometry-based metabolomics: Opportunities and challenges. </w:t>
      </w:r>
      <w:r w:rsidRPr="00646A4C">
        <w:rPr>
          <w:i/>
          <w:noProof/>
        </w:rPr>
        <w:t>Methods</w:t>
      </w:r>
      <w:r>
        <w:rPr>
          <w:i/>
          <w:noProof/>
        </w:rPr>
        <w:t xml:space="preserve"> in</w:t>
      </w:r>
      <w:r w:rsidRPr="00646A4C">
        <w:rPr>
          <w:i/>
          <w:noProof/>
        </w:rPr>
        <w:t xml:space="preserve"> Mol</w:t>
      </w:r>
      <w:r>
        <w:rPr>
          <w:i/>
          <w:noProof/>
        </w:rPr>
        <w:t>ecular</w:t>
      </w:r>
      <w:r w:rsidRPr="00646A4C">
        <w:rPr>
          <w:i/>
          <w:noProof/>
        </w:rPr>
        <w:t xml:space="preserve"> Biol</w:t>
      </w:r>
      <w:r>
        <w:rPr>
          <w:i/>
          <w:noProof/>
        </w:rPr>
        <w:t>ogy</w:t>
      </w:r>
      <w:r w:rsidRPr="00646A4C">
        <w:rPr>
          <w:i/>
          <w:noProof/>
        </w:rPr>
        <w:t>, 1198</w:t>
      </w:r>
      <w:r w:rsidRPr="00646A4C">
        <w:rPr>
          <w:noProof/>
        </w:rPr>
        <w:t>, 3-12. doi:10.1007/978-1-4939-1258-2_1</w:t>
      </w:r>
    </w:p>
    <w:p w14:paraId="389B7558" w14:textId="77777777" w:rsidR="001D7D94" w:rsidRPr="00646A4C" w:rsidRDefault="001D7D94" w:rsidP="001D7D94">
      <w:pPr>
        <w:pStyle w:val="EndNoteBibliography"/>
        <w:ind w:left="720" w:hanging="720"/>
        <w:rPr>
          <w:noProof/>
        </w:rPr>
      </w:pPr>
      <w:r w:rsidRPr="00646A4C">
        <w:rPr>
          <w:noProof/>
        </w:rPr>
        <w:lastRenderedPageBreak/>
        <w:t xml:space="preserve">Green, S. J., Venkatramanan, R., &amp; Naqib, A. (2015). Deconstructing the polymerase chain reaction: Understanding and correcting bias associated with primer degeneracies and primer-template mismatches. </w:t>
      </w:r>
      <w:r w:rsidRPr="00646A4C">
        <w:rPr>
          <w:i/>
          <w:noProof/>
        </w:rPr>
        <w:t>PLoS One, 10</w:t>
      </w:r>
      <w:r w:rsidRPr="00646A4C">
        <w:rPr>
          <w:noProof/>
        </w:rPr>
        <w:t xml:space="preserve">(5), e0128122. </w:t>
      </w:r>
    </w:p>
    <w:p w14:paraId="3EF18A49" w14:textId="77777777" w:rsidR="001D7D94" w:rsidRPr="00646A4C" w:rsidRDefault="001D7D94" w:rsidP="001D7D94">
      <w:pPr>
        <w:pStyle w:val="EndNoteBibliography"/>
        <w:ind w:left="720" w:hanging="720"/>
        <w:rPr>
          <w:noProof/>
        </w:rPr>
      </w:pPr>
      <w:r w:rsidRPr="00646A4C">
        <w:rPr>
          <w:noProof/>
        </w:rPr>
        <w:t xml:space="preserve">Griffin, N. W., Ahern, P. P., Cheng, J., Heath, A. C., Ilkayeva, O., Newgard, C. B., . . . Gordon, J. I. (2017). Prior dietary practices and connections to a human gut microbial metacommunity alter responses to diet interventions. </w:t>
      </w:r>
      <w:r w:rsidRPr="00646A4C">
        <w:rPr>
          <w:i/>
          <w:noProof/>
        </w:rPr>
        <w:t>Cell Host</w:t>
      </w:r>
      <w:r>
        <w:rPr>
          <w:i/>
          <w:noProof/>
        </w:rPr>
        <w:t xml:space="preserve"> &amp;</w:t>
      </w:r>
      <w:r w:rsidRPr="00646A4C">
        <w:rPr>
          <w:i/>
          <w:noProof/>
        </w:rPr>
        <w:t xml:space="preserve"> Microbe, 21</w:t>
      </w:r>
      <w:r w:rsidRPr="00646A4C">
        <w:rPr>
          <w:noProof/>
        </w:rPr>
        <w:t>(1), 84-96. doi:10.1016/j.chom.2016.12.006</w:t>
      </w:r>
    </w:p>
    <w:p w14:paraId="5352D9C7" w14:textId="77777777" w:rsidR="001D7D94" w:rsidRPr="00646A4C" w:rsidRDefault="001D7D94" w:rsidP="001D7D94">
      <w:pPr>
        <w:pStyle w:val="EndNoteBibliography"/>
        <w:ind w:left="720" w:hanging="720"/>
        <w:rPr>
          <w:noProof/>
        </w:rPr>
      </w:pPr>
      <w:r w:rsidRPr="00646A4C">
        <w:rPr>
          <w:noProof/>
        </w:rPr>
        <w:t xml:space="preserve">Hale, V. L., Jeraldo, P., Mundy, M., Yao, J., Keeney, G., Scott, N., . . . Chia, N. (2018). Synthesis of multi-omic data and community metabolic models reveals insights into the role of hydrogen sulfide in colon cancer. </w:t>
      </w:r>
      <w:r w:rsidRPr="00646A4C">
        <w:rPr>
          <w:i/>
          <w:noProof/>
        </w:rPr>
        <w:t>Methods</w:t>
      </w:r>
      <w:r w:rsidRPr="00646A4C">
        <w:rPr>
          <w:noProof/>
        </w:rPr>
        <w:t xml:space="preserve">. </w:t>
      </w:r>
      <w:r w:rsidRPr="00F64030">
        <w:rPr>
          <w:noProof/>
        </w:rPr>
        <w:t>Advance online publication.</w:t>
      </w:r>
      <w:r>
        <w:rPr>
          <w:noProof/>
        </w:rPr>
        <w:t xml:space="preserve"> </w:t>
      </w:r>
      <w:r w:rsidRPr="00646A4C">
        <w:rPr>
          <w:noProof/>
        </w:rPr>
        <w:t>doi:10.1016/j.ymeth.2018.04.024</w:t>
      </w:r>
    </w:p>
    <w:p w14:paraId="2C79772B" w14:textId="77777777" w:rsidR="001D7D94" w:rsidRPr="00646A4C" w:rsidRDefault="001D7D94" w:rsidP="001D7D94">
      <w:pPr>
        <w:pStyle w:val="EndNoteBibliography"/>
        <w:ind w:left="720" w:hanging="720"/>
        <w:rPr>
          <w:noProof/>
        </w:rPr>
      </w:pPr>
      <w:r w:rsidRPr="00646A4C">
        <w:rPr>
          <w:noProof/>
        </w:rPr>
        <w:t xml:space="preserve">Helbling, D. E., Ackermann, M., Fenner, K., Kohler, H. P., &amp; Johnson, D. R. (2012). The activity level of a microbial community function can be predicted from its metatranscriptome. </w:t>
      </w:r>
      <w:r>
        <w:rPr>
          <w:i/>
          <w:noProof/>
        </w:rPr>
        <w:t xml:space="preserve">The </w:t>
      </w:r>
      <w:r w:rsidRPr="00646A4C">
        <w:rPr>
          <w:i/>
          <w:noProof/>
        </w:rPr>
        <w:t>I</w:t>
      </w:r>
      <w:r>
        <w:rPr>
          <w:i/>
          <w:noProof/>
        </w:rPr>
        <w:t>SME</w:t>
      </w:r>
      <w:r w:rsidRPr="00646A4C">
        <w:rPr>
          <w:i/>
          <w:noProof/>
        </w:rPr>
        <w:t xml:space="preserve"> </w:t>
      </w:r>
      <w:r>
        <w:rPr>
          <w:i/>
          <w:noProof/>
        </w:rPr>
        <w:t>Journal</w:t>
      </w:r>
      <w:r w:rsidRPr="00646A4C">
        <w:rPr>
          <w:i/>
          <w:noProof/>
        </w:rPr>
        <w:t>, 6</w:t>
      </w:r>
      <w:r w:rsidRPr="00646A4C">
        <w:rPr>
          <w:noProof/>
        </w:rPr>
        <w:t>(4), 902-904. doi:10.1038/ismej.2011.158</w:t>
      </w:r>
    </w:p>
    <w:p w14:paraId="4ADD7839" w14:textId="77777777" w:rsidR="001D7D94" w:rsidRPr="00646A4C" w:rsidRDefault="001D7D94" w:rsidP="001D7D94">
      <w:pPr>
        <w:pStyle w:val="EndNoteBibliography"/>
        <w:ind w:left="720" w:hanging="720"/>
        <w:rPr>
          <w:noProof/>
        </w:rPr>
      </w:pPr>
      <w:r w:rsidRPr="00646A4C">
        <w:rPr>
          <w:noProof/>
        </w:rPr>
        <w:t xml:space="preserve">Hoy, Y. E., Bik, E. M., Lawley, T. D., Holmes, S. P., Monack, D. M., Theriot, J. A., &amp; Relman, D. A. (2015). Variation in taxonomic composition of the fecal microbiota in an inbred mouse strain across individuals and time. </w:t>
      </w:r>
      <w:r w:rsidRPr="00646A4C">
        <w:rPr>
          <w:i/>
          <w:noProof/>
        </w:rPr>
        <w:t>PLoS One, 10</w:t>
      </w:r>
      <w:r w:rsidRPr="00646A4C">
        <w:rPr>
          <w:noProof/>
        </w:rPr>
        <w:t>(11), e0142825. doi:10.1371/journal.pone.0142825</w:t>
      </w:r>
    </w:p>
    <w:p w14:paraId="2D5A071D" w14:textId="77777777" w:rsidR="001D7D94" w:rsidRPr="00646A4C" w:rsidRDefault="001D7D94" w:rsidP="001D7D94">
      <w:pPr>
        <w:pStyle w:val="EndNoteBibliography"/>
        <w:ind w:left="720" w:hanging="720"/>
        <w:rPr>
          <w:noProof/>
        </w:rPr>
      </w:pPr>
      <w:r w:rsidRPr="00646A4C">
        <w:rPr>
          <w:noProof/>
        </w:rPr>
        <w:t xml:space="preserve">Huson, D. H., Albrecht, B., Bağcı, C., Bessarab, I., Górska, A., Jolic, D., &amp; Williams, R. B. (2018). MEGAN-LR: New algorithms allow accurate binning and easy interactive exploration of metagenomic long reads and contigs. </w:t>
      </w:r>
      <w:r w:rsidRPr="00646A4C">
        <w:rPr>
          <w:i/>
          <w:noProof/>
        </w:rPr>
        <w:t>Biology Direct, 13</w:t>
      </w:r>
      <w:r w:rsidRPr="00646A4C">
        <w:rPr>
          <w:noProof/>
        </w:rPr>
        <w:t xml:space="preserve">(1), 6. </w:t>
      </w:r>
    </w:p>
    <w:p w14:paraId="71CFA64B" w14:textId="77777777" w:rsidR="001D7D94" w:rsidRPr="00646A4C" w:rsidRDefault="001D7D94" w:rsidP="001D7D94">
      <w:pPr>
        <w:pStyle w:val="EndNoteBibliography"/>
        <w:ind w:left="720" w:hanging="720"/>
        <w:rPr>
          <w:noProof/>
        </w:rPr>
      </w:pPr>
      <w:r w:rsidRPr="00646A4C">
        <w:rPr>
          <w:noProof/>
        </w:rPr>
        <w:t xml:space="preserve">Huson, D. H., Beier, S., Flade, I., Gorska, A., El-Hadidi, M., Mitra, S., . . . Tappu, R. (2016). MEGAN community edition—Interactive exploration and analysis of large-scale </w:t>
      </w:r>
      <w:r w:rsidRPr="00646A4C">
        <w:rPr>
          <w:noProof/>
        </w:rPr>
        <w:lastRenderedPageBreak/>
        <w:t xml:space="preserve">microbiome sequencing data. </w:t>
      </w:r>
      <w:r w:rsidRPr="00646A4C">
        <w:rPr>
          <w:i/>
          <w:noProof/>
        </w:rPr>
        <w:t>PLoS Comput</w:t>
      </w:r>
      <w:r>
        <w:rPr>
          <w:i/>
          <w:noProof/>
        </w:rPr>
        <w:t>ational</w:t>
      </w:r>
      <w:r w:rsidRPr="00646A4C">
        <w:rPr>
          <w:i/>
          <w:noProof/>
        </w:rPr>
        <w:t xml:space="preserve"> Biol</w:t>
      </w:r>
      <w:r>
        <w:rPr>
          <w:i/>
          <w:noProof/>
        </w:rPr>
        <w:t>ogy</w:t>
      </w:r>
      <w:r w:rsidRPr="00646A4C">
        <w:rPr>
          <w:i/>
          <w:noProof/>
        </w:rPr>
        <w:t>, 12</w:t>
      </w:r>
      <w:r w:rsidRPr="00646A4C">
        <w:rPr>
          <w:noProof/>
        </w:rPr>
        <w:t>(6), e1004957. doi:10.1371/journal.pcbi.1004957</w:t>
      </w:r>
    </w:p>
    <w:p w14:paraId="462B8561" w14:textId="77777777" w:rsidR="001D7D94" w:rsidRPr="00646A4C" w:rsidRDefault="001D7D94" w:rsidP="001D7D94">
      <w:pPr>
        <w:pStyle w:val="EndNoteBibliography"/>
        <w:ind w:left="720" w:hanging="720"/>
        <w:rPr>
          <w:noProof/>
        </w:rPr>
      </w:pPr>
      <w:r w:rsidRPr="00646A4C">
        <w:rPr>
          <w:noProof/>
        </w:rPr>
        <w:t xml:space="preserve">Huttenhower, C., Gevers, D., Knight, R., Abubucker, S., Badger, J. H., Chinwalla, A. T., . . . Giglio, M. G. (2012). Structure, function and diversity of the healthy human microbiome. </w:t>
      </w:r>
      <w:r w:rsidRPr="00646A4C">
        <w:rPr>
          <w:i/>
          <w:noProof/>
        </w:rPr>
        <w:t>Nature, 486</w:t>
      </w:r>
      <w:r w:rsidRPr="00646A4C">
        <w:rPr>
          <w:noProof/>
        </w:rPr>
        <w:t>(7402), 207-214. doi:10.1038/nature11234</w:t>
      </w:r>
    </w:p>
    <w:p w14:paraId="0EA8B714" w14:textId="77777777" w:rsidR="001D7D94" w:rsidRPr="00646A4C" w:rsidRDefault="001D7D94" w:rsidP="001D7D94">
      <w:pPr>
        <w:pStyle w:val="EndNoteBibliography"/>
        <w:ind w:left="720" w:hanging="720"/>
        <w:rPr>
          <w:noProof/>
        </w:rPr>
      </w:pPr>
      <w:r w:rsidRPr="00646A4C">
        <w:rPr>
          <w:noProof/>
        </w:rPr>
        <w:t xml:space="preserve">Iebba, V., Nicoletti, M., &amp; Schippa, S. (2012). Gut microbiota and the immune system: An intimate partnership in health and disease. </w:t>
      </w:r>
      <w:r w:rsidRPr="00646A4C">
        <w:rPr>
          <w:i/>
          <w:noProof/>
        </w:rPr>
        <w:t>Int</w:t>
      </w:r>
      <w:r>
        <w:rPr>
          <w:i/>
          <w:noProof/>
        </w:rPr>
        <w:t>ernational</w:t>
      </w:r>
      <w:r w:rsidRPr="00646A4C">
        <w:rPr>
          <w:i/>
          <w:noProof/>
        </w:rPr>
        <w:t xml:space="preserve"> J</w:t>
      </w:r>
      <w:r>
        <w:rPr>
          <w:i/>
          <w:noProof/>
        </w:rPr>
        <w:t>ournal of</w:t>
      </w:r>
      <w:r w:rsidRPr="00646A4C">
        <w:rPr>
          <w:i/>
          <w:noProof/>
        </w:rPr>
        <w:t xml:space="preserve"> Immunopathol</w:t>
      </w:r>
      <w:r>
        <w:rPr>
          <w:i/>
          <w:noProof/>
        </w:rPr>
        <w:t>ogy and</w:t>
      </w:r>
      <w:r w:rsidRPr="00646A4C">
        <w:rPr>
          <w:i/>
          <w:noProof/>
        </w:rPr>
        <w:t xml:space="preserve"> Pharmacol</w:t>
      </w:r>
      <w:r>
        <w:rPr>
          <w:i/>
          <w:noProof/>
        </w:rPr>
        <w:t>ogy</w:t>
      </w:r>
      <w:r w:rsidRPr="00646A4C">
        <w:rPr>
          <w:i/>
          <w:noProof/>
        </w:rPr>
        <w:t>, 25</w:t>
      </w:r>
      <w:r w:rsidRPr="00646A4C">
        <w:rPr>
          <w:noProof/>
        </w:rPr>
        <w:t>(4), 823-833. doi:10.1177/039463201202500401</w:t>
      </w:r>
    </w:p>
    <w:p w14:paraId="79842FC3" w14:textId="77777777" w:rsidR="001D7D94" w:rsidRPr="00646A4C" w:rsidRDefault="001D7D94" w:rsidP="001D7D94">
      <w:pPr>
        <w:pStyle w:val="EndNoteBibliography"/>
        <w:ind w:left="720" w:hanging="720"/>
        <w:rPr>
          <w:noProof/>
        </w:rPr>
      </w:pPr>
      <w:r w:rsidRPr="00646A4C">
        <w:rPr>
          <w:noProof/>
        </w:rPr>
        <w:t xml:space="preserve">Ionescu, D., Overholt, W. A., Lynch, M. D. J., Neufeld, J. D., Naqib, A., &amp; Green, S. (2016). Microbial community analysis using high-throughput amplicon sequencing. . In M. V. Yates, C. H. Nakatsu, R. V. Miller, &amp; S. D. Pillai (Eds.), </w:t>
      </w:r>
      <w:r w:rsidRPr="00646A4C">
        <w:rPr>
          <w:i/>
          <w:noProof/>
        </w:rPr>
        <w:t xml:space="preserve">Manual of environmental microbiology </w:t>
      </w:r>
      <w:r w:rsidRPr="00646A4C">
        <w:rPr>
          <w:noProof/>
        </w:rPr>
        <w:t>(4th ed., pp. 2.4.2-1-2.4.2-26).</w:t>
      </w:r>
      <w:r w:rsidRPr="0017106C">
        <w:rPr>
          <w:noProof/>
        </w:rPr>
        <w:t xml:space="preserve"> </w:t>
      </w:r>
      <w:r w:rsidRPr="000035EB">
        <w:rPr>
          <w:rFonts w:eastAsiaTheme="minorHAnsi"/>
          <w:szCs w:val="24"/>
        </w:rPr>
        <w:t xml:space="preserve">Washington, DC: </w:t>
      </w:r>
      <w:r>
        <w:rPr>
          <w:rFonts w:eastAsiaTheme="minorHAnsi"/>
          <w:szCs w:val="24"/>
        </w:rPr>
        <w:t xml:space="preserve">ASM </w:t>
      </w:r>
      <w:r w:rsidRPr="000035EB">
        <w:rPr>
          <w:rFonts w:eastAsiaTheme="minorHAnsi"/>
          <w:szCs w:val="24"/>
        </w:rPr>
        <w:t>Press.</w:t>
      </w:r>
    </w:p>
    <w:p w14:paraId="5F294034" w14:textId="77777777" w:rsidR="001D7D94" w:rsidRPr="00646A4C" w:rsidRDefault="001D7D94" w:rsidP="001D7D94">
      <w:pPr>
        <w:pStyle w:val="EndNoteBibliography"/>
        <w:ind w:left="720" w:hanging="720"/>
        <w:rPr>
          <w:noProof/>
        </w:rPr>
      </w:pPr>
      <w:r w:rsidRPr="00646A4C">
        <w:rPr>
          <w:noProof/>
        </w:rPr>
        <w:t xml:space="preserve">Janda, J. M., &amp; Abbott, S. L. (2007). 16S rRNA gene sequencing for bacterial identification in the diagnostic laboratory: Pluses, perils, and pitfalls. </w:t>
      </w:r>
      <w:r w:rsidRPr="00646A4C">
        <w:rPr>
          <w:i/>
          <w:noProof/>
        </w:rPr>
        <w:t>Journal of Clinical Microbiology, 45</w:t>
      </w:r>
      <w:r w:rsidRPr="00646A4C">
        <w:rPr>
          <w:noProof/>
        </w:rPr>
        <w:t>(9), 2761-2764. doi:10.1128/jcm.01228-07</w:t>
      </w:r>
    </w:p>
    <w:p w14:paraId="4C90E82D" w14:textId="77777777" w:rsidR="001D7D94" w:rsidRPr="00646A4C" w:rsidRDefault="001D7D94" w:rsidP="001D7D94">
      <w:pPr>
        <w:pStyle w:val="EndNoteBibliography"/>
        <w:ind w:left="720" w:hanging="720"/>
        <w:rPr>
          <w:noProof/>
        </w:rPr>
      </w:pPr>
      <w:r w:rsidRPr="00646A4C">
        <w:rPr>
          <w:noProof/>
        </w:rPr>
        <w:t xml:space="preserve">Jordan, S., Baker, B., Dunn, A., Edwards, S., Ferranti, E., Mutic, A. D., . . . Rodriguez, J. (2017). Maternal-child microbiome: Specimen collection, storage, and implications for research and practice. </w:t>
      </w:r>
      <w:r w:rsidRPr="00646A4C">
        <w:rPr>
          <w:i/>
          <w:noProof/>
        </w:rPr>
        <w:t>Nursing Research, 66</w:t>
      </w:r>
      <w:r w:rsidRPr="00646A4C">
        <w:rPr>
          <w:noProof/>
        </w:rPr>
        <w:t>(2), 175-183. doi:10.1097/nnr.0000000000000201</w:t>
      </w:r>
    </w:p>
    <w:p w14:paraId="6E27E5A7" w14:textId="77777777" w:rsidR="001D7D94" w:rsidRPr="00646A4C" w:rsidRDefault="001D7D94" w:rsidP="001D7D94">
      <w:pPr>
        <w:pStyle w:val="EndNoteBibliography"/>
        <w:ind w:left="720" w:hanging="720"/>
        <w:rPr>
          <w:noProof/>
        </w:rPr>
      </w:pPr>
      <w:r w:rsidRPr="00646A4C">
        <w:rPr>
          <w:noProof/>
        </w:rPr>
        <w:t xml:space="preserve">Jost, L. (2007). Partitioning diversity into independent alpha and beta components. </w:t>
      </w:r>
      <w:r w:rsidRPr="00646A4C">
        <w:rPr>
          <w:i/>
          <w:noProof/>
        </w:rPr>
        <w:t>Ecology, 88</w:t>
      </w:r>
      <w:r w:rsidRPr="00646A4C">
        <w:rPr>
          <w:noProof/>
        </w:rPr>
        <w:t xml:space="preserve">(10), 2427-2439. </w:t>
      </w:r>
    </w:p>
    <w:p w14:paraId="0BA239AC" w14:textId="77777777" w:rsidR="001D7D94" w:rsidRPr="00646A4C" w:rsidRDefault="001D7D94" w:rsidP="001D7D94">
      <w:pPr>
        <w:pStyle w:val="EndNoteBibliography"/>
        <w:ind w:left="720" w:hanging="720"/>
        <w:rPr>
          <w:noProof/>
        </w:rPr>
      </w:pPr>
      <w:r w:rsidRPr="00646A4C">
        <w:rPr>
          <w:noProof/>
        </w:rPr>
        <w:t xml:space="preserve">Karlsson, F. H., Nookaew, I., &amp; Nielsen, J. (2014). Metagenomic data utilization and analysis (MEDUSA) and construction of a global gut microbial gene catalogue. </w:t>
      </w:r>
      <w:r w:rsidRPr="00646A4C">
        <w:rPr>
          <w:i/>
          <w:noProof/>
        </w:rPr>
        <w:t>PLoS Comput</w:t>
      </w:r>
      <w:r>
        <w:rPr>
          <w:i/>
          <w:noProof/>
        </w:rPr>
        <w:t xml:space="preserve">ational </w:t>
      </w:r>
      <w:r w:rsidRPr="00646A4C">
        <w:rPr>
          <w:i/>
          <w:noProof/>
        </w:rPr>
        <w:t>Biol</w:t>
      </w:r>
      <w:r>
        <w:rPr>
          <w:i/>
          <w:noProof/>
        </w:rPr>
        <w:t>ogy</w:t>
      </w:r>
      <w:r w:rsidRPr="00646A4C">
        <w:rPr>
          <w:i/>
          <w:noProof/>
        </w:rPr>
        <w:t>, 10</w:t>
      </w:r>
      <w:r w:rsidRPr="00646A4C">
        <w:rPr>
          <w:noProof/>
        </w:rPr>
        <w:t>(7), e1003706. doi:10.1371/journal.pcbi.1003706</w:t>
      </w:r>
    </w:p>
    <w:p w14:paraId="698B34A7" w14:textId="77777777" w:rsidR="001D7D94" w:rsidRPr="00646A4C" w:rsidRDefault="001D7D94" w:rsidP="001D7D94">
      <w:pPr>
        <w:pStyle w:val="EndNoteBibliography"/>
        <w:ind w:left="720" w:hanging="720"/>
        <w:rPr>
          <w:noProof/>
        </w:rPr>
      </w:pPr>
      <w:r w:rsidRPr="00646A4C">
        <w:rPr>
          <w:noProof/>
        </w:rPr>
        <w:lastRenderedPageBreak/>
        <w:t xml:space="preserve">Kau, A. L., Ahern, P. P., Griffin, N. W., Goodman, A. L., &amp; Gordon, J. I. (2011). Human nutrition, the gut microbiome and the immune system. </w:t>
      </w:r>
      <w:r w:rsidRPr="00646A4C">
        <w:rPr>
          <w:i/>
          <w:noProof/>
        </w:rPr>
        <w:t>Nature, 474</w:t>
      </w:r>
      <w:r w:rsidRPr="00646A4C">
        <w:rPr>
          <w:noProof/>
        </w:rPr>
        <w:t>(7351), 327-336. doi:10.1038/nature10213</w:t>
      </w:r>
    </w:p>
    <w:p w14:paraId="1C6FDB36" w14:textId="77777777" w:rsidR="001D7D94" w:rsidRPr="00646A4C" w:rsidRDefault="001D7D94" w:rsidP="001D7D94">
      <w:pPr>
        <w:pStyle w:val="EndNoteBibliography"/>
        <w:ind w:left="720" w:hanging="720"/>
        <w:rPr>
          <w:noProof/>
        </w:rPr>
      </w:pPr>
      <w:r w:rsidRPr="00646A4C">
        <w:rPr>
          <w:noProof/>
        </w:rPr>
        <w:t xml:space="preserve">Kelly, B. J., Gross, R., Bittinger, K., Sherrill-Mix, S., Lewis, J. D., Collman, R. G., . . . Li, H. (2015). Power and sample-size estimation for microbiome studies using pairwise distances and PERMANOVA. </w:t>
      </w:r>
      <w:r w:rsidRPr="00646A4C">
        <w:rPr>
          <w:i/>
          <w:noProof/>
        </w:rPr>
        <w:t>Bioinformatics, 31</w:t>
      </w:r>
      <w:r w:rsidRPr="00646A4C">
        <w:rPr>
          <w:noProof/>
        </w:rPr>
        <w:t>(15), 2461-2468. doi:10.1093/bioinformatics/btv183</w:t>
      </w:r>
    </w:p>
    <w:p w14:paraId="0A3979B7" w14:textId="77777777" w:rsidR="001D7D94" w:rsidRPr="00646A4C" w:rsidRDefault="001D7D94" w:rsidP="001D7D94">
      <w:pPr>
        <w:pStyle w:val="EndNoteBibliography"/>
        <w:ind w:left="720" w:hanging="720"/>
        <w:rPr>
          <w:noProof/>
        </w:rPr>
      </w:pPr>
      <w:r w:rsidRPr="00646A4C">
        <w:rPr>
          <w:noProof/>
        </w:rPr>
        <w:t xml:space="preserve">Keshavarzian, A., Green, S. J., Engen, P. A., Voigt, R. M., Naqib, A., Forsyth, C. B., . . . Shannon, K. M. (2015). Colonic bacterial composition in Parkinson's disease. </w:t>
      </w:r>
      <w:r w:rsidRPr="00646A4C">
        <w:rPr>
          <w:i/>
          <w:noProof/>
        </w:rPr>
        <w:t>Mov</w:t>
      </w:r>
      <w:r>
        <w:rPr>
          <w:i/>
          <w:noProof/>
        </w:rPr>
        <w:t>ement</w:t>
      </w:r>
      <w:r w:rsidRPr="00646A4C">
        <w:rPr>
          <w:i/>
          <w:noProof/>
        </w:rPr>
        <w:t xml:space="preserve"> Disord</w:t>
      </w:r>
      <w:r>
        <w:rPr>
          <w:i/>
          <w:noProof/>
        </w:rPr>
        <w:t>ers</w:t>
      </w:r>
      <w:r w:rsidRPr="00646A4C">
        <w:rPr>
          <w:i/>
          <w:noProof/>
        </w:rPr>
        <w:t>, 30</w:t>
      </w:r>
      <w:r w:rsidRPr="00646A4C">
        <w:rPr>
          <w:noProof/>
        </w:rPr>
        <w:t>(10), 1351-1360. doi:10.1002/mds.26307</w:t>
      </w:r>
    </w:p>
    <w:p w14:paraId="59FF25D0" w14:textId="77777777" w:rsidR="001D7D94" w:rsidRPr="00646A4C" w:rsidRDefault="001D7D94" w:rsidP="001D7D94">
      <w:pPr>
        <w:pStyle w:val="EndNoteBibliography"/>
        <w:ind w:left="720" w:hanging="720"/>
        <w:rPr>
          <w:noProof/>
        </w:rPr>
      </w:pPr>
      <w:r w:rsidRPr="00646A4C">
        <w:rPr>
          <w:noProof/>
        </w:rPr>
        <w:t xml:space="preserve">Khanna, S., &amp; Tosh, P. K. (2014). A clinician's primer on the role of the microbiome in human health and disease. </w:t>
      </w:r>
      <w:r w:rsidRPr="00646A4C">
        <w:rPr>
          <w:i/>
          <w:noProof/>
        </w:rPr>
        <w:t>Mayo Clin</w:t>
      </w:r>
      <w:r>
        <w:rPr>
          <w:i/>
          <w:noProof/>
        </w:rPr>
        <w:t>ic</w:t>
      </w:r>
      <w:r w:rsidRPr="00646A4C">
        <w:rPr>
          <w:i/>
          <w:noProof/>
        </w:rPr>
        <w:t xml:space="preserve"> Proc</w:t>
      </w:r>
      <w:r>
        <w:rPr>
          <w:i/>
          <w:noProof/>
        </w:rPr>
        <w:t>eedings</w:t>
      </w:r>
      <w:r w:rsidRPr="00646A4C">
        <w:rPr>
          <w:i/>
          <w:noProof/>
        </w:rPr>
        <w:t>, 89</w:t>
      </w:r>
      <w:r w:rsidRPr="00646A4C">
        <w:rPr>
          <w:noProof/>
        </w:rPr>
        <w:t>(1), 107-114. doi:10.1016/j.mayocp.2013.10.011</w:t>
      </w:r>
    </w:p>
    <w:p w14:paraId="2C5A8F94" w14:textId="77777777" w:rsidR="001D7D94" w:rsidRPr="00646A4C" w:rsidRDefault="001D7D94" w:rsidP="001D7D94">
      <w:pPr>
        <w:pStyle w:val="EndNoteBibliography"/>
        <w:ind w:left="720" w:hanging="720"/>
        <w:rPr>
          <w:noProof/>
        </w:rPr>
      </w:pPr>
      <w:r w:rsidRPr="00646A4C">
        <w:rPr>
          <w:noProof/>
        </w:rPr>
        <w:t xml:space="preserve">Kim, D., Hofstaedter, C. E., Zhao, C., Mattei, L., Tanes, C., Clarke, E., . . . Bittinger, K. (2017). Optimizing methods and dodging pitfalls in microbiome research. </w:t>
      </w:r>
      <w:r w:rsidRPr="00646A4C">
        <w:rPr>
          <w:i/>
          <w:noProof/>
        </w:rPr>
        <w:t>Microbiome, 5</w:t>
      </w:r>
      <w:r w:rsidRPr="00646A4C">
        <w:rPr>
          <w:noProof/>
        </w:rPr>
        <w:t>(1), 52. doi:10.1186/s40168-017-0267-5</w:t>
      </w:r>
    </w:p>
    <w:p w14:paraId="2942F3A3" w14:textId="77777777" w:rsidR="001D7D94" w:rsidRPr="00646A4C" w:rsidRDefault="001D7D94" w:rsidP="001D7D94">
      <w:pPr>
        <w:pStyle w:val="EndNoteBibliography"/>
        <w:ind w:left="720" w:hanging="720"/>
        <w:rPr>
          <w:noProof/>
        </w:rPr>
      </w:pPr>
      <w:r w:rsidRPr="00646A4C">
        <w:rPr>
          <w:noProof/>
        </w:rPr>
        <w:t xml:space="preserve">Kuczynski, J., Lauber, C. L., Walters, W. A., Parfrey, L. W., Clemente, J. C., Gevers, D., &amp; Knight, R. (2011). Experimental and analytical tools for studying the human microbiome. </w:t>
      </w:r>
      <w:r w:rsidRPr="00646A4C">
        <w:rPr>
          <w:i/>
          <w:noProof/>
        </w:rPr>
        <w:t>Nat</w:t>
      </w:r>
      <w:r>
        <w:rPr>
          <w:i/>
          <w:noProof/>
        </w:rPr>
        <w:t>ure</w:t>
      </w:r>
      <w:r w:rsidRPr="00646A4C">
        <w:rPr>
          <w:i/>
          <w:noProof/>
        </w:rPr>
        <w:t xml:space="preserve"> Rev</w:t>
      </w:r>
      <w:r>
        <w:rPr>
          <w:i/>
          <w:noProof/>
        </w:rPr>
        <w:t>iews</w:t>
      </w:r>
      <w:r w:rsidRPr="00646A4C">
        <w:rPr>
          <w:i/>
          <w:noProof/>
        </w:rPr>
        <w:t xml:space="preserve"> Genet</w:t>
      </w:r>
      <w:r>
        <w:rPr>
          <w:i/>
          <w:noProof/>
        </w:rPr>
        <w:t>ics</w:t>
      </w:r>
      <w:r w:rsidRPr="00646A4C">
        <w:rPr>
          <w:i/>
          <w:noProof/>
        </w:rPr>
        <w:t>, 13</w:t>
      </w:r>
      <w:r w:rsidRPr="00646A4C">
        <w:rPr>
          <w:noProof/>
        </w:rPr>
        <w:t>(1), 47-58. doi:10.1038/nrg3129</w:t>
      </w:r>
    </w:p>
    <w:p w14:paraId="08898A03" w14:textId="77777777" w:rsidR="001D7D94" w:rsidRPr="00646A4C" w:rsidRDefault="001D7D94" w:rsidP="001D7D94">
      <w:pPr>
        <w:pStyle w:val="EndNoteBibliography"/>
        <w:ind w:left="720" w:hanging="720"/>
        <w:rPr>
          <w:noProof/>
        </w:rPr>
      </w:pPr>
      <w:r w:rsidRPr="00646A4C">
        <w:rPr>
          <w:noProof/>
        </w:rPr>
        <w:t xml:space="preserve">Kurland, C. G., Canback, B., &amp; Berg, O. G. (2003). Horizontal gene transfer: A critical view. </w:t>
      </w:r>
      <w:r w:rsidRPr="00646A4C">
        <w:rPr>
          <w:i/>
          <w:noProof/>
        </w:rPr>
        <w:t>Proceedings of the National Academy of Sciences of the USA, 100</w:t>
      </w:r>
      <w:r w:rsidRPr="00646A4C">
        <w:rPr>
          <w:noProof/>
        </w:rPr>
        <w:t>(17), 9658-9662. doi:10.1073/pnas.1632870100</w:t>
      </w:r>
    </w:p>
    <w:p w14:paraId="1F8047BE" w14:textId="77777777" w:rsidR="001D7D94" w:rsidRPr="00646A4C" w:rsidRDefault="001D7D94" w:rsidP="001D7D94">
      <w:pPr>
        <w:pStyle w:val="EndNoteBibliography"/>
        <w:ind w:left="720" w:hanging="720"/>
        <w:rPr>
          <w:noProof/>
        </w:rPr>
      </w:pPr>
      <w:r w:rsidRPr="00646A4C">
        <w:rPr>
          <w:noProof/>
        </w:rPr>
        <w:lastRenderedPageBreak/>
        <w:t xml:space="preserve">La Rosa, P. S., Brooks, J. P., Deych, E., Boone, E. L., Edwards, D. J., Wang, Q., . . . Shannon, W. D. (2012). Hypothesis testing and power calculations for taxonomic-based human microbiome data. </w:t>
      </w:r>
      <w:r w:rsidRPr="00646A4C">
        <w:rPr>
          <w:i/>
          <w:noProof/>
        </w:rPr>
        <w:t>PLoS One, 7</w:t>
      </w:r>
      <w:r w:rsidRPr="00646A4C">
        <w:rPr>
          <w:noProof/>
        </w:rPr>
        <w:t>(12), e52078. doi:10.1371/journal.pone.0052078</w:t>
      </w:r>
    </w:p>
    <w:p w14:paraId="174D15C6" w14:textId="77777777" w:rsidR="001D7D94" w:rsidRPr="00646A4C" w:rsidRDefault="001D7D94" w:rsidP="001D7D94">
      <w:pPr>
        <w:pStyle w:val="EndNoteBibliography"/>
        <w:ind w:left="720" w:hanging="720"/>
        <w:rPr>
          <w:noProof/>
        </w:rPr>
      </w:pPr>
      <w:r w:rsidRPr="00646A4C">
        <w:rPr>
          <w:noProof/>
        </w:rPr>
        <w:t xml:space="preserve">Langdon, A., Crook, N., &amp; Dantas, G. (2016). The effects of antibiotics on the microbiome throughout development and alternative approaches for therapeutic modulation. </w:t>
      </w:r>
      <w:r w:rsidRPr="00646A4C">
        <w:rPr>
          <w:i/>
          <w:noProof/>
        </w:rPr>
        <w:t>Genome Med</w:t>
      </w:r>
      <w:r>
        <w:rPr>
          <w:i/>
          <w:noProof/>
        </w:rPr>
        <w:t>icine</w:t>
      </w:r>
      <w:r w:rsidRPr="00646A4C">
        <w:rPr>
          <w:i/>
          <w:noProof/>
        </w:rPr>
        <w:t>, 8</w:t>
      </w:r>
      <w:r w:rsidRPr="00646A4C">
        <w:rPr>
          <w:noProof/>
        </w:rPr>
        <w:t>(1), 39. doi:10.1186/s13073-016-0294-z</w:t>
      </w:r>
    </w:p>
    <w:p w14:paraId="034906EE" w14:textId="77777777" w:rsidR="001D7D94" w:rsidRPr="00646A4C" w:rsidRDefault="001D7D94" w:rsidP="001D7D94">
      <w:pPr>
        <w:pStyle w:val="EndNoteBibliography"/>
        <w:ind w:left="720" w:hanging="720"/>
        <w:rPr>
          <w:noProof/>
        </w:rPr>
      </w:pPr>
      <w:r w:rsidRPr="00646A4C">
        <w:rPr>
          <w:noProof/>
        </w:rPr>
        <w:t xml:space="preserve">Langille, M. G., Zaneveld, J., Caporaso, J. G., McDonald, D., Knights, D., Reyes, J. A., . . . Huttenhower, C. (2013). Predictive functional profiling of microbial communities using 16S rRNA marker gene sequences. </w:t>
      </w:r>
      <w:r w:rsidRPr="00646A4C">
        <w:rPr>
          <w:i/>
          <w:noProof/>
        </w:rPr>
        <w:t>Nature Biotechnology, 31</w:t>
      </w:r>
      <w:r w:rsidRPr="00646A4C">
        <w:rPr>
          <w:noProof/>
        </w:rPr>
        <w:t>(9), 814-821. doi:10.1038/nbt.2676</w:t>
      </w:r>
    </w:p>
    <w:p w14:paraId="239B7C34" w14:textId="77777777" w:rsidR="001D7D94" w:rsidRPr="00646A4C" w:rsidRDefault="001D7D94" w:rsidP="001D7D94">
      <w:pPr>
        <w:pStyle w:val="EndNoteBibliography"/>
        <w:ind w:left="720" w:hanging="720"/>
        <w:rPr>
          <w:noProof/>
        </w:rPr>
      </w:pPr>
      <w:r w:rsidRPr="00646A4C">
        <w:rPr>
          <w:noProof/>
        </w:rPr>
        <w:t xml:space="preserve">Lees, H., Swann, J., Poucher, S. M., Nicholson, J. K., Holmes, E., Wilson, I. D., &amp; Marchesi, J. R. (2014). Age and microenvironment outweigh genetic influence on the Zucker rat microbiome. </w:t>
      </w:r>
      <w:r w:rsidRPr="00646A4C">
        <w:rPr>
          <w:i/>
          <w:noProof/>
        </w:rPr>
        <w:t>PLoS One, 9</w:t>
      </w:r>
      <w:r w:rsidRPr="00646A4C">
        <w:rPr>
          <w:noProof/>
        </w:rPr>
        <w:t>(9), e100916. doi:10.1371/journal.pone.0100916</w:t>
      </w:r>
    </w:p>
    <w:p w14:paraId="1EF8A306" w14:textId="77777777" w:rsidR="001D7D94" w:rsidRPr="00646A4C" w:rsidRDefault="001D7D94" w:rsidP="001D7D94">
      <w:pPr>
        <w:pStyle w:val="EndNoteBibliography"/>
        <w:ind w:left="720" w:hanging="720"/>
        <w:rPr>
          <w:noProof/>
        </w:rPr>
      </w:pPr>
      <w:r w:rsidRPr="00646A4C">
        <w:rPr>
          <w:noProof/>
        </w:rPr>
        <w:t xml:space="preserve">Liang, X., Bushman, F. D., &amp; FitzGerald, G. A. (2015). Rhythmicity of the intestinal microbiota is regulated by gender and the host circadian clock. </w:t>
      </w:r>
      <w:r w:rsidRPr="00646A4C">
        <w:rPr>
          <w:i/>
          <w:noProof/>
        </w:rPr>
        <w:t>Proceedings of the National Academy of Sciences of the U S A, 112</w:t>
      </w:r>
      <w:r w:rsidRPr="00646A4C">
        <w:rPr>
          <w:noProof/>
        </w:rPr>
        <w:t>(33), 10479-10484. doi:10.1073/pnas.1501305112</w:t>
      </w:r>
    </w:p>
    <w:p w14:paraId="4392D646" w14:textId="77777777" w:rsidR="001D7D94" w:rsidRPr="00646A4C" w:rsidRDefault="001D7D94" w:rsidP="001D7D94">
      <w:pPr>
        <w:pStyle w:val="EndNoteBibliography"/>
        <w:ind w:left="720" w:hanging="720"/>
        <w:rPr>
          <w:noProof/>
        </w:rPr>
      </w:pPr>
      <w:r w:rsidRPr="00646A4C">
        <w:rPr>
          <w:noProof/>
        </w:rPr>
        <w:t xml:space="preserve">Lindon, J. C., Nicholson, J. K., Holmes, E., &amp; Everett, J. R. (2000). Metabonomics: Metabolic processes studied by NMR spectroscopy of biofluids. </w:t>
      </w:r>
      <w:r w:rsidRPr="00646A4C">
        <w:rPr>
          <w:i/>
          <w:noProof/>
        </w:rPr>
        <w:t>Concepts in Magnetic Resonance, 12</w:t>
      </w:r>
      <w:r w:rsidRPr="00646A4C">
        <w:rPr>
          <w:noProof/>
        </w:rPr>
        <w:t>(5), 289-320. doi:10.1002/1099-0534(2000)12:5&lt;289::AID-CMR3&gt;3.0.CO;2-W</w:t>
      </w:r>
    </w:p>
    <w:p w14:paraId="73332500" w14:textId="77777777" w:rsidR="001D7D94" w:rsidRPr="00646A4C" w:rsidRDefault="001D7D94" w:rsidP="001D7D94">
      <w:pPr>
        <w:pStyle w:val="EndNoteBibliography"/>
        <w:ind w:left="720" w:hanging="720"/>
        <w:rPr>
          <w:noProof/>
        </w:rPr>
      </w:pPr>
      <w:r w:rsidRPr="00646A4C">
        <w:rPr>
          <w:noProof/>
        </w:rPr>
        <w:t xml:space="preserve">Liu, X., &amp; Locasale, J. W. (2017). Metabolomics: A primer. </w:t>
      </w:r>
      <w:r w:rsidRPr="00646A4C">
        <w:rPr>
          <w:i/>
          <w:noProof/>
        </w:rPr>
        <w:t>Trends Biochem Sci, 42</w:t>
      </w:r>
      <w:r w:rsidRPr="00646A4C">
        <w:rPr>
          <w:noProof/>
        </w:rPr>
        <w:t>(4), 274-284. doi:10.1016/j.tibs.2017.01.004</w:t>
      </w:r>
    </w:p>
    <w:p w14:paraId="0C1F6E95" w14:textId="77777777" w:rsidR="001D7D94" w:rsidRPr="00646A4C" w:rsidRDefault="001D7D94" w:rsidP="001D7D94">
      <w:pPr>
        <w:pStyle w:val="EndNoteBibliography"/>
        <w:ind w:left="720" w:hanging="720"/>
        <w:rPr>
          <w:noProof/>
        </w:rPr>
      </w:pPr>
      <w:r w:rsidRPr="00646A4C">
        <w:rPr>
          <w:noProof/>
        </w:rPr>
        <w:t xml:space="preserve">Luckey, T. D. (1972). Introduction to intestinal microecology. </w:t>
      </w:r>
      <w:r w:rsidRPr="00646A4C">
        <w:rPr>
          <w:i/>
          <w:noProof/>
        </w:rPr>
        <w:t>American Journal of Clinical Nutrition, 25</w:t>
      </w:r>
      <w:r w:rsidRPr="00646A4C">
        <w:rPr>
          <w:noProof/>
        </w:rPr>
        <w:t>(12), 1292-1294. doi:10.1093/ajcn/25.12.1292</w:t>
      </w:r>
    </w:p>
    <w:p w14:paraId="2CE20E17" w14:textId="77777777" w:rsidR="001D7D94" w:rsidRPr="00646A4C" w:rsidRDefault="001D7D94" w:rsidP="001D7D94">
      <w:pPr>
        <w:pStyle w:val="EndNoteBibliography"/>
        <w:ind w:left="720" w:hanging="720"/>
        <w:rPr>
          <w:noProof/>
        </w:rPr>
      </w:pPr>
      <w:r w:rsidRPr="00646A4C">
        <w:rPr>
          <w:noProof/>
        </w:rPr>
        <w:lastRenderedPageBreak/>
        <w:t xml:space="preserve">Luo, C., Tsementzi, D., Kyrpides, N. C., &amp; Konstantinidis, K. T. (2012). Individual genome assembly from complex community short-read metagenomic datasets. </w:t>
      </w:r>
      <w:r w:rsidRPr="00646A4C">
        <w:rPr>
          <w:i/>
          <w:noProof/>
        </w:rPr>
        <w:t>I</w:t>
      </w:r>
      <w:r>
        <w:rPr>
          <w:i/>
          <w:noProof/>
        </w:rPr>
        <w:t>SME</w:t>
      </w:r>
      <w:r w:rsidRPr="00646A4C">
        <w:rPr>
          <w:i/>
          <w:noProof/>
        </w:rPr>
        <w:t xml:space="preserve"> </w:t>
      </w:r>
      <w:r>
        <w:rPr>
          <w:i/>
          <w:noProof/>
        </w:rPr>
        <w:t>Journal</w:t>
      </w:r>
      <w:r w:rsidRPr="00646A4C">
        <w:rPr>
          <w:i/>
          <w:noProof/>
        </w:rPr>
        <w:t>, 6</w:t>
      </w:r>
      <w:r w:rsidRPr="00646A4C">
        <w:rPr>
          <w:noProof/>
        </w:rPr>
        <w:t>(4), 898-901. doi:10.1038/ismej.2011.147</w:t>
      </w:r>
    </w:p>
    <w:p w14:paraId="77435887" w14:textId="77777777" w:rsidR="001D7D94" w:rsidRPr="00646A4C" w:rsidRDefault="001D7D94" w:rsidP="001D7D94">
      <w:pPr>
        <w:pStyle w:val="EndNoteBibliography"/>
        <w:ind w:left="720" w:hanging="720"/>
        <w:rPr>
          <w:noProof/>
        </w:rPr>
      </w:pPr>
      <w:r w:rsidRPr="00646A4C">
        <w:rPr>
          <w:noProof/>
        </w:rPr>
        <w:t xml:space="preserve">McCord, A. I., Chapman, C. A., Weny, G., Tumukunde, A., Hyeroba, D., Klotz, K., . . . Goldberg, T. L. (2014). Fecal microbiomes of non-human primates in Western Uganda reveal species-specific communities largely resistant to habitat perturbation. </w:t>
      </w:r>
      <w:r w:rsidRPr="00646A4C">
        <w:rPr>
          <w:i/>
          <w:noProof/>
        </w:rPr>
        <w:t>American Journal of Primatology, 76</w:t>
      </w:r>
      <w:r w:rsidRPr="00646A4C">
        <w:rPr>
          <w:noProof/>
        </w:rPr>
        <w:t>(4), 347-354. doi:10.1002/ajp.22238</w:t>
      </w:r>
    </w:p>
    <w:p w14:paraId="6DA81A84" w14:textId="77777777" w:rsidR="001D7D94" w:rsidRPr="00646A4C" w:rsidRDefault="001D7D94" w:rsidP="001D7D94">
      <w:pPr>
        <w:pStyle w:val="EndNoteBibliography"/>
        <w:ind w:left="720" w:hanging="720"/>
        <w:rPr>
          <w:noProof/>
        </w:rPr>
      </w:pPr>
      <w:r w:rsidRPr="00646A4C">
        <w:rPr>
          <w:noProof/>
        </w:rPr>
        <w:t xml:space="preserve">McInerney, M., Csizmadi, I., Friedenreich, C. M., Uribe, F. A., Nettel-Aguirre, A., McLaren, L., . . . McCormack, G. R. (2016). Associations between the neighbourhood food environment, neighbourhood socioeconomic status, and diet quality: An observational study. </w:t>
      </w:r>
      <w:r w:rsidRPr="00646A4C">
        <w:rPr>
          <w:i/>
          <w:noProof/>
        </w:rPr>
        <w:t>BMC Public Health, 16</w:t>
      </w:r>
      <w:r w:rsidRPr="00646A4C">
        <w:rPr>
          <w:noProof/>
        </w:rPr>
        <w:t>, 984. doi:10.1186/s12889-016-3631-7</w:t>
      </w:r>
    </w:p>
    <w:p w14:paraId="650E344F" w14:textId="77777777" w:rsidR="001D7D94" w:rsidRDefault="001D7D94" w:rsidP="001D7D94">
      <w:pPr>
        <w:pStyle w:val="EndNoteBibliography"/>
        <w:ind w:left="720" w:hanging="720"/>
        <w:rPr>
          <w:noProof/>
        </w:rPr>
      </w:pPr>
      <w:r w:rsidRPr="00646A4C">
        <w:rPr>
          <w:noProof/>
        </w:rPr>
        <w:t xml:space="preserve">McInnes, P., &amp; Cutting, M. (2010). Human Microbiome Project—Core microbiome sampling protocol A. </w:t>
      </w:r>
      <w:r w:rsidRPr="00646A4C">
        <w:rPr>
          <w:i/>
          <w:noProof/>
        </w:rPr>
        <w:t>National Institutes of Health Human Microbiome Project Initiative, 12.0</w:t>
      </w:r>
      <w:r w:rsidRPr="00646A4C">
        <w:rPr>
          <w:noProof/>
        </w:rPr>
        <w:t xml:space="preserve">. </w:t>
      </w:r>
      <w:hyperlink r:id="rId8" w:history="1">
        <w:r w:rsidRPr="00C154E6">
          <w:rPr>
            <w:rStyle w:val="Hyperlink"/>
            <w:noProof/>
          </w:rPr>
          <w:t>https://www.ncbi.nlm.nih.gov/projects/gap/cgi-bin/study.cgi?study_id=phs000228.v4.p1</w:t>
        </w:r>
      </w:hyperlink>
    </w:p>
    <w:p w14:paraId="6CF9AC5D" w14:textId="77777777" w:rsidR="001D7D94" w:rsidRPr="00646A4C" w:rsidRDefault="001D7D94" w:rsidP="001D7D94">
      <w:pPr>
        <w:pStyle w:val="EndNoteBibliography"/>
        <w:ind w:left="720" w:hanging="720"/>
        <w:rPr>
          <w:noProof/>
        </w:rPr>
      </w:pPr>
    </w:p>
    <w:p w14:paraId="41565AAE" w14:textId="77777777" w:rsidR="001D7D94" w:rsidRPr="00646A4C" w:rsidRDefault="001D7D94" w:rsidP="001D7D94">
      <w:pPr>
        <w:pStyle w:val="EndNoteBibliography"/>
        <w:ind w:left="720" w:hanging="720"/>
        <w:rPr>
          <w:noProof/>
        </w:rPr>
      </w:pPr>
      <w:r w:rsidRPr="00646A4C">
        <w:rPr>
          <w:noProof/>
        </w:rPr>
        <w:t xml:space="preserve">Meyer, F., Paarmann, D., D'Souza, M., Olson, R., Glass, E. M., Kubal, M., . . . Edwards, R. A. (2008). The metagenomics RAST server—a public resource for the automatic phylogenetic and functional analysis of metagenomes. </w:t>
      </w:r>
      <w:r w:rsidRPr="00646A4C">
        <w:rPr>
          <w:i/>
          <w:noProof/>
        </w:rPr>
        <w:t>BMC Bioinformatics, 9</w:t>
      </w:r>
      <w:r w:rsidRPr="00646A4C">
        <w:rPr>
          <w:noProof/>
        </w:rPr>
        <w:t>, 386. doi:10.1186/1471-2105-9-386</w:t>
      </w:r>
    </w:p>
    <w:p w14:paraId="28E19875" w14:textId="77777777" w:rsidR="001D7D94" w:rsidRPr="00646A4C" w:rsidRDefault="001D7D94" w:rsidP="001D7D94">
      <w:pPr>
        <w:pStyle w:val="EndNoteBibliography"/>
        <w:ind w:left="720" w:hanging="720"/>
        <w:rPr>
          <w:noProof/>
        </w:rPr>
      </w:pPr>
      <w:r w:rsidRPr="00646A4C">
        <w:rPr>
          <w:noProof/>
        </w:rPr>
        <w:t xml:space="preserve">Morgan, X. C., &amp; Huttenhower, C. (2012). Chapter 12: Human microbiome analysis. </w:t>
      </w:r>
      <w:r w:rsidRPr="00646A4C">
        <w:rPr>
          <w:i/>
          <w:noProof/>
        </w:rPr>
        <w:t>PLoS Comput</w:t>
      </w:r>
      <w:r>
        <w:rPr>
          <w:i/>
          <w:noProof/>
        </w:rPr>
        <w:t>ational</w:t>
      </w:r>
      <w:r w:rsidRPr="00646A4C">
        <w:rPr>
          <w:i/>
          <w:noProof/>
        </w:rPr>
        <w:t xml:space="preserve"> Biol</w:t>
      </w:r>
      <w:r>
        <w:rPr>
          <w:i/>
          <w:noProof/>
        </w:rPr>
        <w:t>ogy</w:t>
      </w:r>
      <w:r w:rsidRPr="00646A4C">
        <w:rPr>
          <w:i/>
          <w:noProof/>
        </w:rPr>
        <w:t>, 8</w:t>
      </w:r>
      <w:r w:rsidRPr="00646A4C">
        <w:rPr>
          <w:noProof/>
        </w:rPr>
        <w:t>(12), e1002808. doi:10.1371/journal.pcbi.1002808</w:t>
      </w:r>
    </w:p>
    <w:p w14:paraId="71A292C6" w14:textId="77777777" w:rsidR="001D7D94" w:rsidRPr="00646A4C" w:rsidRDefault="001D7D94" w:rsidP="001D7D94">
      <w:pPr>
        <w:pStyle w:val="EndNoteBibliography"/>
        <w:ind w:left="720" w:hanging="720"/>
        <w:rPr>
          <w:noProof/>
        </w:rPr>
      </w:pPr>
      <w:r w:rsidRPr="00646A4C">
        <w:rPr>
          <w:noProof/>
        </w:rPr>
        <w:t xml:space="preserve">Nichols, D., Cahoon, N., Trakhtenberg, E. M., Pham, L., Mehta, A., Belanger, A., . . . Epstein, S. S. (2010). Use of ichip for high-throughput in situ cultivation of "uncultivable" microbial </w:t>
      </w:r>
      <w:r w:rsidRPr="00646A4C">
        <w:rPr>
          <w:noProof/>
        </w:rPr>
        <w:lastRenderedPageBreak/>
        <w:t xml:space="preserve">species. </w:t>
      </w:r>
      <w:r w:rsidRPr="00646A4C">
        <w:rPr>
          <w:i/>
          <w:noProof/>
        </w:rPr>
        <w:t>Appl</w:t>
      </w:r>
      <w:r>
        <w:rPr>
          <w:i/>
          <w:noProof/>
        </w:rPr>
        <w:t>ied and</w:t>
      </w:r>
      <w:r w:rsidRPr="00646A4C">
        <w:rPr>
          <w:i/>
          <w:noProof/>
        </w:rPr>
        <w:t xml:space="preserve"> Environ</w:t>
      </w:r>
      <w:r>
        <w:rPr>
          <w:i/>
          <w:noProof/>
        </w:rPr>
        <w:t>mental</w:t>
      </w:r>
      <w:r w:rsidRPr="00646A4C">
        <w:rPr>
          <w:i/>
          <w:noProof/>
        </w:rPr>
        <w:t xml:space="preserve"> Microbiol</w:t>
      </w:r>
      <w:r>
        <w:rPr>
          <w:i/>
          <w:noProof/>
        </w:rPr>
        <w:t>ogy</w:t>
      </w:r>
      <w:r w:rsidRPr="00646A4C">
        <w:rPr>
          <w:i/>
          <w:noProof/>
        </w:rPr>
        <w:t>, 76</w:t>
      </w:r>
      <w:r w:rsidRPr="00646A4C">
        <w:rPr>
          <w:noProof/>
        </w:rPr>
        <w:t>(8), 2445-2450. doi:10.1128/aem.01754-09</w:t>
      </w:r>
    </w:p>
    <w:p w14:paraId="04E5A0B5" w14:textId="77777777" w:rsidR="001D7D94" w:rsidRPr="00646A4C" w:rsidRDefault="001D7D94" w:rsidP="001D7D94">
      <w:pPr>
        <w:pStyle w:val="EndNoteBibliography"/>
        <w:ind w:left="720" w:hanging="720"/>
        <w:rPr>
          <w:noProof/>
        </w:rPr>
      </w:pPr>
      <w:r w:rsidRPr="00646A4C">
        <w:rPr>
          <w:noProof/>
        </w:rPr>
        <w:t xml:space="preserve">Patti, G. J., Yanes, O., &amp; Siuzdak, G. (2012). Innovation: Metabolomics: The apogee of the omics trilogy. </w:t>
      </w:r>
      <w:r w:rsidRPr="00646A4C">
        <w:rPr>
          <w:i/>
          <w:noProof/>
        </w:rPr>
        <w:t>Nat</w:t>
      </w:r>
      <w:r>
        <w:rPr>
          <w:i/>
          <w:noProof/>
        </w:rPr>
        <w:t>ure</w:t>
      </w:r>
      <w:r w:rsidRPr="00646A4C">
        <w:rPr>
          <w:i/>
          <w:noProof/>
        </w:rPr>
        <w:t xml:space="preserve"> Rev</w:t>
      </w:r>
      <w:r>
        <w:rPr>
          <w:i/>
          <w:noProof/>
        </w:rPr>
        <w:t>iews</w:t>
      </w:r>
      <w:r w:rsidRPr="00646A4C">
        <w:rPr>
          <w:i/>
          <w:noProof/>
        </w:rPr>
        <w:t xml:space="preserve"> Mol</w:t>
      </w:r>
      <w:r>
        <w:rPr>
          <w:i/>
          <w:noProof/>
        </w:rPr>
        <w:t>ecular</w:t>
      </w:r>
      <w:r w:rsidRPr="00646A4C">
        <w:rPr>
          <w:i/>
          <w:noProof/>
        </w:rPr>
        <w:t xml:space="preserve"> Cell Biol</w:t>
      </w:r>
      <w:r>
        <w:rPr>
          <w:i/>
          <w:noProof/>
        </w:rPr>
        <w:t>ogy</w:t>
      </w:r>
      <w:r w:rsidRPr="00646A4C">
        <w:rPr>
          <w:i/>
          <w:noProof/>
        </w:rPr>
        <w:t>, 13</w:t>
      </w:r>
      <w:r w:rsidRPr="00646A4C">
        <w:rPr>
          <w:noProof/>
        </w:rPr>
        <w:t>(4), 263-269. doi:10.1038/nrm3314</w:t>
      </w:r>
    </w:p>
    <w:p w14:paraId="7852ED15" w14:textId="77777777" w:rsidR="001D7D94" w:rsidRPr="00646A4C" w:rsidRDefault="001D7D94" w:rsidP="001D7D94">
      <w:pPr>
        <w:pStyle w:val="EndNoteBibliography"/>
        <w:ind w:left="720" w:hanging="720"/>
        <w:rPr>
          <w:noProof/>
        </w:rPr>
      </w:pPr>
      <w:r w:rsidRPr="00646A4C">
        <w:rPr>
          <w:noProof/>
        </w:rPr>
        <w:t xml:space="preserve">Pruesse, E., Quast, C., Knittel, K., Fuchs, B. M., Ludwig, W., Peplies, J., &amp; Glockner, F. O. (2007). SILVA: A comprehensive online resource for quality checked and aligned ribosomal RNA sequence data compatible with ARB. </w:t>
      </w:r>
      <w:r w:rsidRPr="00646A4C">
        <w:rPr>
          <w:i/>
          <w:noProof/>
        </w:rPr>
        <w:t>Nucleic Acids Research, 35</w:t>
      </w:r>
      <w:r w:rsidRPr="00646A4C">
        <w:rPr>
          <w:noProof/>
        </w:rPr>
        <w:t>(21), 7188-7196. doi:10.1093/nar/gkm864</w:t>
      </w:r>
    </w:p>
    <w:p w14:paraId="205E3AB6" w14:textId="77777777" w:rsidR="001D7D94" w:rsidRPr="00646A4C" w:rsidRDefault="001D7D94" w:rsidP="001D7D94">
      <w:pPr>
        <w:pStyle w:val="EndNoteBibliography"/>
        <w:ind w:left="720" w:hanging="720"/>
        <w:rPr>
          <w:noProof/>
        </w:rPr>
      </w:pPr>
      <w:r w:rsidRPr="00646A4C">
        <w:rPr>
          <w:noProof/>
        </w:rPr>
        <w:t xml:space="preserve">Qin, J., Li, R., Raes, J., Arumugam, M., Burgdorf, K. S., Manichanh, C., . . . Wang, J. (2010). A human gut microbial gene catalogue established by metagenomic sequencing. </w:t>
      </w:r>
      <w:r w:rsidRPr="00646A4C">
        <w:rPr>
          <w:i/>
          <w:noProof/>
        </w:rPr>
        <w:t>Nature, 464</w:t>
      </w:r>
      <w:r w:rsidRPr="00646A4C">
        <w:rPr>
          <w:noProof/>
        </w:rPr>
        <w:t>(7285), 59-65. doi:10.1038/nature08821</w:t>
      </w:r>
    </w:p>
    <w:p w14:paraId="59FF2A2A" w14:textId="77777777" w:rsidR="001D7D94" w:rsidRPr="00646A4C" w:rsidRDefault="001D7D94" w:rsidP="001D7D94">
      <w:pPr>
        <w:pStyle w:val="EndNoteBibliography"/>
        <w:ind w:left="720" w:hanging="720"/>
        <w:rPr>
          <w:noProof/>
        </w:rPr>
      </w:pPr>
      <w:r w:rsidRPr="00646A4C">
        <w:rPr>
          <w:noProof/>
        </w:rPr>
        <w:t xml:space="preserve">Ranjan, R., Rani, A., Metwally, A., McGee, H. S., &amp; Perkins, D. L. (2016). Analysis of the microbiome: Advantages of whole genome shotgun versus 16S amplicon sequencing. </w:t>
      </w:r>
      <w:r w:rsidRPr="00646A4C">
        <w:rPr>
          <w:i/>
          <w:noProof/>
        </w:rPr>
        <w:t>Biochem</w:t>
      </w:r>
      <w:r>
        <w:rPr>
          <w:i/>
          <w:noProof/>
        </w:rPr>
        <w:t>ical and</w:t>
      </w:r>
      <w:r w:rsidRPr="00646A4C">
        <w:rPr>
          <w:i/>
          <w:noProof/>
        </w:rPr>
        <w:t xml:space="preserve"> Biophys</w:t>
      </w:r>
      <w:r>
        <w:rPr>
          <w:i/>
          <w:noProof/>
        </w:rPr>
        <w:t>ical</w:t>
      </w:r>
      <w:r w:rsidRPr="00646A4C">
        <w:rPr>
          <w:i/>
          <w:noProof/>
        </w:rPr>
        <w:t xml:space="preserve"> Res</w:t>
      </w:r>
      <w:r>
        <w:rPr>
          <w:i/>
          <w:noProof/>
        </w:rPr>
        <w:t>earch</w:t>
      </w:r>
      <w:r w:rsidRPr="00646A4C">
        <w:rPr>
          <w:i/>
          <w:noProof/>
        </w:rPr>
        <w:t xml:space="preserve"> Commun</w:t>
      </w:r>
      <w:r>
        <w:rPr>
          <w:i/>
          <w:noProof/>
        </w:rPr>
        <w:t>ications</w:t>
      </w:r>
      <w:r w:rsidRPr="00646A4C">
        <w:rPr>
          <w:i/>
          <w:noProof/>
        </w:rPr>
        <w:t>, 469</w:t>
      </w:r>
      <w:r w:rsidRPr="00646A4C">
        <w:rPr>
          <w:noProof/>
        </w:rPr>
        <w:t>(4), 967-977. doi:10.1016/j.bbrc.2015.12.083</w:t>
      </w:r>
    </w:p>
    <w:p w14:paraId="2D016321" w14:textId="77777777" w:rsidR="001D7D94" w:rsidRPr="00646A4C" w:rsidRDefault="001D7D94" w:rsidP="001D7D94">
      <w:pPr>
        <w:pStyle w:val="EndNoteBibliography"/>
        <w:ind w:left="720" w:hanging="720"/>
        <w:rPr>
          <w:noProof/>
        </w:rPr>
      </w:pPr>
      <w:r w:rsidRPr="00646A4C">
        <w:rPr>
          <w:noProof/>
        </w:rPr>
        <w:t xml:space="preserve">Reyes-Lopez, M. A., Mendez-Tenorio, A., Maldonado-Rodriguez, R., Doktycz, M. J., Fleming, J. T., &amp; Beattie, K. L. (2003). Fingerprinting of prokaryotic 16S rRNA genes using oligodeoxyribonucleotide microarrays and virtual hybridization. </w:t>
      </w:r>
      <w:r w:rsidRPr="00646A4C">
        <w:rPr>
          <w:i/>
          <w:noProof/>
        </w:rPr>
        <w:t>Nucleic Acids Research, 31</w:t>
      </w:r>
      <w:r w:rsidRPr="00646A4C">
        <w:rPr>
          <w:noProof/>
        </w:rPr>
        <w:t xml:space="preserve">(2), 779-789. </w:t>
      </w:r>
    </w:p>
    <w:p w14:paraId="2944A29C" w14:textId="77777777" w:rsidR="001D7D94" w:rsidRPr="00646A4C" w:rsidRDefault="001D7D94" w:rsidP="001D7D94">
      <w:pPr>
        <w:pStyle w:val="EndNoteBibliography"/>
        <w:ind w:left="720" w:hanging="720"/>
        <w:rPr>
          <w:noProof/>
        </w:rPr>
      </w:pPr>
      <w:r w:rsidRPr="00646A4C">
        <w:rPr>
          <w:noProof/>
        </w:rPr>
        <w:t xml:space="preserve">Ricardo-Rodrigues, I., Jimenez-Garcia, R., Hernandez-Barrera, V., Carrasco-Garrido, P., Jimenez-Trujillo, I., &amp; Lopez-de-Andres, A. (2015). Adherence to and predictors of participation in colorectal cancer screening with faecal occult blood testing in Spain, </w:t>
      </w:r>
      <w:r w:rsidRPr="00646A4C">
        <w:rPr>
          <w:noProof/>
        </w:rPr>
        <w:lastRenderedPageBreak/>
        <w:t xml:space="preserve">2009-2011. </w:t>
      </w:r>
      <w:r w:rsidRPr="00646A4C">
        <w:rPr>
          <w:i/>
          <w:noProof/>
        </w:rPr>
        <w:t>European Journal of Cancer Prevention, 24</w:t>
      </w:r>
      <w:r w:rsidRPr="00646A4C">
        <w:rPr>
          <w:noProof/>
        </w:rPr>
        <w:t>(4), 305-312. doi:10.1097/cej.0000000000000088</w:t>
      </w:r>
    </w:p>
    <w:p w14:paraId="491F084C" w14:textId="77777777" w:rsidR="001D7D94" w:rsidRPr="00646A4C" w:rsidRDefault="001D7D94" w:rsidP="001D7D94">
      <w:pPr>
        <w:pStyle w:val="EndNoteBibliography"/>
        <w:ind w:left="720" w:hanging="720"/>
        <w:rPr>
          <w:noProof/>
        </w:rPr>
      </w:pPr>
      <w:r w:rsidRPr="00646A4C">
        <w:rPr>
          <w:noProof/>
        </w:rPr>
        <w:t xml:space="preserve">Romick-Rosendale, L. E., Goodpaster, A. M., Hanwright, P. J., Patel, N. B., Wheeler, E. T., Chona, D. L., &amp; Kennedy, M. A. (2009). NMR-based metabonomics analysis of mouse urine and fecal extracts following oral treatment with the broad-spectrum antibiotic enrofloxacin (Baytril). </w:t>
      </w:r>
      <w:r w:rsidRPr="00646A4C">
        <w:rPr>
          <w:i/>
          <w:noProof/>
        </w:rPr>
        <w:t>Magn</w:t>
      </w:r>
      <w:r>
        <w:rPr>
          <w:i/>
          <w:noProof/>
        </w:rPr>
        <w:t>etic</w:t>
      </w:r>
      <w:r w:rsidRPr="00646A4C">
        <w:rPr>
          <w:i/>
          <w:noProof/>
        </w:rPr>
        <w:t xml:space="preserve"> Reson</w:t>
      </w:r>
      <w:r>
        <w:rPr>
          <w:i/>
          <w:noProof/>
        </w:rPr>
        <w:t>ance in</w:t>
      </w:r>
      <w:r w:rsidRPr="00646A4C">
        <w:rPr>
          <w:i/>
          <w:noProof/>
        </w:rPr>
        <w:t xml:space="preserve"> Chem</w:t>
      </w:r>
      <w:r>
        <w:rPr>
          <w:i/>
          <w:noProof/>
        </w:rPr>
        <w:t>istry</w:t>
      </w:r>
      <w:r w:rsidRPr="00646A4C">
        <w:rPr>
          <w:i/>
          <w:noProof/>
        </w:rPr>
        <w:t xml:space="preserve">, 47 </w:t>
      </w:r>
      <w:r w:rsidRPr="00646A4C">
        <w:rPr>
          <w:noProof/>
        </w:rPr>
        <w:t>(Suppl 1), S36-46. doi:10.1002/mrc.2511</w:t>
      </w:r>
    </w:p>
    <w:p w14:paraId="468E2C57" w14:textId="77777777" w:rsidR="001D7D94" w:rsidRPr="00646A4C" w:rsidRDefault="001D7D94" w:rsidP="001D7D94">
      <w:pPr>
        <w:pStyle w:val="EndNoteBibliography"/>
        <w:ind w:left="720" w:hanging="720"/>
        <w:rPr>
          <w:noProof/>
        </w:rPr>
      </w:pPr>
      <w:r w:rsidRPr="00646A4C">
        <w:rPr>
          <w:noProof/>
        </w:rPr>
        <w:t xml:space="preserve">Rossello-Mora, R., &amp; Amann, R. (2001). The species concept for prokaryotes. </w:t>
      </w:r>
      <w:r w:rsidRPr="00646A4C">
        <w:rPr>
          <w:i/>
          <w:noProof/>
        </w:rPr>
        <w:t>FEMS Microbiological Reviews, 25</w:t>
      </w:r>
      <w:r w:rsidRPr="00646A4C">
        <w:rPr>
          <w:noProof/>
        </w:rPr>
        <w:t xml:space="preserve">(1), 39-67. </w:t>
      </w:r>
    </w:p>
    <w:p w14:paraId="5747F28D" w14:textId="77777777" w:rsidR="001D7D94" w:rsidRPr="00646A4C" w:rsidRDefault="001D7D94" w:rsidP="001D7D94">
      <w:pPr>
        <w:pStyle w:val="EndNoteBibliography"/>
        <w:ind w:left="720" w:hanging="720"/>
        <w:rPr>
          <w:noProof/>
        </w:rPr>
      </w:pPr>
      <w:r w:rsidRPr="00646A4C">
        <w:rPr>
          <w:noProof/>
        </w:rPr>
        <w:t xml:space="preserve">Sampson, T. R., Debelius, J. W., Thron, T., Janssen, S., Shastri, G. G., Ilhan, Z. E., . . . Mazmanian, S. K. (2016). Gut microbiota regulate motor deficits and neuroinflammation in a model of Parkinson's disease. </w:t>
      </w:r>
      <w:r w:rsidRPr="00646A4C">
        <w:rPr>
          <w:i/>
          <w:noProof/>
        </w:rPr>
        <w:t>Cell, 167</w:t>
      </w:r>
      <w:r w:rsidRPr="00646A4C">
        <w:rPr>
          <w:noProof/>
        </w:rPr>
        <w:t>(6), 1469-1480.e1412. doi:10.1016/j.cell.2016.11.018</w:t>
      </w:r>
    </w:p>
    <w:p w14:paraId="7E30E91B" w14:textId="77777777" w:rsidR="001D7D94" w:rsidRPr="00646A4C" w:rsidRDefault="001D7D94" w:rsidP="001D7D94">
      <w:pPr>
        <w:pStyle w:val="EndNoteBibliography"/>
        <w:ind w:left="720" w:hanging="720"/>
        <w:rPr>
          <w:noProof/>
        </w:rPr>
      </w:pPr>
      <w:r w:rsidRPr="00646A4C">
        <w:rPr>
          <w:noProof/>
        </w:rPr>
        <w:t xml:space="preserve">Sarode, N., Parris, D. J., Ganesh, S., Seston, S. L., &amp; Stewart, F. J. (2016). Generation and analysis of microbial metatranscriptomes. In </w:t>
      </w:r>
      <w:r w:rsidRPr="00646A4C">
        <w:rPr>
          <w:i/>
          <w:noProof/>
        </w:rPr>
        <w:t xml:space="preserve">Manual of Environmental Microbiology </w:t>
      </w:r>
      <w:r w:rsidRPr="00646A4C">
        <w:rPr>
          <w:noProof/>
        </w:rPr>
        <w:t>(4th ed.; pp. 2.4.5-1</w:t>
      </w:r>
      <w:r>
        <w:rPr>
          <w:noProof/>
        </w:rPr>
        <w:t>–</w:t>
      </w:r>
      <w:r w:rsidRPr="00646A4C">
        <w:rPr>
          <w:noProof/>
        </w:rPr>
        <w:t xml:space="preserve">2.4.5-19). </w:t>
      </w:r>
      <w:r w:rsidRPr="00C950E2">
        <w:rPr>
          <w:rFonts w:eastAsiaTheme="minorHAnsi"/>
          <w:szCs w:val="24"/>
        </w:rPr>
        <w:t xml:space="preserve">Washington, DC: </w:t>
      </w:r>
      <w:r>
        <w:rPr>
          <w:noProof/>
        </w:rPr>
        <w:t>ASM Press</w:t>
      </w:r>
      <w:r w:rsidRPr="00646A4C">
        <w:rPr>
          <w:noProof/>
        </w:rPr>
        <w:t>.</w:t>
      </w:r>
    </w:p>
    <w:p w14:paraId="356BA180" w14:textId="77777777" w:rsidR="001D7D94" w:rsidRPr="00646A4C" w:rsidRDefault="001D7D94" w:rsidP="001D7D94">
      <w:pPr>
        <w:pStyle w:val="EndNoteBibliography"/>
        <w:ind w:left="720" w:hanging="720"/>
        <w:rPr>
          <w:noProof/>
        </w:rPr>
      </w:pPr>
      <w:r w:rsidRPr="00646A4C">
        <w:rPr>
          <w:noProof/>
        </w:rPr>
        <w:t xml:space="preserve">Savage, D. C. (1977). Microbial ecology of the gastrointestinal tract. </w:t>
      </w:r>
      <w:r w:rsidRPr="00646A4C">
        <w:rPr>
          <w:i/>
          <w:noProof/>
        </w:rPr>
        <w:t>Annual Review of Microbiology, 31</w:t>
      </w:r>
      <w:r w:rsidRPr="00646A4C">
        <w:rPr>
          <w:noProof/>
        </w:rPr>
        <w:t>, 107-133. doi:10.1146/annurev.mi.31.100177.000543</w:t>
      </w:r>
    </w:p>
    <w:p w14:paraId="7D1F8C87" w14:textId="77777777" w:rsidR="001D7D94" w:rsidRPr="00646A4C" w:rsidRDefault="001D7D94" w:rsidP="001D7D94">
      <w:pPr>
        <w:pStyle w:val="EndNoteBibliography"/>
        <w:ind w:left="720" w:hanging="720"/>
        <w:rPr>
          <w:noProof/>
        </w:rPr>
      </w:pPr>
      <w:r w:rsidRPr="00646A4C">
        <w:rPr>
          <w:noProof/>
        </w:rPr>
        <w:t xml:space="preserve">Schirmer, M., Smeekens, S. P., Vlamakis, H., Jaeger, M., Oosting, M., Franzosa, E. A., . . . Xavier, R. J. (2016). Linking the human gut microbiome to inflammatory cytokine production capacity. </w:t>
      </w:r>
      <w:r w:rsidRPr="00646A4C">
        <w:rPr>
          <w:i/>
          <w:noProof/>
        </w:rPr>
        <w:t>Cell, 167</w:t>
      </w:r>
      <w:r w:rsidRPr="00646A4C">
        <w:rPr>
          <w:noProof/>
        </w:rPr>
        <w:t>(4), 1125-1136.e1128. doi:10.1016/j.cell.2016.10.020</w:t>
      </w:r>
    </w:p>
    <w:p w14:paraId="3E5F1FDD" w14:textId="77777777" w:rsidR="001D7D94" w:rsidRPr="00646A4C" w:rsidRDefault="001D7D94" w:rsidP="001D7D94">
      <w:pPr>
        <w:pStyle w:val="EndNoteBibliography"/>
        <w:ind w:left="720" w:hanging="720"/>
        <w:rPr>
          <w:noProof/>
        </w:rPr>
      </w:pPr>
      <w:r w:rsidRPr="00646A4C">
        <w:rPr>
          <w:noProof/>
        </w:rPr>
        <w:t>Schloss, P. D., Westcott, S. L., Ryabin, T., Hall, J. R., Hartmann, M., Hollister, E. B., . . . Weber, C. F. (2009). Introducing mothur: Open-source, platform-independent, community-</w:t>
      </w:r>
      <w:r w:rsidRPr="00646A4C">
        <w:rPr>
          <w:noProof/>
        </w:rPr>
        <w:lastRenderedPageBreak/>
        <w:t xml:space="preserve">supported software for describing and comparing microbial communities. </w:t>
      </w:r>
      <w:r w:rsidRPr="00646A4C">
        <w:rPr>
          <w:i/>
          <w:noProof/>
        </w:rPr>
        <w:t>Appl</w:t>
      </w:r>
      <w:r>
        <w:rPr>
          <w:i/>
          <w:noProof/>
        </w:rPr>
        <w:t>ied</w:t>
      </w:r>
      <w:r w:rsidRPr="00646A4C">
        <w:rPr>
          <w:i/>
          <w:noProof/>
        </w:rPr>
        <w:t xml:space="preserve"> Environ</w:t>
      </w:r>
      <w:r>
        <w:rPr>
          <w:i/>
          <w:noProof/>
        </w:rPr>
        <w:t>mental</w:t>
      </w:r>
      <w:r w:rsidRPr="00646A4C">
        <w:rPr>
          <w:i/>
          <w:noProof/>
        </w:rPr>
        <w:t xml:space="preserve"> Microbiol</w:t>
      </w:r>
      <w:r>
        <w:rPr>
          <w:i/>
          <w:noProof/>
        </w:rPr>
        <w:t>ogy</w:t>
      </w:r>
      <w:r w:rsidRPr="00646A4C">
        <w:rPr>
          <w:i/>
          <w:noProof/>
        </w:rPr>
        <w:t>, 75</w:t>
      </w:r>
      <w:r w:rsidRPr="00646A4C">
        <w:rPr>
          <w:noProof/>
        </w:rPr>
        <w:t>(23), 7537-7541. doi:10.1128/aem.01541-09</w:t>
      </w:r>
    </w:p>
    <w:p w14:paraId="62562ED6" w14:textId="77777777" w:rsidR="001D7D94" w:rsidRPr="00646A4C" w:rsidRDefault="001D7D94" w:rsidP="001D7D94">
      <w:pPr>
        <w:pStyle w:val="EndNoteBibliography"/>
        <w:ind w:left="720" w:hanging="720"/>
        <w:rPr>
          <w:noProof/>
        </w:rPr>
      </w:pPr>
      <w:r w:rsidRPr="00646A4C">
        <w:rPr>
          <w:noProof/>
        </w:rPr>
        <w:t xml:space="preserve">Schmidt, T. M., DeLong, E. F., &amp; Pace, N. R. (1991). Analysis of a marine picoplankton community by 16S rRNA gene cloning and sequencing. </w:t>
      </w:r>
      <w:r w:rsidRPr="00646A4C">
        <w:rPr>
          <w:i/>
          <w:noProof/>
        </w:rPr>
        <w:t>J</w:t>
      </w:r>
      <w:r>
        <w:rPr>
          <w:i/>
          <w:noProof/>
        </w:rPr>
        <w:t>ournal of</w:t>
      </w:r>
      <w:r w:rsidRPr="00646A4C">
        <w:rPr>
          <w:i/>
          <w:noProof/>
        </w:rPr>
        <w:t xml:space="preserve"> Bacteriol</w:t>
      </w:r>
      <w:r>
        <w:rPr>
          <w:i/>
          <w:noProof/>
        </w:rPr>
        <w:t>ogy</w:t>
      </w:r>
      <w:r w:rsidRPr="00646A4C">
        <w:rPr>
          <w:i/>
          <w:noProof/>
        </w:rPr>
        <w:t>, 173</w:t>
      </w:r>
      <w:r w:rsidRPr="00646A4C">
        <w:rPr>
          <w:noProof/>
        </w:rPr>
        <w:t xml:space="preserve">(14), 4371-4378. </w:t>
      </w:r>
    </w:p>
    <w:p w14:paraId="1F4FA182" w14:textId="77777777" w:rsidR="001D7D94" w:rsidRPr="00646A4C" w:rsidRDefault="001D7D94" w:rsidP="001D7D94">
      <w:pPr>
        <w:pStyle w:val="EndNoteBibliography"/>
        <w:ind w:left="720" w:hanging="720"/>
        <w:rPr>
          <w:noProof/>
        </w:rPr>
      </w:pPr>
      <w:r w:rsidRPr="00646A4C">
        <w:rPr>
          <w:noProof/>
        </w:rPr>
        <w:t xml:space="preserve">Segata, N., Waldron, L., Ballarini, A., Narasimhan, V., Jousson, O., &amp; Huttenhower, C. (2012). Metagenomic microbial community profiling using unique clade-specific marker genes. </w:t>
      </w:r>
      <w:r w:rsidRPr="00646A4C">
        <w:rPr>
          <w:i/>
          <w:noProof/>
        </w:rPr>
        <w:t>Nature Methods, 9</w:t>
      </w:r>
      <w:r w:rsidRPr="00646A4C">
        <w:rPr>
          <w:noProof/>
        </w:rPr>
        <w:t>(8), 811-814. doi:10.1038/nmeth.2066</w:t>
      </w:r>
    </w:p>
    <w:p w14:paraId="4CF3C2EE" w14:textId="77777777" w:rsidR="001D7D94" w:rsidRPr="00646A4C" w:rsidRDefault="001D7D94" w:rsidP="001D7D94">
      <w:pPr>
        <w:pStyle w:val="EndNoteBibliography"/>
        <w:ind w:left="720" w:hanging="720"/>
        <w:rPr>
          <w:noProof/>
        </w:rPr>
      </w:pPr>
      <w:r w:rsidRPr="00646A4C">
        <w:rPr>
          <w:noProof/>
        </w:rPr>
        <w:t xml:space="preserve">Sender, R., Fuchs, S., &amp; Milo, R. (2016). Revised estimates for the number of human and bacteria cells in the body. </w:t>
      </w:r>
      <w:r w:rsidRPr="00646A4C">
        <w:rPr>
          <w:i/>
          <w:noProof/>
        </w:rPr>
        <w:t>PLoS Biology, 14</w:t>
      </w:r>
      <w:r w:rsidRPr="00646A4C">
        <w:rPr>
          <w:noProof/>
        </w:rPr>
        <w:t>(8), e1002533. doi:10.1371/journal.pbio.1002533</w:t>
      </w:r>
    </w:p>
    <w:p w14:paraId="3E8A01F9" w14:textId="77777777" w:rsidR="001D7D94" w:rsidRPr="00646A4C" w:rsidRDefault="001D7D94" w:rsidP="001D7D94">
      <w:pPr>
        <w:pStyle w:val="EndNoteBibliography"/>
        <w:ind w:left="720" w:hanging="720"/>
        <w:rPr>
          <w:noProof/>
        </w:rPr>
      </w:pPr>
      <w:r w:rsidRPr="00646A4C">
        <w:rPr>
          <w:noProof/>
        </w:rPr>
        <w:t xml:space="preserve">Sergeant, M. J., Constantinidou, C., Cogan, T., Penn, C. W., &amp; Pallen, M. J. (2012). High-throughput sequencing of 16S rRNA gene amplicons: Effects of extraction procedure, primer length and annealing temperature. </w:t>
      </w:r>
      <w:r w:rsidRPr="00646A4C">
        <w:rPr>
          <w:i/>
          <w:noProof/>
        </w:rPr>
        <w:t>PLoS One, 7</w:t>
      </w:r>
      <w:r w:rsidRPr="00646A4C">
        <w:rPr>
          <w:noProof/>
        </w:rPr>
        <w:t>(5), e38094. doi:10.1371/journal.pone.0038094</w:t>
      </w:r>
    </w:p>
    <w:p w14:paraId="4F7A7B4F" w14:textId="77777777" w:rsidR="001D7D94" w:rsidRPr="00646A4C" w:rsidRDefault="001D7D94" w:rsidP="001D7D94">
      <w:pPr>
        <w:pStyle w:val="EndNoteBibliography"/>
        <w:ind w:left="720" w:hanging="720"/>
        <w:rPr>
          <w:noProof/>
        </w:rPr>
      </w:pPr>
      <w:r w:rsidRPr="00646A4C">
        <w:rPr>
          <w:noProof/>
        </w:rPr>
        <w:t xml:space="preserve">Sharpton, T. J. (2014). An introduction to the analysis of shotgun metagenomic data. </w:t>
      </w:r>
      <w:r w:rsidRPr="00646A4C">
        <w:rPr>
          <w:i/>
          <w:noProof/>
        </w:rPr>
        <w:t>Front</w:t>
      </w:r>
      <w:r>
        <w:rPr>
          <w:i/>
          <w:noProof/>
        </w:rPr>
        <w:t>iers in</w:t>
      </w:r>
      <w:r w:rsidRPr="00646A4C">
        <w:rPr>
          <w:i/>
          <w:noProof/>
        </w:rPr>
        <w:t xml:space="preserve"> Plant Sci</w:t>
      </w:r>
      <w:r>
        <w:rPr>
          <w:i/>
          <w:noProof/>
        </w:rPr>
        <w:t>ence</w:t>
      </w:r>
      <w:r w:rsidRPr="00646A4C">
        <w:rPr>
          <w:i/>
          <w:noProof/>
        </w:rPr>
        <w:t>, 5</w:t>
      </w:r>
      <w:r w:rsidRPr="00646A4C">
        <w:rPr>
          <w:noProof/>
        </w:rPr>
        <w:t>, 209. doi:10.3389/fpls.2014.00209</w:t>
      </w:r>
    </w:p>
    <w:p w14:paraId="28D954FA" w14:textId="77777777" w:rsidR="001D7D94" w:rsidRPr="00646A4C" w:rsidRDefault="001D7D94" w:rsidP="001D7D94">
      <w:pPr>
        <w:pStyle w:val="EndNoteBibliography"/>
        <w:ind w:left="720" w:hanging="720"/>
        <w:rPr>
          <w:noProof/>
        </w:rPr>
      </w:pPr>
      <w:r w:rsidRPr="00646A4C">
        <w:rPr>
          <w:noProof/>
        </w:rPr>
        <w:t xml:space="preserve">Sieber, C. M. K., Probst, A. J., Sharrar, A., Thomas, B. C., Hess, M., Tringe, S. G., &amp; Banfield, J. F. (2018). Recovery of genomes from metagenomes via a dereplication, aggregation and scoring strategy. </w:t>
      </w:r>
      <w:r w:rsidRPr="00646A4C">
        <w:rPr>
          <w:i/>
          <w:noProof/>
        </w:rPr>
        <w:t>Nature Microbiology, 3</w:t>
      </w:r>
      <w:r w:rsidRPr="00646A4C">
        <w:rPr>
          <w:noProof/>
        </w:rPr>
        <w:t>(7), 836-843. doi:10.1038/s41564-018-0171-1</w:t>
      </w:r>
    </w:p>
    <w:p w14:paraId="349DB50A" w14:textId="77777777" w:rsidR="001D7D94" w:rsidRPr="00646A4C" w:rsidRDefault="001D7D94" w:rsidP="001D7D94">
      <w:pPr>
        <w:pStyle w:val="EndNoteBibliography"/>
        <w:ind w:left="720" w:hanging="720"/>
        <w:rPr>
          <w:noProof/>
        </w:rPr>
      </w:pPr>
      <w:r w:rsidRPr="00646A4C">
        <w:rPr>
          <w:noProof/>
        </w:rPr>
        <w:t xml:space="preserve">Sonnenburg, J. L., &amp; Backhed, F. (2016). Diet-microbiota interactions as moderators of human metabolism. </w:t>
      </w:r>
      <w:r w:rsidRPr="00646A4C">
        <w:rPr>
          <w:i/>
          <w:noProof/>
        </w:rPr>
        <w:t>Nature, 535</w:t>
      </w:r>
      <w:r w:rsidRPr="00646A4C">
        <w:rPr>
          <w:noProof/>
        </w:rPr>
        <w:t>(7610), 56-64. doi:10.1038/nature18846</w:t>
      </w:r>
    </w:p>
    <w:p w14:paraId="21371FA5" w14:textId="77777777" w:rsidR="001D7D94" w:rsidRPr="00646A4C" w:rsidRDefault="001D7D94" w:rsidP="001D7D94">
      <w:pPr>
        <w:pStyle w:val="EndNoteBibliography"/>
        <w:ind w:left="720" w:hanging="720"/>
        <w:rPr>
          <w:noProof/>
        </w:rPr>
      </w:pPr>
      <w:r w:rsidRPr="00646A4C">
        <w:rPr>
          <w:noProof/>
        </w:rPr>
        <w:lastRenderedPageBreak/>
        <w:t xml:space="preserve">Stackebrandt, E., &amp; Goebel, B. (1994). Taxonomic note: A place for DNA-DNA reassociation and 16S rRNA sequence analysis in the present species definition in bacteriology. </w:t>
      </w:r>
      <w:r w:rsidRPr="00646A4C">
        <w:rPr>
          <w:i/>
          <w:noProof/>
        </w:rPr>
        <w:t>International Journal of Systematic and Evolutionary Microbiology, 44</w:t>
      </w:r>
      <w:r w:rsidRPr="00646A4C">
        <w:rPr>
          <w:noProof/>
        </w:rPr>
        <w:t xml:space="preserve">(4), 846-849. </w:t>
      </w:r>
    </w:p>
    <w:p w14:paraId="5AC5BCB4" w14:textId="77777777" w:rsidR="001D7D94" w:rsidRPr="00646A4C" w:rsidRDefault="001D7D94" w:rsidP="001D7D94">
      <w:pPr>
        <w:pStyle w:val="EndNoteBibliography"/>
        <w:ind w:left="720" w:hanging="720"/>
        <w:rPr>
          <w:noProof/>
        </w:rPr>
      </w:pPr>
      <w:r w:rsidRPr="00646A4C">
        <w:rPr>
          <w:noProof/>
        </w:rPr>
        <w:t xml:space="preserve">Staley, J. T., &amp; Konopka, A. (1985). Measurement of in situ activities of nonphotosynthetic microorganisms in aquatic and terrestrial habitats. </w:t>
      </w:r>
      <w:r w:rsidRPr="00646A4C">
        <w:rPr>
          <w:i/>
          <w:noProof/>
        </w:rPr>
        <w:t>Annu</w:t>
      </w:r>
      <w:r>
        <w:rPr>
          <w:i/>
          <w:noProof/>
        </w:rPr>
        <w:t>al</w:t>
      </w:r>
      <w:r w:rsidRPr="00646A4C">
        <w:rPr>
          <w:i/>
          <w:noProof/>
        </w:rPr>
        <w:t xml:space="preserve"> Rev</w:t>
      </w:r>
      <w:r>
        <w:rPr>
          <w:i/>
          <w:noProof/>
        </w:rPr>
        <w:t>iew of</w:t>
      </w:r>
      <w:r w:rsidRPr="00646A4C">
        <w:rPr>
          <w:i/>
          <w:noProof/>
        </w:rPr>
        <w:t xml:space="preserve"> Microbiol</w:t>
      </w:r>
      <w:r>
        <w:rPr>
          <w:i/>
          <w:noProof/>
        </w:rPr>
        <w:t>ogy</w:t>
      </w:r>
      <w:r w:rsidRPr="00646A4C">
        <w:rPr>
          <w:i/>
          <w:noProof/>
        </w:rPr>
        <w:t>, 39</w:t>
      </w:r>
      <w:r w:rsidRPr="00646A4C">
        <w:rPr>
          <w:noProof/>
        </w:rPr>
        <w:t>, 321-346. doi:10.1146/annurev.mi.39.100185.001541</w:t>
      </w:r>
    </w:p>
    <w:p w14:paraId="6EE53555" w14:textId="77777777" w:rsidR="001D7D94" w:rsidRPr="00646A4C" w:rsidRDefault="001D7D94" w:rsidP="001D7D94">
      <w:pPr>
        <w:pStyle w:val="EndNoteBibliography"/>
        <w:ind w:left="720" w:hanging="720"/>
        <w:rPr>
          <w:noProof/>
        </w:rPr>
      </w:pPr>
      <w:r w:rsidRPr="00646A4C">
        <w:rPr>
          <w:noProof/>
        </w:rPr>
        <w:t xml:space="preserve">Stamper, C. E., Hoisington, A. J., Gomez, O. M., Halweg-Edwards, A. L., Smith, D. G., Bates, K. L., . . . Lowry, C. A. (2016). The microbiome of the built environment and human behavior: Implications for emotional health and well-being in postmodern Western societies. </w:t>
      </w:r>
      <w:r w:rsidRPr="00646A4C">
        <w:rPr>
          <w:i/>
          <w:noProof/>
        </w:rPr>
        <w:t>Int</w:t>
      </w:r>
      <w:r>
        <w:rPr>
          <w:i/>
          <w:noProof/>
        </w:rPr>
        <w:t>ernational</w:t>
      </w:r>
      <w:r w:rsidRPr="00646A4C">
        <w:rPr>
          <w:i/>
          <w:noProof/>
        </w:rPr>
        <w:t xml:space="preserve"> Rev</w:t>
      </w:r>
      <w:r>
        <w:rPr>
          <w:i/>
          <w:noProof/>
        </w:rPr>
        <w:t>iew of</w:t>
      </w:r>
      <w:r w:rsidRPr="00646A4C">
        <w:rPr>
          <w:i/>
          <w:noProof/>
        </w:rPr>
        <w:t xml:space="preserve"> Neurobiol</w:t>
      </w:r>
      <w:r>
        <w:rPr>
          <w:i/>
          <w:noProof/>
        </w:rPr>
        <w:t>ogy</w:t>
      </w:r>
      <w:r w:rsidRPr="00646A4C">
        <w:rPr>
          <w:i/>
          <w:noProof/>
        </w:rPr>
        <w:t>, 131</w:t>
      </w:r>
      <w:r w:rsidRPr="00646A4C">
        <w:rPr>
          <w:noProof/>
        </w:rPr>
        <w:t>, 289-323. doi:10.1016/bs.irn.2016.07.006</w:t>
      </w:r>
    </w:p>
    <w:p w14:paraId="6A3BE5F4" w14:textId="77777777" w:rsidR="001D7D94" w:rsidRPr="00646A4C" w:rsidRDefault="001D7D94" w:rsidP="001D7D94">
      <w:pPr>
        <w:pStyle w:val="EndNoteBibliography"/>
        <w:ind w:left="720" w:hanging="720"/>
        <w:rPr>
          <w:noProof/>
        </w:rPr>
      </w:pPr>
      <w:r w:rsidRPr="00646A4C">
        <w:rPr>
          <w:noProof/>
        </w:rPr>
        <w:t xml:space="preserve">Stewart, F. J., Ottesen, E. A., &amp; DeLong, E. F. (2010). Development and quantitative analyses of a universal rRNA-subtraction protocol for microbial metatranscriptomics. </w:t>
      </w:r>
      <w:r w:rsidRPr="00646A4C">
        <w:rPr>
          <w:i/>
          <w:noProof/>
        </w:rPr>
        <w:t>I</w:t>
      </w:r>
      <w:r>
        <w:rPr>
          <w:i/>
          <w:noProof/>
        </w:rPr>
        <w:t>SME Journal</w:t>
      </w:r>
      <w:r w:rsidRPr="00646A4C">
        <w:rPr>
          <w:i/>
          <w:noProof/>
        </w:rPr>
        <w:t>, 4</w:t>
      </w:r>
      <w:r w:rsidRPr="00646A4C">
        <w:rPr>
          <w:noProof/>
        </w:rPr>
        <w:t>(7), 896-907. doi:10.1038/ismej.2010.18</w:t>
      </w:r>
    </w:p>
    <w:p w14:paraId="16F1A705" w14:textId="77777777" w:rsidR="001D7D94" w:rsidRPr="00646A4C" w:rsidRDefault="001D7D94" w:rsidP="001D7D94">
      <w:pPr>
        <w:pStyle w:val="EndNoteBibliography"/>
        <w:ind w:left="720" w:hanging="720"/>
        <w:rPr>
          <w:noProof/>
        </w:rPr>
      </w:pPr>
      <w:r w:rsidRPr="00646A4C">
        <w:rPr>
          <w:noProof/>
        </w:rPr>
        <w:t xml:space="preserve">Tamboli, C. P., Neut, C., Desreumaux, P., &amp; Colombel, J. F. (2004). Dysbiosis in inflammatory bowel disease. </w:t>
      </w:r>
      <w:r w:rsidRPr="00646A4C">
        <w:rPr>
          <w:i/>
          <w:noProof/>
        </w:rPr>
        <w:t>Gut, 53</w:t>
      </w:r>
      <w:r w:rsidRPr="00646A4C">
        <w:rPr>
          <w:noProof/>
        </w:rPr>
        <w:t xml:space="preserve">(1), 1-4. </w:t>
      </w:r>
    </w:p>
    <w:p w14:paraId="4FA13B70" w14:textId="77777777" w:rsidR="001D7D94" w:rsidRPr="00646A4C" w:rsidRDefault="001D7D94" w:rsidP="001D7D94">
      <w:pPr>
        <w:pStyle w:val="EndNoteBibliography"/>
        <w:ind w:left="720" w:hanging="720"/>
        <w:rPr>
          <w:noProof/>
        </w:rPr>
      </w:pPr>
      <w:r w:rsidRPr="00646A4C">
        <w:rPr>
          <w:noProof/>
        </w:rPr>
        <w:t xml:space="preserve">Tankou, S. K., Regev, K., Healy, B. C., Tjon, E., Laghi, L., Cox, L. M., . . . Weiner, H. L. (2018). A probiotic modulates the microbiome and immunity in multiple sclerosis. </w:t>
      </w:r>
      <w:r w:rsidRPr="00646A4C">
        <w:rPr>
          <w:i/>
          <w:noProof/>
        </w:rPr>
        <w:t>Annals of Neurology</w:t>
      </w:r>
      <w:r>
        <w:rPr>
          <w:i/>
          <w:noProof/>
        </w:rPr>
        <w:t xml:space="preserve">, </w:t>
      </w:r>
      <w:r w:rsidRPr="00466ECF">
        <w:rPr>
          <w:i/>
          <w:noProof/>
        </w:rPr>
        <w:t>83</w:t>
      </w:r>
      <w:r>
        <w:rPr>
          <w:noProof/>
        </w:rPr>
        <w:t>(6), 1147-1161.</w:t>
      </w:r>
      <w:r w:rsidRPr="00646A4C">
        <w:rPr>
          <w:noProof/>
        </w:rPr>
        <w:t xml:space="preserve"> doi:10.1002/ana.25244</w:t>
      </w:r>
    </w:p>
    <w:p w14:paraId="7772229B" w14:textId="77777777" w:rsidR="001D7D94" w:rsidRPr="00646A4C" w:rsidRDefault="001D7D94" w:rsidP="001D7D94">
      <w:pPr>
        <w:pStyle w:val="EndNoteBibliography"/>
        <w:ind w:left="720" w:hanging="720"/>
        <w:rPr>
          <w:noProof/>
        </w:rPr>
      </w:pPr>
      <w:r w:rsidRPr="00646A4C">
        <w:rPr>
          <w:noProof/>
        </w:rPr>
        <w:t xml:space="preserve">Thomas, T., Gilbert, J., &amp; Meyer, F. (2012). Metagenomics—a guide from sampling to data analysis. </w:t>
      </w:r>
      <w:r w:rsidRPr="00646A4C">
        <w:rPr>
          <w:i/>
          <w:noProof/>
        </w:rPr>
        <w:t>Microb</w:t>
      </w:r>
      <w:r>
        <w:rPr>
          <w:i/>
          <w:noProof/>
        </w:rPr>
        <w:t>ial</w:t>
      </w:r>
      <w:r w:rsidRPr="00646A4C">
        <w:rPr>
          <w:i/>
          <w:noProof/>
        </w:rPr>
        <w:t xml:space="preserve"> Inform</w:t>
      </w:r>
      <w:r>
        <w:rPr>
          <w:i/>
          <w:noProof/>
        </w:rPr>
        <w:t>atics and</w:t>
      </w:r>
      <w:r w:rsidRPr="00646A4C">
        <w:rPr>
          <w:i/>
          <w:noProof/>
        </w:rPr>
        <w:t xml:space="preserve"> Exp</w:t>
      </w:r>
      <w:r>
        <w:rPr>
          <w:i/>
          <w:noProof/>
        </w:rPr>
        <w:t>erimentation</w:t>
      </w:r>
      <w:r w:rsidRPr="00646A4C">
        <w:rPr>
          <w:i/>
          <w:noProof/>
        </w:rPr>
        <w:t>, 2</w:t>
      </w:r>
      <w:r w:rsidRPr="00646A4C">
        <w:rPr>
          <w:noProof/>
        </w:rPr>
        <w:t>(1), 3. doi:10.1186/2042-5783-2-3</w:t>
      </w:r>
    </w:p>
    <w:p w14:paraId="70A69C3A" w14:textId="77777777" w:rsidR="001D7D94" w:rsidRPr="00646A4C" w:rsidRDefault="001D7D94" w:rsidP="001D7D94">
      <w:pPr>
        <w:pStyle w:val="EndNoteBibliography"/>
        <w:ind w:left="720" w:hanging="720"/>
        <w:rPr>
          <w:noProof/>
        </w:rPr>
      </w:pPr>
      <w:r w:rsidRPr="00646A4C">
        <w:rPr>
          <w:noProof/>
        </w:rPr>
        <w:t xml:space="preserve">Tighe, S., Afshinnekoo, E., Rock, T. M., McGrath, K., Alexander, N., McIntyre, A., . . . Mason, C. E. (2017). Genomic methods and microbiological technologies for profiling novel and </w:t>
      </w:r>
      <w:r w:rsidRPr="00646A4C">
        <w:rPr>
          <w:noProof/>
        </w:rPr>
        <w:lastRenderedPageBreak/>
        <w:t xml:space="preserve">extreme environments for the extreme microbiome project (XMP). </w:t>
      </w:r>
      <w:r w:rsidRPr="00646A4C">
        <w:rPr>
          <w:i/>
          <w:noProof/>
        </w:rPr>
        <w:t>J</w:t>
      </w:r>
      <w:r>
        <w:rPr>
          <w:i/>
          <w:noProof/>
        </w:rPr>
        <w:t>ournal of</w:t>
      </w:r>
      <w:r w:rsidRPr="00646A4C">
        <w:rPr>
          <w:i/>
          <w:noProof/>
        </w:rPr>
        <w:t xml:space="preserve"> Biomol</w:t>
      </w:r>
      <w:r>
        <w:rPr>
          <w:i/>
          <w:noProof/>
        </w:rPr>
        <w:t>ecular</w:t>
      </w:r>
      <w:r w:rsidRPr="00646A4C">
        <w:rPr>
          <w:i/>
          <w:noProof/>
        </w:rPr>
        <w:t xml:space="preserve"> Tech</w:t>
      </w:r>
      <w:r>
        <w:rPr>
          <w:i/>
          <w:noProof/>
        </w:rPr>
        <w:t>niques</w:t>
      </w:r>
      <w:r w:rsidRPr="00646A4C">
        <w:rPr>
          <w:i/>
          <w:noProof/>
        </w:rPr>
        <w:t>, 28</w:t>
      </w:r>
      <w:r w:rsidRPr="00646A4C">
        <w:rPr>
          <w:noProof/>
        </w:rPr>
        <w:t>(1), 31-39. doi:10.7171/jbt.17-2801-004</w:t>
      </w:r>
    </w:p>
    <w:p w14:paraId="42C44A17" w14:textId="77777777" w:rsidR="001D7D94" w:rsidRPr="00646A4C" w:rsidRDefault="001D7D94" w:rsidP="001D7D94">
      <w:pPr>
        <w:pStyle w:val="EndNoteBibliography"/>
        <w:ind w:left="720" w:hanging="720"/>
        <w:rPr>
          <w:noProof/>
        </w:rPr>
      </w:pPr>
      <w:r w:rsidRPr="00646A4C">
        <w:rPr>
          <w:noProof/>
        </w:rPr>
        <w:t xml:space="preserve">Ursell, L. K., Metcalf, J. L., Parfrey, L. W., &amp; Knight, R. (2012). Defining the human microbiome. </w:t>
      </w:r>
      <w:r w:rsidRPr="00646A4C">
        <w:rPr>
          <w:i/>
          <w:noProof/>
        </w:rPr>
        <w:t>Nutr</w:t>
      </w:r>
      <w:r>
        <w:rPr>
          <w:i/>
          <w:noProof/>
        </w:rPr>
        <w:t>ition</w:t>
      </w:r>
      <w:r w:rsidRPr="00646A4C">
        <w:rPr>
          <w:i/>
          <w:noProof/>
        </w:rPr>
        <w:t xml:space="preserve"> Rev</w:t>
      </w:r>
      <w:r>
        <w:rPr>
          <w:i/>
          <w:noProof/>
        </w:rPr>
        <w:t>iews</w:t>
      </w:r>
      <w:r w:rsidRPr="00646A4C">
        <w:rPr>
          <w:i/>
          <w:noProof/>
        </w:rPr>
        <w:t xml:space="preserve">, 70 </w:t>
      </w:r>
      <w:r w:rsidRPr="00646A4C">
        <w:rPr>
          <w:noProof/>
        </w:rPr>
        <w:t>(Suppl 1), S38-44. doi:10.1111/j.1753-4887.2012.00493.x</w:t>
      </w:r>
    </w:p>
    <w:p w14:paraId="7F5B3948" w14:textId="77777777" w:rsidR="001D7D94" w:rsidRPr="00646A4C" w:rsidRDefault="001D7D94" w:rsidP="001D7D94">
      <w:pPr>
        <w:pStyle w:val="EndNoteBibliography"/>
        <w:ind w:left="720" w:hanging="720"/>
        <w:rPr>
          <w:noProof/>
        </w:rPr>
      </w:pPr>
      <w:r w:rsidRPr="00646A4C">
        <w:rPr>
          <w:noProof/>
        </w:rPr>
        <w:t xml:space="preserve">Vogt, N. M., Kerby, R. L., Dill-McFarland, K. A., Harding, S. J., Merluzzi, A. P., Johnson, S. C., . . . Rey, F. E. (2017). Gut microbiome alterations in Alzheimer's disease. </w:t>
      </w:r>
      <w:r w:rsidRPr="00646A4C">
        <w:rPr>
          <w:i/>
          <w:noProof/>
        </w:rPr>
        <w:t>Sci</w:t>
      </w:r>
      <w:r>
        <w:rPr>
          <w:i/>
          <w:noProof/>
        </w:rPr>
        <w:t>entific</w:t>
      </w:r>
      <w:r w:rsidRPr="00646A4C">
        <w:rPr>
          <w:i/>
          <w:noProof/>
        </w:rPr>
        <w:t xml:space="preserve"> Rep</w:t>
      </w:r>
      <w:r>
        <w:rPr>
          <w:i/>
          <w:noProof/>
        </w:rPr>
        <w:t>orts</w:t>
      </w:r>
      <w:r w:rsidRPr="00646A4C">
        <w:rPr>
          <w:i/>
          <w:noProof/>
        </w:rPr>
        <w:t>, 7</w:t>
      </w:r>
      <w:r w:rsidRPr="00646A4C">
        <w:rPr>
          <w:noProof/>
        </w:rPr>
        <w:t>(1), 13537. doi:10.1038/s41598-017-13601-y</w:t>
      </w:r>
    </w:p>
    <w:p w14:paraId="69B172B2" w14:textId="77777777" w:rsidR="001D7D94" w:rsidRPr="00646A4C" w:rsidRDefault="001D7D94" w:rsidP="001D7D94">
      <w:pPr>
        <w:pStyle w:val="EndNoteBibliography"/>
        <w:ind w:left="720" w:hanging="720"/>
        <w:rPr>
          <w:noProof/>
        </w:rPr>
      </w:pPr>
      <w:r w:rsidRPr="00646A4C">
        <w:rPr>
          <w:noProof/>
        </w:rPr>
        <w:t xml:space="preserve">Vogtmann, E., Chen, J., Amir, A., Shi, J., Abnet, C. C., Nelson, H., . . . Sinha, R. (2017). Comparison of collection methods for fecal samples in microbiome studies. </w:t>
      </w:r>
      <w:r w:rsidRPr="00646A4C">
        <w:rPr>
          <w:i/>
          <w:noProof/>
        </w:rPr>
        <w:t>American Journal of Epidemiology, 185</w:t>
      </w:r>
      <w:r w:rsidRPr="00646A4C">
        <w:rPr>
          <w:noProof/>
        </w:rPr>
        <w:t>(2), 115-123. doi:10.1093/aje/kww177</w:t>
      </w:r>
    </w:p>
    <w:p w14:paraId="5789F419" w14:textId="77777777" w:rsidR="001D7D94" w:rsidRPr="00646A4C" w:rsidRDefault="001D7D94" w:rsidP="001D7D94">
      <w:pPr>
        <w:pStyle w:val="EndNoteBibliography"/>
        <w:ind w:left="720" w:hanging="720"/>
        <w:rPr>
          <w:noProof/>
        </w:rPr>
      </w:pPr>
      <w:r w:rsidRPr="00646A4C">
        <w:rPr>
          <w:noProof/>
        </w:rPr>
        <w:t xml:space="preserve">Warnecke, F., &amp; Hess, M. (2009). A perspective: Metatranscriptomics as a tool for the discovery of novel biocatalysts. </w:t>
      </w:r>
      <w:r w:rsidRPr="00646A4C">
        <w:rPr>
          <w:i/>
          <w:noProof/>
        </w:rPr>
        <w:t>Journal of Biotechnology, 142</w:t>
      </w:r>
      <w:r w:rsidRPr="00646A4C">
        <w:rPr>
          <w:noProof/>
        </w:rPr>
        <w:t>(1), 91-95. doi:10.1016/j.jbiotec.2009.03.022</w:t>
      </w:r>
    </w:p>
    <w:p w14:paraId="62665053" w14:textId="77777777" w:rsidR="001D7D94" w:rsidRPr="00646A4C" w:rsidRDefault="001D7D94" w:rsidP="001D7D94">
      <w:pPr>
        <w:pStyle w:val="EndNoteBibliography"/>
        <w:ind w:left="720" w:hanging="720"/>
        <w:rPr>
          <w:noProof/>
        </w:rPr>
      </w:pPr>
      <w:r w:rsidRPr="00646A4C">
        <w:rPr>
          <w:noProof/>
        </w:rPr>
        <w:t xml:space="preserve">Weber, P. C., Ohlendorf, D. H., Wendoloski, J. J., &amp; Salemme, F. R. (1989). Structural origins of high-affinity biotin binding to streptavidin. </w:t>
      </w:r>
      <w:r w:rsidRPr="00646A4C">
        <w:rPr>
          <w:i/>
          <w:noProof/>
        </w:rPr>
        <w:t>Science, 243</w:t>
      </w:r>
      <w:r w:rsidRPr="00646A4C">
        <w:rPr>
          <w:noProof/>
        </w:rPr>
        <w:t xml:space="preserve">(4887), 85-88. </w:t>
      </w:r>
    </w:p>
    <w:p w14:paraId="0A2479EA" w14:textId="77777777" w:rsidR="001D7D94" w:rsidRPr="00646A4C" w:rsidRDefault="001D7D94" w:rsidP="001D7D94">
      <w:pPr>
        <w:pStyle w:val="EndNoteBibliography"/>
        <w:ind w:left="720" w:hanging="720"/>
        <w:rPr>
          <w:noProof/>
        </w:rPr>
      </w:pPr>
      <w:r w:rsidRPr="00646A4C">
        <w:rPr>
          <w:noProof/>
        </w:rPr>
        <w:t xml:space="preserve">Wei, B., Wingender, G., Fujiwara, D., Chen, D. Y., McPherson, M., Brewer, S., . . . Braun, J. (2010). Commensal microbiota and CD8+ T cells shape the formation of invariant NKT cells. </w:t>
      </w:r>
      <w:r w:rsidRPr="00646A4C">
        <w:rPr>
          <w:i/>
          <w:noProof/>
        </w:rPr>
        <w:t>Journal of Immunology, 184</w:t>
      </w:r>
      <w:r w:rsidRPr="00646A4C">
        <w:rPr>
          <w:noProof/>
        </w:rPr>
        <w:t>(3), 1218-1226. doi:10.4049/jimmunol.0902620</w:t>
      </w:r>
    </w:p>
    <w:p w14:paraId="3465BFDA" w14:textId="77777777" w:rsidR="001D7D94" w:rsidRPr="00646A4C" w:rsidRDefault="001D7D94" w:rsidP="001D7D94">
      <w:pPr>
        <w:pStyle w:val="EndNoteBibliography"/>
        <w:ind w:left="720" w:hanging="720"/>
        <w:rPr>
          <w:noProof/>
        </w:rPr>
      </w:pPr>
      <w:r w:rsidRPr="00646A4C">
        <w:rPr>
          <w:noProof/>
        </w:rPr>
        <w:t xml:space="preserve">Woese, C. R., &amp; Fox, G. E. (1977). Phylogenetic structure of the prokaryotic domain: The primary kingdoms. </w:t>
      </w:r>
      <w:r w:rsidRPr="00646A4C">
        <w:rPr>
          <w:i/>
          <w:noProof/>
        </w:rPr>
        <w:t>Proceedings of the National Academy of Sciences of the USA, 74</w:t>
      </w:r>
      <w:r w:rsidRPr="00646A4C">
        <w:rPr>
          <w:noProof/>
        </w:rPr>
        <w:t xml:space="preserve">(11), 5088-5090. </w:t>
      </w:r>
    </w:p>
    <w:p w14:paraId="3E7DF0BA" w14:textId="77777777" w:rsidR="001D7D94" w:rsidRPr="00646A4C" w:rsidRDefault="001D7D94" w:rsidP="001D7D94">
      <w:pPr>
        <w:pStyle w:val="EndNoteBibliography"/>
        <w:ind w:left="720" w:hanging="720"/>
        <w:rPr>
          <w:noProof/>
        </w:rPr>
      </w:pPr>
      <w:r w:rsidRPr="00646A4C">
        <w:rPr>
          <w:noProof/>
        </w:rPr>
        <w:lastRenderedPageBreak/>
        <w:t xml:space="preserve">Wolf, R. L., Zybert, P., Brouse, C. H., Neugut, A. I., Shea, S., Gibson, G., . . . Basch, C. E. (2001). Knowledge, beliefs, and barriers relevant to colorectal cancer screening in an urban population: A pilot study. </w:t>
      </w:r>
      <w:r w:rsidRPr="00646A4C">
        <w:rPr>
          <w:i/>
          <w:noProof/>
        </w:rPr>
        <w:t>Fam</w:t>
      </w:r>
      <w:r>
        <w:rPr>
          <w:i/>
          <w:noProof/>
        </w:rPr>
        <w:t>ily &amp;</w:t>
      </w:r>
      <w:r w:rsidRPr="00646A4C">
        <w:rPr>
          <w:i/>
          <w:noProof/>
        </w:rPr>
        <w:t xml:space="preserve"> Community Health, 24</w:t>
      </w:r>
      <w:r w:rsidRPr="00646A4C">
        <w:rPr>
          <w:noProof/>
        </w:rPr>
        <w:t xml:space="preserve">(3), 34-47. </w:t>
      </w:r>
    </w:p>
    <w:p w14:paraId="0088E3F2" w14:textId="77777777" w:rsidR="001D7D94" w:rsidRPr="00646A4C" w:rsidRDefault="001D7D94" w:rsidP="001D7D94">
      <w:pPr>
        <w:pStyle w:val="EndNoteBibliography"/>
        <w:ind w:left="720" w:hanging="720"/>
        <w:rPr>
          <w:noProof/>
        </w:rPr>
      </w:pPr>
      <w:r w:rsidRPr="00646A4C">
        <w:rPr>
          <w:noProof/>
        </w:rPr>
        <w:t xml:space="preserve">Xiong, X., Frank, D. N., Robertson, C. E., Hung, S. S., Markle, J., Canty, A. J., . . . Parkinson, J. (2012). Generation and analysis of a mouse intestinal metatranscriptome through Illumina based RNA-sequencing. </w:t>
      </w:r>
      <w:r w:rsidRPr="00646A4C">
        <w:rPr>
          <w:i/>
          <w:noProof/>
        </w:rPr>
        <w:t>PLoS One, 7</w:t>
      </w:r>
      <w:r w:rsidRPr="00646A4C">
        <w:rPr>
          <w:noProof/>
        </w:rPr>
        <w:t>(4), e36009. doi:10.1371/journal.pone.0036009</w:t>
      </w:r>
    </w:p>
    <w:p w14:paraId="1E9D5C42" w14:textId="77777777" w:rsidR="001D7D94" w:rsidRPr="00646A4C" w:rsidRDefault="001D7D94" w:rsidP="001D7D94">
      <w:pPr>
        <w:pStyle w:val="EndNoteBibliography"/>
        <w:ind w:left="720" w:hanging="720"/>
        <w:rPr>
          <w:noProof/>
        </w:rPr>
      </w:pPr>
      <w:r w:rsidRPr="00646A4C">
        <w:rPr>
          <w:noProof/>
        </w:rPr>
        <w:t xml:space="preserve">Yan, Z., Gao, X. J., Li, T., Wei, B., Wang, P., Yang, Y., &amp; Yan, R. (2018). Fecal microbiota transplantation in experimental ulcerative colitis reveals associated gut microbial and host metabolic reprogramming. </w:t>
      </w:r>
      <w:r w:rsidRPr="00646A4C">
        <w:rPr>
          <w:i/>
          <w:noProof/>
        </w:rPr>
        <w:t>Appl</w:t>
      </w:r>
      <w:r>
        <w:rPr>
          <w:i/>
          <w:noProof/>
        </w:rPr>
        <w:t>ied and</w:t>
      </w:r>
      <w:r w:rsidRPr="00646A4C">
        <w:rPr>
          <w:i/>
          <w:noProof/>
        </w:rPr>
        <w:t xml:space="preserve"> Environ</w:t>
      </w:r>
      <w:r>
        <w:rPr>
          <w:i/>
          <w:noProof/>
        </w:rPr>
        <w:t>mental</w:t>
      </w:r>
      <w:r w:rsidRPr="00646A4C">
        <w:rPr>
          <w:i/>
          <w:noProof/>
        </w:rPr>
        <w:t xml:space="preserve"> Microbiol</w:t>
      </w:r>
      <w:r>
        <w:rPr>
          <w:i/>
          <w:noProof/>
        </w:rPr>
        <w:t>ogy,</w:t>
      </w:r>
      <w:r>
        <w:rPr>
          <w:noProof/>
        </w:rPr>
        <w:t xml:space="preserve"> </w:t>
      </w:r>
      <w:r w:rsidRPr="00466ECF">
        <w:rPr>
          <w:i/>
          <w:noProof/>
        </w:rPr>
        <w:t>84</w:t>
      </w:r>
      <w:r w:rsidRPr="0039395E">
        <w:rPr>
          <w:noProof/>
        </w:rPr>
        <w:t xml:space="preserve">(14), 1-11. </w:t>
      </w:r>
      <w:r w:rsidRPr="00646A4C">
        <w:rPr>
          <w:noProof/>
        </w:rPr>
        <w:t xml:space="preserve"> doi:10.1128/aem.00434-18</w:t>
      </w:r>
    </w:p>
    <w:p w14:paraId="15E9234D" w14:textId="77777777" w:rsidR="001D7D94" w:rsidRPr="00646A4C" w:rsidRDefault="001D7D94" w:rsidP="001D7D94">
      <w:pPr>
        <w:pStyle w:val="EndNoteBibliography"/>
        <w:ind w:left="720" w:hanging="720"/>
        <w:rPr>
          <w:noProof/>
        </w:rPr>
      </w:pPr>
      <w:r w:rsidRPr="00646A4C">
        <w:rPr>
          <w:noProof/>
        </w:rPr>
        <w:t xml:space="preserve">Yang, B., Wang, Y., &amp; Qian, P. Y. (2016). Sensitivity and correlation of hypervariable regions in 16S rRNA genes in phylogenetic analysis. </w:t>
      </w:r>
      <w:r w:rsidRPr="00646A4C">
        <w:rPr>
          <w:i/>
          <w:noProof/>
        </w:rPr>
        <w:t>BMC Bioinformatics, 17</w:t>
      </w:r>
      <w:r w:rsidRPr="00646A4C">
        <w:rPr>
          <w:noProof/>
        </w:rPr>
        <w:t>, 135. doi:10.1186/s12859-016-0992-y</w:t>
      </w:r>
    </w:p>
    <w:p w14:paraId="2BFBFF5A" w14:textId="77777777" w:rsidR="001D7D94" w:rsidRPr="00646A4C" w:rsidRDefault="001D7D94" w:rsidP="001D7D94">
      <w:pPr>
        <w:pStyle w:val="EndNoteBibliography"/>
        <w:ind w:left="720" w:hanging="720"/>
        <w:rPr>
          <w:noProof/>
        </w:rPr>
      </w:pPr>
      <w:r w:rsidRPr="00646A4C">
        <w:rPr>
          <w:noProof/>
        </w:rPr>
        <w:t xml:space="preserve">Yang, T., &amp; Zubcevic, J. (2017). Gut-brain axis in regulation of blood pressure. </w:t>
      </w:r>
      <w:r w:rsidRPr="00646A4C">
        <w:rPr>
          <w:i/>
          <w:noProof/>
        </w:rPr>
        <w:t>Front</w:t>
      </w:r>
      <w:r>
        <w:rPr>
          <w:i/>
          <w:noProof/>
        </w:rPr>
        <w:t>iers in</w:t>
      </w:r>
      <w:r w:rsidRPr="00646A4C">
        <w:rPr>
          <w:i/>
          <w:noProof/>
        </w:rPr>
        <w:t xml:space="preserve"> Physiol</w:t>
      </w:r>
      <w:r>
        <w:rPr>
          <w:i/>
          <w:noProof/>
        </w:rPr>
        <w:t>ogy</w:t>
      </w:r>
      <w:r w:rsidRPr="00646A4C">
        <w:rPr>
          <w:i/>
          <w:noProof/>
        </w:rPr>
        <w:t>, 8</w:t>
      </w:r>
      <w:r w:rsidRPr="00646A4C">
        <w:rPr>
          <w:noProof/>
        </w:rPr>
        <w:t>, 845. doi:10.3389/fphys.2017.00845</w:t>
      </w:r>
    </w:p>
    <w:p w14:paraId="7D7FEEA1" w14:textId="77777777" w:rsidR="001D7D94" w:rsidRPr="00646A4C" w:rsidRDefault="001D7D94" w:rsidP="001D7D94">
      <w:pPr>
        <w:pStyle w:val="EndNoteBibliography"/>
        <w:ind w:left="720" w:hanging="720"/>
        <w:rPr>
          <w:noProof/>
        </w:rPr>
      </w:pPr>
      <w:r w:rsidRPr="00646A4C">
        <w:rPr>
          <w:noProof/>
        </w:rPr>
        <w:t xml:space="preserve">Zeigler, D. R. (2003). Gene sequences useful for predicting relatedness of whole genomes in bacteria. </w:t>
      </w:r>
      <w:r w:rsidRPr="00646A4C">
        <w:rPr>
          <w:i/>
          <w:noProof/>
        </w:rPr>
        <w:t>Int</w:t>
      </w:r>
      <w:r>
        <w:rPr>
          <w:i/>
          <w:noProof/>
        </w:rPr>
        <w:t>ernational</w:t>
      </w:r>
      <w:r w:rsidRPr="00646A4C">
        <w:rPr>
          <w:i/>
          <w:noProof/>
        </w:rPr>
        <w:t xml:space="preserve"> J</w:t>
      </w:r>
      <w:r>
        <w:rPr>
          <w:i/>
          <w:noProof/>
        </w:rPr>
        <w:t>ournal of</w:t>
      </w:r>
      <w:r w:rsidRPr="00646A4C">
        <w:rPr>
          <w:i/>
          <w:noProof/>
        </w:rPr>
        <w:t xml:space="preserve"> Syst</w:t>
      </w:r>
      <w:r>
        <w:rPr>
          <w:i/>
          <w:noProof/>
        </w:rPr>
        <w:t>emic and</w:t>
      </w:r>
      <w:r w:rsidRPr="00646A4C">
        <w:rPr>
          <w:i/>
          <w:noProof/>
        </w:rPr>
        <w:t xml:space="preserve"> Evol</w:t>
      </w:r>
      <w:r>
        <w:rPr>
          <w:i/>
          <w:noProof/>
        </w:rPr>
        <w:t>utionary</w:t>
      </w:r>
      <w:r w:rsidRPr="00646A4C">
        <w:rPr>
          <w:i/>
          <w:noProof/>
        </w:rPr>
        <w:t xml:space="preserve"> Microbiol</w:t>
      </w:r>
      <w:r>
        <w:rPr>
          <w:i/>
          <w:noProof/>
        </w:rPr>
        <w:t>ogy</w:t>
      </w:r>
      <w:r w:rsidRPr="00646A4C">
        <w:rPr>
          <w:i/>
          <w:noProof/>
        </w:rPr>
        <w:t>, 53</w:t>
      </w:r>
      <w:r w:rsidRPr="00646A4C">
        <w:rPr>
          <w:noProof/>
        </w:rPr>
        <w:t>(Pt 6), 1893-1900. doi:10.1099/ijs.0.02713-0</w:t>
      </w:r>
    </w:p>
    <w:p w14:paraId="2FF29142" w14:textId="77777777" w:rsidR="001D7D94" w:rsidRPr="00E73793" w:rsidRDefault="001D7D94" w:rsidP="001D7D94">
      <w:pPr>
        <w:pStyle w:val="EndNoteBibliography"/>
        <w:ind w:left="720" w:hanging="720"/>
        <w:rPr>
          <w:noProof/>
        </w:rPr>
      </w:pPr>
      <w:r w:rsidRPr="00646A4C">
        <w:rPr>
          <w:noProof/>
        </w:rPr>
        <w:t xml:space="preserve">Zoetendal, E. G., &amp; de Vos, W. M. (2014). Effect of diet on the intestinal microbiota and its activity. </w:t>
      </w:r>
      <w:r w:rsidRPr="00646A4C">
        <w:rPr>
          <w:i/>
          <w:noProof/>
        </w:rPr>
        <w:t>Curr</w:t>
      </w:r>
      <w:r>
        <w:rPr>
          <w:i/>
          <w:noProof/>
        </w:rPr>
        <w:t>ent</w:t>
      </w:r>
      <w:r w:rsidRPr="00646A4C">
        <w:rPr>
          <w:i/>
          <w:noProof/>
        </w:rPr>
        <w:t xml:space="preserve"> Opin</w:t>
      </w:r>
      <w:r>
        <w:rPr>
          <w:i/>
          <w:noProof/>
        </w:rPr>
        <w:t>ions in</w:t>
      </w:r>
      <w:r w:rsidRPr="00646A4C">
        <w:rPr>
          <w:i/>
          <w:noProof/>
        </w:rPr>
        <w:t xml:space="preserve"> Gastroenterol</w:t>
      </w:r>
      <w:r>
        <w:rPr>
          <w:i/>
          <w:noProof/>
        </w:rPr>
        <w:t>ogy</w:t>
      </w:r>
      <w:r w:rsidRPr="00646A4C">
        <w:rPr>
          <w:i/>
          <w:noProof/>
        </w:rPr>
        <w:t>, 30</w:t>
      </w:r>
      <w:r w:rsidRPr="00646A4C">
        <w:rPr>
          <w:noProof/>
        </w:rPr>
        <w:t>(2), 189-195. doi:10.1097/mog.0000000000000048</w:t>
      </w:r>
    </w:p>
    <w:p w14:paraId="1B358017" w14:textId="1CDE8D19" w:rsidR="001D7D94" w:rsidRDefault="001D7D94" w:rsidP="002F765A">
      <w:pPr>
        <w:spacing w:line="480" w:lineRule="auto"/>
        <w:ind w:left="720" w:hanging="720"/>
        <w:rPr>
          <w:rFonts w:ascii="Times New Roman" w:eastAsia="Times New Roman" w:hAnsi="Times New Roman" w:cs="Times New Roman"/>
          <w:sz w:val="24"/>
          <w:szCs w:val="24"/>
        </w:rPr>
      </w:pPr>
    </w:p>
    <w:p w14:paraId="1CD6CCAD" w14:textId="77777777" w:rsidR="001D7D94" w:rsidRPr="00622BC3" w:rsidRDefault="001D7D94" w:rsidP="001D7D94">
      <w:pPr>
        <w:spacing w:after="240" w:line="240" w:lineRule="auto"/>
        <w:outlineLvl w:val="0"/>
        <w:rPr>
          <w:rFonts w:ascii="Times New Roman" w:eastAsia="Times New Roman" w:hAnsi="Times New Roman" w:cs="Times New Roman"/>
          <w:sz w:val="24"/>
          <w:szCs w:val="24"/>
        </w:rPr>
      </w:pPr>
      <w:r w:rsidRPr="00622BC3">
        <w:rPr>
          <w:rFonts w:ascii="Times New Roman" w:eastAsia="Times New Roman" w:hAnsi="Times New Roman" w:cs="Times New Roman"/>
          <w:b/>
          <w:sz w:val="24"/>
          <w:szCs w:val="24"/>
        </w:rPr>
        <w:lastRenderedPageBreak/>
        <w:t>Table 1</w:t>
      </w:r>
      <w:r>
        <w:rPr>
          <w:rFonts w:ascii="Times New Roman" w:eastAsia="Times New Roman" w:hAnsi="Times New Roman" w:cs="Times New Roman"/>
          <w:b/>
          <w:sz w:val="24"/>
          <w:szCs w:val="24"/>
        </w:rPr>
        <w:t xml:space="preserve">. </w:t>
      </w:r>
      <w:r w:rsidRPr="00622BC3">
        <w:rPr>
          <w:rFonts w:ascii="Times New Roman" w:eastAsia="Times New Roman" w:hAnsi="Times New Roman" w:cs="Times New Roman"/>
          <w:sz w:val="24"/>
          <w:szCs w:val="24"/>
        </w:rPr>
        <w:t>Common Terms in Microbiome Research</w:t>
      </w:r>
    </w:p>
    <w:tbl>
      <w:tblPr>
        <w:tblW w:w="1034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065"/>
        <w:gridCol w:w="7275"/>
      </w:tblGrid>
      <w:tr w:rsidR="001D7D94" w:rsidRPr="00743DB7" w14:paraId="2E4375AE" w14:textId="77777777" w:rsidTr="00314916">
        <w:tc>
          <w:tcPr>
            <w:tcW w:w="0" w:type="auto"/>
            <w:tcBorders>
              <w:top w:val="single" w:sz="4" w:space="0" w:color="auto"/>
              <w:bottom w:val="single" w:sz="4" w:space="0" w:color="auto"/>
            </w:tcBorders>
            <w:tcMar>
              <w:top w:w="100" w:type="dxa"/>
              <w:left w:w="100" w:type="dxa"/>
              <w:bottom w:w="100" w:type="dxa"/>
              <w:right w:w="100" w:type="dxa"/>
            </w:tcMar>
          </w:tcPr>
          <w:p w14:paraId="7776D8B8" w14:textId="77777777" w:rsidR="001D7D94" w:rsidRPr="00967C61" w:rsidRDefault="001D7D94" w:rsidP="00314916">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Term</w:t>
            </w:r>
          </w:p>
        </w:tc>
        <w:tc>
          <w:tcPr>
            <w:tcW w:w="7275" w:type="dxa"/>
            <w:tcBorders>
              <w:top w:val="single" w:sz="4" w:space="0" w:color="auto"/>
              <w:bottom w:val="single" w:sz="4" w:space="0" w:color="auto"/>
            </w:tcBorders>
            <w:tcMar>
              <w:top w:w="100" w:type="dxa"/>
              <w:left w:w="100" w:type="dxa"/>
              <w:bottom w:w="100" w:type="dxa"/>
              <w:right w:w="100" w:type="dxa"/>
            </w:tcMar>
          </w:tcPr>
          <w:p w14:paraId="2564FCD0" w14:textId="77777777" w:rsidR="001D7D94" w:rsidRPr="00967C61" w:rsidRDefault="001D7D94" w:rsidP="00314916">
            <w:pPr>
              <w:spacing w:line="480" w:lineRule="auto"/>
              <w:contextualSpacing/>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Definition</w:t>
            </w:r>
          </w:p>
        </w:tc>
      </w:tr>
      <w:tr w:rsidR="001D7D94" w:rsidRPr="00743DB7" w14:paraId="6EB09FA9" w14:textId="77777777" w:rsidTr="00314916">
        <w:tc>
          <w:tcPr>
            <w:tcW w:w="0" w:type="auto"/>
            <w:tcBorders>
              <w:top w:val="single" w:sz="4" w:space="0" w:color="auto"/>
            </w:tcBorders>
            <w:tcMar>
              <w:top w:w="100" w:type="dxa"/>
              <w:left w:w="100" w:type="dxa"/>
              <w:bottom w:w="100" w:type="dxa"/>
              <w:right w:w="100" w:type="dxa"/>
            </w:tcMar>
          </w:tcPr>
          <w:p w14:paraId="6D065DF0" w14:textId="77777777" w:rsidR="001D7D94" w:rsidRPr="004C20BC"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lang w:val="es-VE"/>
              </w:rPr>
              <w:t xml:space="preserve">16S </w:t>
            </w:r>
            <w:r>
              <w:rPr>
                <w:rFonts w:ascii="Times New Roman" w:eastAsia="Times New Roman" w:hAnsi="Times New Roman" w:cs="Times New Roman"/>
                <w:sz w:val="24"/>
                <w:szCs w:val="24"/>
                <w:lang w:val="es-VE"/>
              </w:rPr>
              <w:t>r</w:t>
            </w:r>
            <w:r w:rsidRPr="00967C61">
              <w:rPr>
                <w:rFonts w:ascii="Times New Roman" w:eastAsia="Times New Roman" w:hAnsi="Times New Roman" w:cs="Times New Roman"/>
                <w:sz w:val="24"/>
                <w:szCs w:val="24"/>
                <w:lang w:val="es-VE"/>
              </w:rPr>
              <w:t>ibosomal RNA (rRNA) gene</w:t>
            </w:r>
          </w:p>
        </w:tc>
        <w:tc>
          <w:tcPr>
            <w:tcW w:w="7275" w:type="dxa"/>
            <w:tcBorders>
              <w:top w:val="single" w:sz="4" w:space="0" w:color="auto"/>
            </w:tcBorders>
            <w:tcMar>
              <w:top w:w="100" w:type="dxa"/>
              <w:left w:w="100" w:type="dxa"/>
              <w:bottom w:w="100" w:type="dxa"/>
              <w:right w:w="100" w:type="dxa"/>
            </w:tcMar>
          </w:tcPr>
          <w:p w14:paraId="284EB634" w14:textId="77777777" w:rsidR="001D7D94" w:rsidRPr="004C20BC" w:rsidRDefault="001D7D94" w:rsidP="00314916">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The</w:t>
            </w:r>
            <w:r w:rsidRPr="00967C61">
              <w:rPr>
                <w:rFonts w:ascii="Times New Roman" w:eastAsia="Times New Roman" w:hAnsi="Times New Roman" w:cs="Times New Roman"/>
                <w:sz w:val="24"/>
                <w:szCs w:val="24"/>
                <w:shd w:val="clear" w:color="auto" w:fill="FFFFFF"/>
              </w:rPr>
              <w:t xml:space="preserve"> gene </w:t>
            </w:r>
            <w:r>
              <w:rPr>
                <w:rFonts w:ascii="Times New Roman" w:eastAsia="Times New Roman" w:hAnsi="Times New Roman" w:cs="Times New Roman"/>
                <w:sz w:val="24"/>
                <w:szCs w:val="24"/>
                <w:shd w:val="clear" w:color="auto" w:fill="FFFFFF"/>
              </w:rPr>
              <w:t xml:space="preserve">encoding for the small </w:t>
            </w:r>
            <w:r w:rsidRPr="00967C61">
              <w:rPr>
                <w:rFonts w:ascii="Times New Roman" w:eastAsia="Times New Roman" w:hAnsi="Times New Roman" w:cs="Times New Roman"/>
                <w:sz w:val="24"/>
                <w:szCs w:val="24"/>
                <w:shd w:val="clear" w:color="auto" w:fill="FFFFFF"/>
              </w:rPr>
              <w:t xml:space="preserve">subunit of </w:t>
            </w:r>
            <w:r>
              <w:rPr>
                <w:rFonts w:ascii="Times New Roman" w:eastAsia="Times New Roman" w:hAnsi="Times New Roman" w:cs="Times New Roman"/>
                <w:sz w:val="24"/>
                <w:szCs w:val="24"/>
                <w:shd w:val="clear" w:color="auto" w:fill="FFFFFF"/>
              </w:rPr>
              <w:t>the</w:t>
            </w:r>
            <w:r w:rsidRPr="00967C61">
              <w:rPr>
                <w:rFonts w:ascii="Times New Roman" w:eastAsia="Times New Roman" w:hAnsi="Times New Roman" w:cs="Times New Roman"/>
                <w:sz w:val="24"/>
                <w:szCs w:val="24"/>
                <w:shd w:val="clear" w:color="auto" w:fill="FFFFFF"/>
              </w:rPr>
              <w:t xml:space="preserve"> prokaryotic ribosome, which contains nine variable regions that can be targeted </w:t>
            </w:r>
            <w:r>
              <w:rPr>
                <w:rFonts w:ascii="Times New Roman" w:eastAsia="Times New Roman" w:hAnsi="Times New Roman" w:cs="Times New Roman"/>
                <w:sz w:val="24"/>
                <w:szCs w:val="24"/>
                <w:shd w:val="clear" w:color="auto" w:fill="FFFFFF"/>
              </w:rPr>
              <w:t>with PCR</w:t>
            </w:r>
            <w:r w:rsidRPr="00967C61">
              <w:rPr>
                <w:rFonts w:ascii="Times New Roman" w:eastAsia="Times New Roman" w:hAnsi="Times New Roman" w:cs="Times New Roman"/>
                <w:sz w:val="24"/>
                <w:szCs w:val="24"/>
                <w:shd w:val="clear" w:color="auto" w:fill="FFFFFF"/>
              </w:rPr>
              <w:t xml:space="preserve"> </w:t>
            </w:r>
            <w:r w:rsidRPr="00967C61">
              <w:rPr>
                <w:rFonts w:ascii="Times New Roman" w:eastAsia="Times New Roman" w:hAnsi="Times New Roman" w:cs="Times New Roman"/>
                <w:noProof/>
                <w:sz w:val="24"/>
                <w:szCs w:val="24"/>
                <w:shd w:val="clear" w:color="auto" w:fill="FFFFFF"/>
              </w:rPr>
              <w:t>(Janda &amp; Abbott, 2007)</w:t>
            </w:r>
            <w:r w:rsidRPr="00967C61">
              <w:rPr>
                <w:rFonts w:ascii="Times New Roman" w:eastAsia="Times New Roman" w:hAnsi="Times New Roman" w:cs="Times New Roman"/>
                <w:sz w:val="24"/>
                <w:szCs w:val="24"/>
                <w:shd w:val="clear" w:color="auto" w:fill="FFFFFF"/>
              </w:rPr>
              <w:t>.</w:t>
            </w:r>
          </w:p>
        </w:tc>
      </w:tr>
      <w:tr w:rsidR="001D7D94" w:rsidRPr="00743DB7" w14:paraId="54674219" w14:textId="77777777" w:rsidTr="00314916">
        <w:tc>
          <w:tcPr>
            <w:tcW w:w="0" w:type="auto"/>
            <w:tcMar>
              <w:top w:w="100" w:type="dxa"/>
              <w:left w:w="100" w:type="dxa"/>
              <w:bottom w:w="100" w:type="dxa"/>
              <w:right w:w="100" w:type="dxa"/>
            </w:tcMar>
          </w:tcPr>
          <w:p w14:paraId="08EA0E22" w14:textId="77777777" w:rsidR="001D7D94" w:rsidRPr="00967C61"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16S rRNA</w:t>
            </w:r>
            <w:r>
              <w:rPr>
                <w:rFonts w:ascii="Times New Roman" w:eastAsia="Times New Roman" w:hAnsi="Times New Roman" w:cs="Times New Roman"/>
                <w:sz w:val="24"/>
                <w:szCs w:val="24"/>
              </w:rPr>
              <w:t xml:space="preserve"> gene amplicon</w:t>
            </w:r>
            <w:r w:rsidRPr="00967C61">
              <w:rPr>
                <w:rFonts w:ascii="Times New Roman" w:eastAsia="Times New Roman" w:hAnsi="Times New Roman" w:cs="Times New Roman"/>
                <w:sz w:val="24"/>
                <w:szCs w:val="24"/>
              </w:rPr>
              <w:t xml:space="preserve"> sequencing</w:t>
            </w:r>
          </w:p>
        </w:tc>
        <w:tc>
          <w:tcPr>
            <w:tcW w:w="7275" w:type="dxa"/>
            <w:tcMar>
              <w:top w:w="100" w:type="dxa"/>
              <w:left w:w="100" w:type="dxa"/>
              <w:bottom w:w="100" w:type="dxa"/>
              <w:right w:w="100" w:type="dxa"/>
            </w:tcMar>
          </w:tcPr>
          <w:p w14:paraId="162CEC05" w14:textId="77777777" w:rsidR="001D7D94" w:rsidRPr="00967C61"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PCR-based</w:t>
            </w:r>
            <w:r w:rsidRPr="00967C61">
              <w:rPr>
                <w:rFonts w:ascii="Times New Roman" w:eastAsia="Times New Roman" w:hAnsi="Times New Roman" w:cs="Times New Roman"/>
                <w:sz w:val="24"/>
                <w:szCs w:val="24"/>
              </w:rPr>
              <w:t xml:space="preserve"> sequencing method </w:t>
            </w:r>
            <w:r>
              <w:rPr>
                <w:rFonts w:ascii="Times New Roman" w:eastAsia="Times New Roman" w:hAnsi="Times New Roman" w:cs="Times New Roman"/>
                <w:sz w:val="24"/>
                <w:szCs w:val="24"/>
              </w:rPr>
              <w:t xml:space="preserve">targeting microbial rRNA genes that is </w:t>
            </w:r>
            <w:r w:rsidRPr="00967C61">
              <w:rPr>
                <w:rFonts w:ascii="Times New Roman" w:eastAsia="Times New Roman" w:hAnsi="Times New Roman" w:cs="Times New Roman"/>
                <w:sz w:val="24"/>
                <w:szCs w:val="24"/>
              </w:rPr>
              <w:t xml:space="preserve">used to identify and </w:t>
            </w:r>
            <w:r>
              <w:rPr>
                <w:rFonts w:ascii="Times New Roman" w:eastAsia="Times New Roman" w:hAnsi="Times New Roman" w:cs="Times New Roman"/>
                <w:sz w:val="24"/>
                <w:szCs w:val="24"/>
              </w:rPr>
              <w:t>determine the relative abundance of microorganisms</w:t>
            </w:r>
            <w:r w:rsidRPr="00967C61">
              <w:rPr>
                <w:rFonts w:ascii="Times New Roman" w:eastAsia="Times New Roman" w:hAnsi="Times New Roman" w:cs="Times New Roman"/>
                <w:sz w:val="24"/>
                <w:szCs w:val="24"/>
              </w:rPr>
              <w:t xml:space="preserve"> present within a given sample</w:t>
            </w:r>
            <w:r>
              <w:rPr>
                <w:rFonts w:ascii="Times New Roman" w:eastAsia="Times New Roman" w:hAnsi="Times New Roman" w:cs="Times New Roman"/>
                <w:sz w:val="24"/>
                <w:szCs w:val="24"/>
              </w:rPr>
              <w:t xml:space="preserve"> and to compare microbial communities between samples</w:t>
            </w:r>
            <w:r w:rsidRPr="00967C61">
              <w:rPr>
                <w:rFonts w:ascii="Times New Roman" w:eastAsia="Times New Roman" w:hAnsi="Times New Roman" w:cs="Times New Roman"/>
                <w:sz w:val="24"/>
                <w:szCs w:val="24"/>
              </w:rPr>
              <w:t xml:space="preserve"> </w:t>
            </w:r>
            <w:r w:rsidRPr="00967C61">
              <w:rPr>
                <w:rFonts w:ascii="Times New Roman" w:eastAsia="Times New Roman" w:hAnsi="Times New Roman" w:cs="Times New Roman"/>
                <w:noProof/>
                <w:sz w:val="24"/>
                <w:szCs w:val="24"/>
              </w:rPr>
              <w:t>(Janda &amp; Abbott, 2007)</w:t>
            </w:r>
            <w:r w:rsidRPr="00967C61">
              <w:rPr>
                <w:rFonts w:ascii="Times New Roman" w:eastAsia="Times New Roman" w:hAnsi="Times New Roman" w:cs="Times New Roman"/>
                <w:sz w:val="24"/>
                <w:szCs w:val="24"/>
              </w:rPr>
              <w:t>.</w:t>
            </w:r>
          </w:p>
        </w:tc>
      </w:tr>
      <w:tr w:rsidR="001D7D94" w:rsidRPr="00743DB7" w14:paraId="53C762F5" w14:textId="77777777" w:rsidTr="00314916">
        <w:tc>
          <w:tcPr>
            <w:tcW w:w="0" w:type="auto"/>
            <w:tcMar>
              <w:top w:w="100" w:type="dxa"/>
              <w:left w:w="100" w:type="dxa"/>
              <w:bottom w:w="100" w:type="dxa"/>
              <w:right w:w="100" w:type="dxa"/>
            </w:tcMar>
          </w:tcPr>
          <w:p w14:paraId="185FA176" w14:textId="77777777" w:rsidR="001D7D94" w:rsidRPr="00967C61"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Alpha diversity</w:t>
            </w:r>
          </w:p>
        </w:tc>
        <w:tc>
          <w:tcPr>
            <w:tcW w:w="7275" w:type="dxa"/>
            <w:tcMar>
              <w:top w:w="100" w:type="dxa"/>
              <w:left w:w="100" w:type="dxa"/>
              <w:bottom w:w="100" w:type="dxa"/>
              <w:right w:w="100" w:type="dxa"/>
            </w:tcMar>
          </w:tcPr>
          <w:p w14:paraId="27C1E052" w14:textId="77777777" w:rsidR="001D7D94" w:rsidRDefault="001D7D94" w:rsidP="00314916">
            <w:pPr>
              <w:spacing w:line="480" w:lineRule="auto"/>
              <w:contextualSpacing/>
              <w:rPr>
                <w:rFonts w:ascii="Times New Roman" w:eastAsia="Times New Roman" w:hAnsi="Times New Roman" w:cs="Times New Roman"/>
                <w:sz w:val="24"/>
                <w:szCs w:val="24"/>
                <w:shd w:val="clear" w:color="auto" w:fill="FFFFFF"/>
              </w:rPr>
            </w:pPr>
            <w:r w:rsidRPr="00967C61">
              <w:rPr>
                <w:rFonts w:ascii="Times New Roman" w:eastAsia="Times New Roman" w:hAnsi="Times New Roman" w:cs="Times New Roman"/>
                <w:sz w:val="24"/>
                <w:szCs w:val="24"/>
                <w:shd w:val="clear" w:color="auto" w:fill="FFFFFF"/>
              </w:rPr>
              <w:t xml:space="preserve">Microbiota diversity within an individual site or sample diversity; one value per sample </w:t>
            </w:r>
            <w:r w:rsidRPr="00967C61">
              <w:rPr>
                <w:rFonts w:ascii="Times New Roman" w:eastAsia="Times New Roman" w:hAnsi="Times New Roman" w:cs="Times New Roman"/>
                <w:noProof/>
                <w:sz w:val="24"/>
                <w:szCs w:val="24"/>
                <w:shd w:val="clear" w:color="auto" w:fill="FFFFFF"/>
              </w:rPr>
              <w:t>(Jost, 2007)</w:t>
            </w:r>
            <w:r w:rsidRPr="00967C61">
              <w:rPr>
                <w:rFonts w:ascii="Times New Roman" w:eastAsia="Times New Roman" w:hAnsi="Times New Roman" w:cs="Times New Roman"/>
                <w:sz w:val="24"/>
                <w:szCs w:val="24"/>
                <w:shd w:val="clear" w:color="auto" w:fill="FFFFFF"/>
              </w:rPr>
              <w:t>.</w:t>
            </w:r>
          </w:p>
        </w:tc>
      </w:tr>
      <w:tr w:rsidR="001D7D94" w:rsidRPr="00743DB7" w14:paraId="43A2FD57" w14:textId="77777777" w:rsidTr="00314916">
        <w:tc>
          <w:tcPr>
            <w:tcW w:w="0" w:type="auto"/>
            <w:tcMar>
              <w:top w:w="100" w:type="dxa"/>
              <w:left w:w="100" w:type="dxa"/>
              <w:bottom w:w="100" w:type="dxa"/>
              <w:right w:w="100" w:type="dxa"/>
            </w:tcMar>
          </w:tcPr>
          <w:p w14:paraId="232C418C" w14:textId="77777777" w:rsidR="001D7D94"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Beta diversity</w:t>
            </w:r>
          </w:p>
        </w:tc>
        <w:tc>
          <w:tcPr>
            <w:tcW w:w="7275" w:type="dxa"/>
            <w:tcMar>
              <w:top w:w="100" w:type="dxa"/>
              <w:left w:w="100" w:type="dxa"/>
              <w:bottom w:w="100" w:type="dxa"/>
              <w:right w:w="100" w:type="dxa"/>
            </w:tcMar>
          </w:tcPr>
          <w:p w14:paraId="73DB6AF4" w14:textId="77777777" w:rsidR="001D7D94" w:rsidRDefault="001D7D94" w:rsidP="00314916">
            <w:pPr>
              <w:spacing w:line="480" w:lineRule="auto"/>
              <w:contextualSpacing/>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Between-sample changes in </w:t>
            </w:r>
            <w:proofErr w:type="spellStart"/>
            <w:r>
              <w:rPr>
                <w:rFonts w:ascii="Times New Roman" w:eastAsia="Times New Roman" w:hAnsi="Times New Roman" w:cs="Times New Roman"/>
                <w:sz w:val="24"/>
                <w:szCs w:val="24"/>
                <w:shd w:val="clear" w:color="auto" w:fill="FFFFFF"/>
              </w:rPr>
              <w:t>taxon</w:t>
            </w:r>
            <w:proofErr w:type="spellEnd"/>
            <w:r>
              <w:rPr>
                <w:rFonts w:ascii="Times New Roman" w:eastAsia="Times New Roman" w:hAnsi="Times New Roman" w:cs="Times New Roman"/>
                <w:sz w:val="24"/>
                <w:szCs w:val="24"/>
                <w:shd w:val="clear" w:color="auto" w:fill="FFFFFF"/>
              </w:rPr>
              <w:t xml:space="preserve"> diversity</w:t>
            </w:r>
            <w:r w:rsidRPr="00967C61">
              <w:rPr>
                <w:rFonts w:ascii="Times New Roman" w:eastAsia="Times New Roman" w:hAnsi="Times New Roman" w:cs="Times New Roman"/>
                <w:sz w:val="24"/>
                <w:szCs w:val="24"/>
                <w:shd w:val="clear" w:color="auto" w:fill="FFFFFF"/>
              </w:rPr>
              <w:t xml:space="preserve"> </w:t>
            </w:r>
            <w:r w:rsidRPr="00967C61">
              <w:rPr>
                <w:rFonts w:ascii="Times New Roman" w:eastAsia="Times New Roman" w:hAnsi="Times New Roman" w:cs="Times New Roman"/>
                <w:noProof/>
                <w:sz w:val="24"/>
                <w:szCs w:val="24"/>
                <w:shd w:val="clear" w:color="auto" w:fill="FFFFFF"/>
              </w:rPr>
              <w:t>(Jost, 2007)</w:t>
            </w:r>
            <w:r w:rsidRPr="00967C61">
              <w:rPr>
                <w:rFonts w:ascii="Times New Roman" w:eastAsia="Times New Roman" w:hAnsi="Times New Roman" w:cs="Times New Roman"/>
                <w:sz w:val="24"/>
                <w:szCs w:val="24"/>
                <w:shd w:val="clear" w:color="auto" w:fill="FFFFFF"/>
              </w:rPr>
              <w:t>.</w:t>
            </w:r>
          </w:p>
        </w:tc>
      </w:tr>
      <w:tr w:rsidR="001D7D94" w:rsidRPr="00743DB7" w14:paraId="048F6FA1" w14:textId="77777777" w:rsidTr="00314916">
        <w:tc>
          <w:tcPr>
            <w:tcW w:w="0" w:type="auto"/>
            <w:tcMar>
              <w:top w:w="100" w:type="dxa"/>
              <w:left w:w="100" w:type="dxa"/>
              <w:bottom w:w="100" w:type="dxa"/>
              <w:right w:w="100" w:type="dxa"/>
            </w:tcMar>
          </w:tcPr>
          <w:p w14:paraId="5EDDBF41" w14:textId="77777777" w:rsidR="001D7D94" w:rsidRPr="00967C61" w:rsidRDefault="001D7D94" w:rsidP="00314916">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Dysbiosis</w:t>
            </w:r>
          </w:p>
        </w:tc>
        <w:tc>
          <w:tcPr>
            <w:tcW w:w="7275" w:type="dxa"/>
            <w:tcMar>
              <w:top w:w="100" w:type="dxa"/>
              <w:left w:w="100" w:type="dxa"/>
              <w:bottom w:w="100" w:type="dxa"/>
              <w:right w:w="100" w:type="dxa"/>
            </w:tcMar>
          </w:tcPr>
          <w:p w14:paraId="7BFF19D8" w14:textId="77777777" w:rsidR="001D7D94" w:rsidRDefault="001D7D94" w:rsidP="00314916">
            <w:pPr>
              <w:spacing w:line="480" w:lineRule="auto"/>
              <w:contextualSpacing/>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w:t>
            </w:r>
            <w:r w:rsidRPr="005D2226">
              <w:rPr>
                <w:rFonts w:ascii="Times New Roman" w:eastAsia="Times New Roman" w:hAnsi="Times New Roman" w:cs="Times New Roman"/>
                <w:sz w:val="24"/>
                <w:szCs w:val="24"/>
                <w:shd w:val="clear" w:color="auto" w:fill="FFFFFF"/>
              </w:rPr>
              <w:t xml:space="preserve"> breakdown in the </w:t>
            </w:r>
            <w:r>
              <w:rPr>
                <w:rFonts w:ascii="Times New Roman" w:eastAsia="Times New Roman" w:hAnsi="Times New Roman" w:cs="Times New Roman"/>
                <w:sz w:val="24"/>
                <w:szCs w:val="24"/>
                <w:shd w:val="clear" w:color="auto" w:fill="FFFFFF"/>
              </w:rPr>
              <w:t xml:space="preserve">homeostasis of a microbial community, leading to overgrowth of detrimental microorganisms </w:t>
            </w:r>
            <w:r>
              <w:rPr>
                <w:rFonts w:ascii="Times New Roman" w:eastAsia="Times New Roman" w:hAnsi="Times New Roman" w:cs="Times New Roman"/>
                <w:noProof/>
                <w:sz w:val="24"/>
                <w:szCs w:val="24"/>
                <w:shd w:val="clear" w:color="auto" w:fill="FFFFFF"/>
              </w:rPr>
              <w:t>(Tamboli et al., 2004)</w:t>
            </w:r>
            <w:r>
              <w:rPr>
                <w:rFonts w:ascii="Times New Roman" w:eastAsia="Times New Roman" w:hAnsi="Times New Roman" w:cs="Times New Roman"/>
                <w:sz w:val="24"/>
                <w:szCs w:val="24"/>
                <w:shd w:val="clear" w:color="auto" w:fill="FFFFFF"/>
              </w:rPr>
              <w:t>.</w:t>
            </w:r>
          </w:p>
        </w:tc>
      </w:tr>
      <w:tr w:rsidR="001D7D94" w:rsidRPr="00743DB7" w14:paraId="224A5CE7" w14:textId="77777777" w:rsidTr="00314916">
        <w:tc>
          <w:tcPr>
            <w:tcW w:w="0" w:type="auto"/>
            <w:tcMar>
              <w:top w:w="100" w:type="dxa"/>
              <w:left w:w="100" w:type="dxa"/>
              <w:bottom w:w="100" w:type="dxa"/>
              <w:right w:w="100" w:type="dxa"/>
            </w:tcMar>
          </w:tcPr>
          <w:p w14:paraId="0DBA2638" w14:textId="77777777" w:rsidR="001D7D94"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 xml:space="preserve">Metabolomics </w:t>
            </w:r>
          </w:p>
        </w:tc>
        <w:tc>
          <w:tcPr>
            <w:tcW w:w="7275" w:type="dxa"/>
            <w:tcMar>
              <w:top w:w="100" w:type="dxa"/>
              <w:left w:w="100" w:type="dxa"/>
              <w:bottom w:w="100" w:type="dxa"/>
              <w:right w:w="100" w:type="dxa"/>
            </w:tcMar>
          </w:tcPr>
          <w:p w14:paraId="3958E4B2" w14:textId="77777777" w:rsidR="001D7D94" w:rsidRDefault="001D7D94" w:rsidP="00314916">
            <w:pPr>
              <w:spacing w:line="480" w:lineRule="auto"/>
              <w:contextualSpacing/>
              <w:rPr>
                <w:rFonts w:ascii="Times New Roman" w:eastAsia="Times New Roman" w:hAnsi="Times New Roman" w:cs="Times New Roman"/>
                <w:sz w:val="24"/>
                <w:szCs w:val="24"/>
                <w:shd w:val="clear" w:color="auto" w:fill="FFFFFF"/>
              </w:rPr>
            </w:pPr>
            <w:r w:rsidRPr="00967C61">
              <w:rPr>
                <w:rFonts w:ascii="Times New Roman" w:eastAsia="Times New Roman" w:hAnsi="Times New Roman" w:cs="Times New Roman"/>
                <w:sz w:val="24"/>
                <w:szCs w:val="24"/>
                <w:shd w:val="clear" w:color="auto" w:fill="FFFFFF"/>
              </w:rPr>
              <w:t xml:space="preserve">The comprehensive, qualitative, and quantitative study of all the small molecules in an organism that result from cellular metabolism and give insight to the network of biochemical reactions in a cell </w:t>
            </w:r>
            <w:r w:rsidRPr="00967C61">
              <w:rPr>
                <w:rFonts w:ascii="Times New Roman" w:eastAsia="Times New Roman" w:hAnsi="Times New Roman" w:cs="Times New Roman"/>
                <w:noProof/>
                <w:sz w:val="24"/>
                <w:szCs w:val="24"/>
                <w:shd w:val="clear" w:color="auto" w:fill="FFFFFF"/>
              </w:rPr>
              <w:t>(Liu &amp; Locasale, 2017)</w:t>
            </w:r>
            <w:r w:rsidRPr="00967C61">
              <w:rPr>
                <w:rFonts w:ascii="Times New Roman" w:eastAsia="Times New Roman" w:hAnsi="Times New Roman" w:cs="Times New Roman"/>
                <w:sz w:val="24"/>
                <w:szCs w:val="24"/>
              </w:rPr>
              <w:t>.</w:t>
            </w:r>
          </w:p>
        </w:tc>
      </w:tr>
      <w:tr w:rsidR="001D7D94" w:rsidRPr="00743DB7" w14:paraId="2632CE9C" w14:textId="77777777" w:rsidTr="00314916">
        <w:tc>
          <w:tcPr>
            <w:tcW w:w="0" w:type="auto"/>
            <w:tcMar>
              <w:top w:w="100" w:type="dxa"/>
              <w:left w:w="100" w:type="dxa"/>
              <w:bottom w:w="100" w:type="dxa"/>
              <w:right w:w="100" w:type="dxa"/>
            </w:tcMar>
          </w:tcPr>
          <w:p w14:paraId="19DAD466" w14:textId="77777777" w:rsidR="001D7D94"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lastRenderedPageBreak/>
              <w:t>Metagenome/metagenomics</w:t>
            </w:r>
          </w:p>
        </w:tc>
        <w:tc>
          <w:tcPr>
            <w:tcW w:w="7275" w:type="dxa"/>
            <w:tcMar>
              <w:top w:w="100" w:type="dxa"/>
              <w:left w:w="100" w:type="dxa"/>
              <w:bottom w:w="100" w:type="dxa"/>
              <w:right w:w="100" w:type="dxa"/>
            </w:tcMar>
          </w:tcPr>
          <w:p w14:paraId="7B1315A8" w14:textId="77777777" w:rsidR="001D7D94" w:rsidRDefault="001D7D94" w:rsidP="00314916">
            <w:pPr>
              <w:spacing w:line="480" w:lineRule="auto"/>
              <w:contextualSpacing/>
              <w:rPr>
                <w:rFonts w:ascii="Times New Roman" w:eastAsia="Times New Roman" w:hAnsi="Times New Roman" w:cs="Times New Roman"/>
                <w:sz w:val="24"/>
                <w:szCs w:val="24"/>
                <w:shd w:val="clear" w:color="auto" w:fill="FFFFFF"/>
              </w:rPr>
            </w:pPr>
            <w:r w:rsidRPr="00967C61">
              <w:rPr>
                <w:rFonts w:ascii="Times New Roman" w:eastAsia="Times New Roman" w:hAnsi="Times New Roman" w:cs="Times New Roman"/>
                <w:sz w:val="24"/>
                <w:szCs w:val="24"/>
                <w:shd w:val="clear" w:color="auto" w:fill="FFFFFF"/>
              </w:rPr>
              <w:t>The combination of microbial genomes and genes in an environment or sample/</w:t>
            </w:r>
            <w:r w:rsidRPr="00967C61">
              <w:rPr>
                <w:rFonts w:ascii="Times New Roman" w:hAnsi="Times New Roman" w:cs="Times New Roman"/>
                <w:sz w:val="24"/>
                <w:szCs w:val="24"/>
                <w:shd w:val="clear" w:color="auto" w:fill="FFFFFF"/>
              </w:rPr>
              <w:t>the direct genetic analysis of genomes contained with</w:t>
            </w:r>
            <w:r>
              <w:rPr>
                <w:rFonts w:ascii="Times New Roman" w:hAnsi="Times New Roman" w:cs="Times New Roman"/>
                <w:sz w:val="24"/>
                <w:szCs w:val="24"/>
                <w:shd w:val="clear" w:color="auto" w:fill="FFFFFF"/>
              </w:rPr>
              <w:t>in</w:t>
            </w:r>
            <w:r w:rsidRPr="00967C61">
              <w:rPr>
                <w:rFonts w:ascii="Times New Roman" w:hAnsi="Times New Roman" w:cs="Times New Roman"/>
                <w:sz w:val="24"/>
                <w:szCs w:val="24"/>
                <w:shd w:val="clear" w:color="auto" w:fill="FFFFFF"/>
              </w:rPr>
              <w:t xml:space="preserve"> an environmental sample </w:t>
            </w:r>
            <w:r w:rsidRPr="00967C61">
              <w:rPr>
                <w:rFonts w:ascii="Times New Roman" w:hAnsi="Times New Roman" w:cs="Times New Roman"/>
                <w:noProof/>
                <w:sz w:val="24"/>
                <w:szCs w:val="24"/>
                <w:shd w:val="clear" w:color="auto" w:fill="FFFFFF"/>
              </w:rPr>
              <w:t>(Thomas, Gilbert, &amp; Meyer, 2012)</w:t>
            </w:r>
            <w:r w:rsidRPr="00967C61">
              <w:rPr>
                <w:rFonts w:ascii="Times New Roman" w:hAnsi="Times New Roman" w:cs="Times New Roman"/>
                <w:sz w:val="24"/>
                <w:szCs w:val="24"/>
                <w:shd w:val="clear" w:color="auto" w:fill="FFFFFF"/>
              </w:rPr>
              <w:t>.</w:t>
            </w:r>
          </w:p>
        </w:tc>
      </w:tr>
      <w:tr w:rsidR="001D7D94" w:rsidRPr="00743DB7" w14:paraId="223BB3CA" w14:textId="77777777" w:rsidTr="00314916">
        <w:tc>
          <w:tcPr>
            <w:tcW w:w="0" w:type="auto"/>
            <w:tcMar>
              <w:top w:w="100" w:type="dxa"/>
              <w:left w:w="100" w:type="dxa"/>
              <w:bottom w:w="100" w:type="dxa"/>
              <w:right w:w="100" w:type="dxa"/>
            </w:tcMar>
          </w:tcPr>
          <w:p w14:paraId="062D04D3" w14:textId="77777777" w:rsidR="001D7D94" w:rsidRPr="00967C61"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Microbiome</w:t>
            </w:r>
          </w:p>
        </w:tc>
        <w:tc>
          <w:tcPr>
            <w:tcW w:w="7275" w:type="dxa"/>
            <w:tcMar>
              <w:top w:w="100" w:type="dxa"/>
              <w:left w:w="100" w:type="dxa"/>
              <w:bottom w:w="100" w:type="dxa"/>
              <w:right w:w="100" w:type="dxa"/>
            </w:tcMar>
          </w:tcPr>
          <w:p w14:paraId="081ED771" w14:textId="77777777" w:rsidR="001D7D94" w:rsidRPr="00967C61"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 xml:space="preserve">The </w:t>
            </w:r>
            <w:r w:rsidRPr="00967C61">
              <w:rPr>
                <w:rFonts w:ascii="Times New Roman" w:eastAsia="Times New Roman" w:hAnsi="Times New Roman" w:cs="Times New Roman"/>
                <w:sz w:val="24"/>
                <w:szCs w:val="24"/>
                <w:shd w:val="clear" w:color="auto" w:fill="FFFFFF"/>
              </w:rPr>
              <w:t xml:space="preserve">collection of microbial </w:t>
            </w:r>
            <w:r>
              <w:rPr>
                <w:rFonts w:ascii="Times New Roman" w:eastAsia="Times New Roman" w:hAnsi="Times New Roman" w:cs="Times New Roman"/>
                <w:sz w:val="24"/>
                <w:szCs w:val="24"/>
                <w:shd w:val="clear" w:color="auto" w:fill="FFFFFF"/>
              </w:rPr>
              <w:t>organisms and genetic information (</w:t>
            </w:r>
            <w:r w:rsidRPr="00581B0A">
              <w:rPr>
                <w:rFonts w:ascii="Times New Roman" w:eastAsia="Times New Roman" w:hAnsi="Times New Roman" w:cs="Times New Roman"/>
                <w:sz w:val="24"/>
                <w:szCs w:val="24"/>
                <w:shd w:val="clear" w:color="auto" w:fill="FFFFFF"/>
              </w:rPr>
              <w:t>i.e.,</w:t>
            </w:r>
            <w:r>
              <w:rPr>
                <w:rFonts w:ascii="Times New Roman" w:eastAsia="Times New Roman" w:hAnsi="Times New Roman" w:cs="Times New Roman"/>
                <w:sz w:val="24"/>
                <w:szCs w:val="24"/>
                <w:shd w:val="clear" w:color="auto" w:fill="FFFFFF"/>
              </w:rPr>
              <w:t xml:space="preserve"> </w:t>
            </w:r>
            <w:r w:rsidRPr="00967C61">
              <w:rPr>
                <w:rFonts w:ascii="Times New Roman" w:eastAsia="Times New Roman" w:hAnsi="Times New Roman" w:cs="Times New Roman"/>
                <w:sz w:val="24"/>
                <w:szCs w:val="24"/>
                <w:shd w:val="clear" w:color="auto" w:fill="FFFFFF"/>
              </w:rPr>
              <w:t>genomes</w:t>
            </w:r>
            <w:r>
              <w:rPr>
                <w:rFonts w:ascii="Times New Roman" w:eastAsia="Times New Roman" w:hAnsi="Times New Roman" w:cs="Times New Roman"/>
                <w:sz w:val="24"/>
                <w:szCs w:val="24"/>
                <w:shd w:val="clear" w:color="auto" w:fill="FFFFFF"/>
              </w:rPr>
              <w:t>)</w:t>
            </w:r>
            <w:r w:rsidRPr="00967C61">
              <w:rPr>
                <w:rFonts w:ascii="Times New Roman" w:eastAsia="Times New Roman" w:hAnsi="Times New Roman" w:cs="Times New Roman"/>
                <w:sz w:val="24"/>
                <w:szCs w:val="24"/>
                <w:shd w:val="clear" w:color="auto" w:fill="FFFFFF"/>
              </w:rPr>
              <w:t xml:space="preserve"> at a given site (</w:t>
            </w:r>
            <w:r>
              <w:rPr>
                <w:rFonts w:ascii="Times New Roman" w:eastAsia="Times New Roman" w:hAnsi="Times New Roman" w:cs="Times New Roman"/>
                <w:sz w:val="24"/>
                <w:szCs w:val="24"/>
                <w:shd w:val="clear" w:color="auto" w:fill="FFFFFF"/>
              </w:rPr>
              <w:t xml:space="preserve">i.e., </w:t>
            </w:r>
            <w:r w:rsidRPr="00967C61">
              <w:rPr>
                <w:rFonts w:ascii="Times New Roman" w:eastAsia="Times New Roman" w:hAnsi="Times New Roman" w:cs="Times New Roman"/>
                <w:sz w:val="24"/>
                <w:szCs w:val="24"/>
                <w:shd w:val="clear" w:color="auto" w:fill="FFFFFF"/>
              </w:rPr>
              <w:t>skin, oral, stool, others</w:t>
            </w:r>
            <w:r>
              <w:rPr>
                <w:rFonts w:ascii="Times New Roman" w:eastAsia="Times New Roman" w:hAnsi="Times New Roman" w:cs="Times New Roman"/>
                <w:sz w:val="24"/>
                <w:szCs w:val="24"/>
                <w:shd w:val="clear" w:color="auto" w:fill="FFFFFF"/>
              </w:rPr>
              <w:t xml:space="preserve">; </w:t>
            </w:r>
            <w:r w:rsidRPr="00967C61">
              <w:rPr>
                <w:rFonts w:ascii="Times New Roman" w:eastAsia="Times New Roman" w:hAnsi="Times New Roman" w:cs="Times New Roman"/>
                <w:noProof/>
                <w:sz w:val="24"/>
                <w:szCs w:val="24"/>
                <w:shd w:val="clear" w:color="auto" w:fill="FFFFFF"/>
              </w:rPr>
              <w:t>Ursell et al., 2012)</w:t>
            </w:r>
            <w:r w:rsidRPr="00967C61">
              <w:rPr>
                <w:rFonts w:ascii="Times New Roman" w:eastAsia="Times New Roman" w:hAnsi="Times New Roman" w:cs="Times New Roman"/>
                <w:sz w:val="24"/>
                <w:szCs w:val="24"/>
                <w:shd w:val="clear" w:color="auto" w:fill="FFFFFF"/>
              </w:rPr>
              <w:t>.</w:t>
            </w:r>
          </w:p>
        </w:tc>
      </w:tr>
      <w:tr w:rsidR="001D7D94" w:rsidRPr="00743DB7" w14:paraId="0AEDACE1" w14:textId="77777777" w:rsidTr="00314916">
        <w:tc>
          <w:tcPr>
            <w:tcW w:w="0" w:type="auto"/>
            <w:tcMar>
              <w:top w:w="100" w:type="dxa"/>
              <w:left w:w="100" w:type="dxa"/>
              <w:bottom w:w="100" w:type="dxa"/>
              <w:right w:w="100" w:type="dxa"/>
            </w:tcMar>
          </w:tcPr>
          <w:p w14:paraId="676D0686" w14:textId="77777777" w:rsidR="001D7D94" w:rsidRPr="004C20BC"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Microbiota</w:t>
            </w:r>
          </w:p>
        </w:tc>
        <w:tc>
          <w:tcPr>
            <w:tcW w:w="7275" w:type="dxa"/>
            <w:tcMar>
              <w:top w:w="100" w:type="dxa"/>
              <w:left w:w="100" w:type="dxa"/>
              <w:bottom w:w="100" w:type="dxa"/>
              <w:right w:w="100" w:type="dxa"/>
            </w:tcMar>
          </w:tcPr>
          <w:p w14:paraId="5CA04115" w14:textId="77777777" w:rsidR="001D7D94" w:rsidRPr="004C20BC"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shd w:val="clear" w:color="auto" w:fill="FFFFFF"/>
              </w:rPr>
              <w:t>The microbial taxa associated with</w:t>
            </w:r>
            <w:r>
              <w:rPr>
                <w:rFonts w:ascii="Times New Roman" w:eastAsia="Times New Roman" w:hAnsi="Times New Roman" w:cs="Times New Roman"/>
                <w:sz w:val="24"/>
                <w:szCs w:val="24"/>
                <w:shd w:val="clear" w:color="auto" w:fill="FFFFFF"/>
              </w:rPr>
              <w:t xml:space="preserve"> multicellular organisms from plants to</w:t>
            </w:r>
            <w:r w:rsidRPr="00967C61">
              <w:rPr>
                <w:rFonts w:ascii="Times New Roman" w:eastAsia="Times New Roman" w:hAnsi="Times New Roman" w:cs="Times New Roman"/>
                <w:sz w:val="24"/>
                <w:szCs w:val="24"/>
                <w:shd w:val="clear" w:color="auto" w:fill="FFFFFF"/>
              </w:rPr>
              <w:t xml:space="preserve"> humans </w:t>
            </w:r>
            <w:r w:rsidRPr="00967C61">
              <w:rPr>
                <w:rFonts w:ascii="Times New Roman" w:eastAsia="Times New Roman" w:hAnsi="Times New Roman" w:cs="Times New Roman"/>
                <w:noProof/>
                <w:sz w:val="24"/>
                <w:szCs w:val="24"/>
                <w:shd w:val="clear" w:color="auto" w:fill="FFFFFF"/>
              </w:rPr>
              <w:t>(Ursell et al., 2012)</w:t>
            </w:r>
            <w:r w:rsidRPr="00967C61">
              <w:rPr>
                <w:rFonts w:ascii="Times New Roman" w:eastAsia="Times New Roman" w:hAnsi="Times New Roman" w:cs="Times New Roman"/>
                <w:sz w:val="24"/>
                <w:szCs w:val="24"/>
              </w:rPr>
              <w:t>.</w:t>
            </w:r>
          </w:p>
        </w:tc>
      </w:tr>
      <w:tr w:rsidR="001D7D94" w:rsidRPr="00743DB7" w14:paraId="183FA65A" w14:textId="77777777" w:rsidTr="00314916">
        <w:tc>
          <w:tcPr>
            <w:tcW w:w="0" w:type="auto"/>
            <w:tcMar>
              <w:top w:w="100" w:type="dxa"/>
              <w:left w:w="100" w:type="dxa"/>
              <w:bottom w:w="100" w:type="dxa"/>
              <w:right w:w="100" w:type="dxa"/>
            </w:tcMar>
          </w:tcPr>
          <w:p w14:paraId="5B0DFCF1" w14:textId="77777777" w:rsidR="001D7D94" w:rsidRPr="004C20BC"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 xml:space="preserve">Operational </w:t>
            </w:r>
            <w:r>
              <w:rPr>
                <w:rFonts w:ascii="Times New Roman" w:eastAsia="Times New Roman" w:hAnsi="Times New Roman" w:cs="Times New Roman"/>
                <w:sz w:val="24"/>
                <w:szCs w:val="24"/>
              </w:rPr>
              <w:t>t</w:t>
            </w:r>
            <w:r w:rsidRPr="00967C61">
              <w:rPr>
                <w:rFonts w:ascii="Times New Roman" w:eastAsia="Times New Roman" w:hAnsi="Times New Roman" w:cs="Times New Roman"/>
                <w:sz w:val="24"/>
                <w:szCs w:val="24"/>
              </w:rPr>
              <w:t xml:space="preserve">axonomic </w:t>
            </w:r>
            <w:r>
              <w:rPr>
                <w:rFonts w:ascii="Times New Roman" w:eastAsia="Times New Roman" w:hAnsi="Times New Roman" w:cs="Times New Roman"/>
                <w:sz w:val="24"/>
                <w:szCs w:val="24"/>
              </w:rPr>
              <w:t>u</w:t>
            </w:r>
            <w:r w:rsidRPr="00967C61">
              <w:rPr>
                <w:rFonts w:ascii="Times New Roman" w:eastAsia="Times New Roman" w:hAnsi="Times New Roman" w:cs="Times New Roman"/>
                <w:sz w:val="24"/>
                <w:szCs w:val="24"/>
              </w:rPr>
              <w:t>nit</w:t>
            </w:r>
            <w:r>
              <w:rPr>
                <w:rFonts w:ascii="Times New Roman" w:eastAsia="Times New Roman" w:hAnsi="Times New Roman" w:cs="Times New Roman"/>
                <w:sz w:val="24"/>
                <w:szCs w:val="24"/>
              </w:rPr>
              <w:t xml:space="preserve"> (OTU)</w:t>
            </w:r>
          </w:p>
        </w:tc>
        <w:tc>
          <w:tcPr>
            <w:tcW w:w="7275" w:type="dxa"/>
            <w:tcMar>
              <w:top w:w="100" w:type="dxa"/>
              <w:left w:w="100" w:type="dxa"/>
              <w:bottom w:w="100" w:type="dxa"/>
              <w:right w:w="100" w:type="dxa"/>
            </w:tcMar>
          </w:tcPr>
          <w:p w14:paraId="42AD9526" w14:textId="77777777" w:rsidR="001D7D94" w:rsidRPr="004C20BC"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Similar sequence</w:t>
            </w:r>
            <w:r>
              <w:rPr>
                <w:rFonts w:ascii="Times New Roman" w:eastAsia="Times New Roman" w:hAnsi="Times New Roman" w:cs="Times New Roman"/>
                <w:sz w:val="24"/>
                <w:szCs w:val="24"/>
              </w:rPr>
              <w:t>s</w:t>
            </w:r>
            <w:r w:rsidRPr="00967C61">
              <w:rPr>
                <w:rFonts w:ascii="Times New Roman" w:eastAsia="Times New Roman" w:hAnsi="Times New Roman" w:cs="Times New Roman"/>
                <w:sz w:val="24"/>
                <w:szCs w:val="24"/>
              </w:rPr>
              <w:t xml:space="preserve"> are clustered to</w:t>
            </w:r>
            <w:r>
              <w:rPr>
                <w:rFonts w:ascii="Times New Roman" w:eastAsia="Times New Roman" w:hAnsi="Times New Roman" w:cs="Times New Roman"/>
                <w:sz w:val="24"/>
                <w:szCs w:val="24"/>
              </w:rPr>
              <w:t>gether to</w:t>
            </w:r>
            <w:r w:rsidRPr="00967C61">
              <w:rPr>
                <w:rFonts w:ascii="Times New Roman" w:eastAsia="Times New Roman" w:hAnsi="Times New Roman" w:cs="Times New Roman"/>
                <w:sz w:val="24"/>
                <w:szCs w:val="24"/>
              </w:rPr>
              <w:t xml:space="preserve"> represent a </w:t>
            </w:r>
            <w:r>
              <w:rPr>
                <w:rFonts w:ascii="Times New Roman" w:eastAsia="Times New Roman" w:hAnsi="Times New Roman" w:cs="Times New Roman"/>
                <w:sz w:val="24"/>
                <w:szCs w:val="24"/>
              </w:rPr>
              <w:t>microbial taxon</w:t>
            </w:r>
            <w:r w:rsidRPr="00967C61">
              <w:rPr>
                <w:rFonts w:ascii="Times New Roman" w:eastAsia="Times New Roman" w:hAnsi="Times New Roman" w:cs="Times New Roman"/>
                <w:sz w:val="24"/>
                <w:szCs w:val="24"/>
              </w:rPr>
              <w:t xml:space="preserve"> based on a predetermined similarity identity cutoff</w:t>
            </w:r>
            <w:r w:rsidRPr="004C20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Thresholds of 97–100% have been used to represent an approximate “species” level grouping </w:t>
            </w:r>
            <w:r>
              <w:rPr>
                <w:rFonts w:ascii="Times New Roman" w:eastAsia="Times New Roman" w:hAnsi="Times New Roman" w:cs="Times New Roman"/>
                <w:noProof/>
                <w:sz w:val="24"/>
                <w:szCs w:val="24"/>
              </w:rPr>
              <w:t>(Edgar, 2018)</w:t>
            </w:r>
            <w:r>
              <w:rPr>
                <w:rFonts w:ascii="Times New Roman" w:eastAsia="Times New Roman" w:hAnsi="Times New Roman" w:cs="Times New Roman"/>
                <w:sz w:val="24"/>
                <w:szCs w:val="24"/>
              </w:rPr>
              <w:t xml:space="preserve">. </w:t>
            </w:r>
          </w:p>
        </w:tc>
      </w:tr>
      <w:tr w:rsidR="001D7D94" w:rsidRPr="00743DB7" w14:paraId="014131CB" w14:textId="77777777" w:rsidTr="00314916">
        <w:tc>
          <w:tcPr>
            <w:tcW w:w="0" w:type="auto"/>
            <w:tcMar>
              <w:top w:w="100" w:type="dxa"/>
              <w:left w:w="100" w:type="dxa"/>
              <w:bottom w:w="100" w:type="dxa"/>
              <w:right w:w="100" w:type="dxa"/>
            </w:tcMar>
          </w:tcPr>
          <w:p w14:paraId="5CDD927A" w14:textId="77777777" w:rsidR="001D7D94" w:rsidRPr="004C20BC"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Shotgun metagenom</w:t>
            </w:r>
            <w:r>
              <w:rPr>
                <w:rFonts w:ascii="Times New Roman" w:eastAsia="Times New Roman" w:hAnsi="Times New Roman" w:cs="Times New Roman"/>
                <w:sz w:val="24"/>
                <w:szCs w:val="24"/>
              </w:rPr>
              <w:t xml:space="preserve">e </w:t>
            </w:r>
            <w:r w:rsidRPr="00967C61">
              <w:rPr>
                <w:rFonts w:ascii="Times New Roman" w:eastAsia="Times New Roman" w:hAnsi="Times New Roman" w:cs="Times New Roman"/>
                <w:sz w:val="24"/>
                <w:szCs w:val="24"/>
              </w:rPr>
              <w:t>sequencing</w:t>
            </w:r>
          </w:p>
        </w:tc>
        <w:tc>
          <w:tcPr>
            <w:tcW w:w="7275" w:type="dxa"/>
            <w:tcMar>
              <w:top w:w="100" w:type="dxa"/>
              <w:left w:w="100" w:type="dxa"/>
              <w:bottom w:w="100" w:type="dxa"/>
              <w:right w:w="100" w:type="dxa"/>
            </w:tcMar>
          </w:tcPr>
          <w:p w14:paraId="3B492C9C" w14:textId="77777777" w:rsidR="001D7D94" w:rsidRPr="004C20BC"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shd w:val="clear" w:color="auto" w:fill="FFFFFF"/>
              </w:rPr>
              <w:t xml:space="preserve">A DNA sequencing method that enables comprehensive sampling of all genes in all organisms in a given complex microbial sample instead of targeting a specific marker gene </w:t>
            </w:r>
            <w:r w:rsidRPr="00967C61">
              <w:rPr>
                <w:rFonts w:ascii="Times New Roman" w:eastAsia="Times New Roman" w:hAnsi="Times New Roman" w:cs="Times New Roman"/>
                <w:noProof/>
                <w:sz w:val="24"/>
                <w:szCs w:val="24"/>
                <w:shd w:val="clear" w:color="auto" w:fill="FFFFFF"/>
              </w:rPr>
              <w:t>(Sharpton, 2014)</w:t>
            </w:r>
            <w:r w:rsidRPr="00967C61">
              <w:rPr>
                <w:rFonts w:ascii="Times New Roman" w:eastAsia="Times New Roman" w:hAnsi="Times New Roman" w:cs="Times New Roman"/>
                <w:sz w:val="24"/>
                <w:szCs w:val="24"/>
                <w:shd w:val="clear" w:color="auto" w:fill="FFFFFF"/>
              </w:rPr>
              <w:t>.</w:t>
            </w:r>
          </w:p>
        </w:tc>
      </w:tr>
      <w:tr w:rsidR="001D7D94" w:rsidRPr="00743DB7" w14:paraId="113AF2DA" w14:textId="77777777" w:rsidTr="00314916">
        <w:tc>
          <w:tcPr>
            <w:tcW w:w="0" w:type="auto"/>
            <w:tcMar>
              <w:top w:w="100" w:type="dxa"/>
              <w:left w:w="100" w:type="dxa"/>
              <w:bottom w:w="100" w:type="dxa"/>
              <w:right w:w="100" w:type="dxa"/>
            </w:tcMar>
          </w:tcPr>
          <w:p w14:paraId="3D1FF969" w14:textId="77777777" w:rsidR="001D7D94" w:rsidRPr="004C20BC"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shd w:val="clear" w:color="auto" w:fill="FFFFFF"/>
              </w:rPr>
              <w:t xml:space="preserve">Shotgun </w:t>
            </w:r>
            <w:proofErr w:type="spellStart"/>
            <w:r w:rsidRPr="00967C61">
              <w:rPr>
                <w:rFonts w:ascii="Times New Roman" w:eastAsia="Times New Roman" w:hAnsi="Times New Roman" w:cs="Times New Roman"/>
                <w:sz w:val="24"/>
                <w:szCs w:val="24"/>
                <w:shd w:val="clear" w:color="auto" w:fill="FFFFFF"/>
              </w:rPr>
              <w:t>metatranscriptom</w:t>
            </w:r>
            <w:r>
              <w:rPr>
                <w:rFonts w:ascii="Times New Roman" w:eastAsia="Times New Roman" w:hAnsi="Times New Roman" w:cs="Times New Roman"/>
                <w:sz w:val="24"/>
                <w:szCs w:val="24"/>
                <w:shd w:val="clear" w:color="auto" w:fill="FFFFFF"/>
              </w:rPr>
              <w:t>e</w:t>
            </w:r>
            <w:proofErr w:type="spellEnd"/>
            <w:r w:rsidRPr="00967C61">
              <w:rPr>
                <w:rFonts w:ascii="Times New Roman" w:eastAsia="Times New Roman" w:hAnsi="Times New Roman" w:cs="Times New Roman"/>
                <w:sz w:val="24"/>
                <w:szCs w:val="24"/>
                <w:shd w:val="clear" w:color="auto" w:fill="FFFFFF"/>
              </w:rPr>
              <w:t xml:space="preserve"> sequencing</w:t>
            </w:r>
            <w:r>
              <w:rPr>
                <w:rFonts w:ascii="Times New Roman" w:eastAsia="Times New Roman" w:hAnsi="Times New Roman" w:cs="Times New Roman"/>
                <w:sz w:val="24"/>
                <w:szCs w:val="24"/>
                <w:shd w:val="clear" w:color="auto" w:fill="FFFFFF"/>
              </w:rPr>
              <w:t xml:space="preserve"> (</w:t>
            </w:r>
            <w:proofErr w:type="spellStart"/>
            <w:r>
              <w:rPr>
                <w:rFonts w:ascii="Times New Roman" w:eastAsia="Times New Roman" w:hAnsi="Times New Roman" w:cs="Times New Roman"/>
                <w:sz w:val="24"/>
                <w:szCs w:val="24"/>
                <w:shd w:val="clear" w:color="auto" w:fill="FFFFFF"/>
              </w:rPr>
              <w:t>metatranscriptomics</w:t>
            </w:r>
            <w:proofErr w:type="spellEnd"/>
            <w:r>
              <w:rPr>
                <w:rFonts w:ascii="Times New Roman" w:eastAsia="Times New Roman" w:hAnsi="Times New Roman" w:cs="Times New Roman"/>
                <w:sz w:val="24"/>
                <w:szCs w:val="24"/>
                <w:shd w:val="clear" w:color="auto" w:fill="FFFFFF"/>
              </w:rPr>
              <w:t>)</w:t>
            </w:r>
          </w:p>
        </w:tc>
        <w:tc>
          <w:tcPr>
            <w:tcW w:w="7275" w:type="dxa"/>
            <w:tcMar>
              <w:top w:w="100" w:type="dxa"/>
              <w:left w:w="100" w:type="dxa"/>
              <w:bottom w:w="100" w:type="dxa"/>
              <w:right w:w="100" w:type="dxa"/>
            </w:tcMar>
          </w:tcPr>
          <w:p w14:paraId="0EB0019F" w14:textId="77777777" w:rsidR="001D7D94" w:rsidRPr="004C20BC" w:rsidRDefault="001D7D94" w:rsidP="00314916">
            <w:pPr>
              <w:spacing w:line="480" w:lineRule="auto"/>
              <w:contextualSpacing/>
              <w:rPr>
                <w:rFonts w:ascii="Times New Roman" w:eastAsia="Times New Roman" w:hAnsi="Times New Roman" w:cs="Times New Roman"/>
                <w:sz w:val="24"/>
                <w:szCs w:val="24"/>
              </w:rPr>
            </w:pPr>
            <w:r w:rsidRPr="00967C61">
              <w:rPr>
                <w:rFonts w:ascii="Times New Roman" w:eastAsia="Times New Roman" w:hAnsi="Times New Roman" w:cs="Times New Roman"/>
                <w:sz w:val="24"/>
                <w:szCs w:val="24"/>
              </w:rPr>
              <w:t xml:space="preserve">Analysis of all </w:t>
            </w:r>
            <w:r>
              <w:rPr>
                <w:rFonts w:ascii="Times New Roman" w:eastAsia="Times New Roman" w:hAnsi="Times New Roman" w:cs="Times New Roman"/>
                <w:sz w:val="24"/>
                <w:szCs w:val="24"/>
              </w:rPr>
              <w:t xml:space="preserve">messenger </w:t>
            </w:r>
            <w:r w:rsidRPr="00967C61">
              <w:rPr>
                <w:rFonts w:ascii="Times New Roman" w:eastAsia="Times New Roman" w:hAnsi="Times New Roman" w:cs="Times New Roman"/>
                <w:sz w:val="24"/>
                <w:szCs w:val="24"/>
              </w:rPr>
              <w:t>RNAs encoded by a group of microorganisms within a complex sample</w:t>
            </w:r>
            <w:r w:rsidRPr="004C20BC">
              <w:rPr>
                <w:rFonts w:ascii="Times New Roman" w:eastAsia="Times New Roman" w:hAnsi="Times New Roman" w:cs="Times New Roman"/>
                <w:sz w:val="24"/>
                <w:szCs w:val="24"/>
              </w:rPr>
              <w:t>.</w:t>
            </w:r>
            <w:r>
              <w:rPr>
                <w:rFonts w:ascii="Times New Roman" w:hAnsi="Times New Roman" w:cs="Times New Roman"/>
                <w:sz w:val="24"/>
                <w:szCs w:val="24"/>
                <w:shd w:val="clear" w:color="auto" w:fill="FFFFFF"/>
              </w:rPr>
              <w:t xml:space="preserve"> </w:t>
            </w:r>
            <w:r w:rsidRPr="004C20BC">
              <w:rPr>
                <w:rFonts w:ascii="Times New Roman" w:hAnsi="Times New Roman" w:cs="Times New Roman"/>
                <w:sz w:val="24"/>
                <w:szCs w:val="24"/>
                <w:shd w:val="clear" w:color="auto" w:fill="FFFFFF"/>
              </w:rPr>
              <w:t xml:space="preserve">Metatranscriptomics </w:t>
            </w:r>
            <w:r>
              <w:rPr>
                <w:rFonts w:ascii="Times New Roman" w:hAnsi="Times New Roman" w:cs="Times New Roman"/>
                <w:sz w:val="24"/>
                <w:szCs w:val="24"/>
                <w:shd w:val="clear" w:color="auto" w:fill="FFFFFF"/>
              </w:rPr>
              <w:t xml:space="preserve">describes the pool of expressed genes at a given time point in a complex microbial sample </w:t>
            </w:r>
            <w:r w:rsidRPr="004C20BC">
              <w:rPr>
                <w:rFonts w:ascii="Times New Roman" w:hAnsi="Times New Roman" w:cs="Times New Roman"/>
                <w:noProof/>
                <w:sz w:val="24"/>
                <w:szCs w:val="24"/>
                <w:shd w:val="clear" w:color="auto" w:fill="FFFFFF"/>
              </w:rPr>
              <w:t>(Warnecke &amp; Hess, 2009)</w:t>
            </w:r>
            <w:r w:rsidRPr="004C20BC">
              <w:rPr>
                <w:rFonts w:ascii="Times New Roman" w:hAnsi="Times New Roman" w:cs="Times New Roman"/>
                <w:sz w:val="24"/>
                <w:szCs w:val="24"/>
                <w:shd w:val="clear" w:color="auto" w:fill="FFFFFF"/>
              </w:rPr>
              <w:t>.</w:t>
            </w:r>
          </w:p>
        </w:tc>
      </w:tr>
    </w:tbl>
    <w:p w14:paraId="7A462928" w14:textId="77777777" w:rsidR="001D7D94" w:rsidRDefault="001D7D94" w:rsidP="001D7D9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Note. </w:t>
      </w:r>
      <w:r>
        <w:rPr>
          <w:rFonts w:ascii="Times New Roman" w:eastAsia="Times New Roman" w:hAnsi="Times New Roman" w:cs="Times New Roman"/>
          <w:sz w:val="24"/>
          <w:szCs w:val="24"/>
        </w:rPr>
        <w:t>DNA = deoxyribonucleic acid; PCR = polymerase chain reaction; RNA = ribonucleic acid.</w:t>
      </w:r>
    </w:p>
    <w:p w14:paraId="23BA5C1A" w14:textId="77777777" w:rsidR="001D7D94" w:rsidRDefault="001D7D94" w:rsidP="001D7D94">
      <w:pPr>
        <w:rPr>
          <w:rFonts w:ascii="Times New Roman" w:eastAsia="Times New Roman" w:hAnsi="Times New Roman" w:cs="Times New Roman"/>
          <w:sz w:val="24"/>
          <w:szCs w:val="24"/>
        </w:rPr>
      </w:pPr>
    </w:p>
    <w:p w14:paraId="318C3ACD" w14:textId="77777777" w:rsidR="001D7D94" w:rsidRDefault="001D7D94" w:rsidP="001D7D94">
      <w:pPr>
        <w:rPr>
          <w:rFonts w:ascii="Times New Roman" w:eastAsia="Times New Roman" w:hAnsi="Times New Roman" w:cs="Times New Roman"/>
          <w:sz w:val="24"/>
          <w:szCs w:val="24"/>
        </w:rPr>
      </w:pPr>
    </w:p>
    <w:p w14:paraId="214013E1" w14:textId="77777777" w:rsidR="001D7D94" w:rsidRDefault="001D7D94" w:rsidP="001D7D94">
      <w:pPr>
        <w:rPr>
          <w:rFonts w:ascii="Times New Roman" w:eastAsia="Times New Roman" w:hAnsi="Times New Roman" w:cs="Times New Roman"/>
          <w:sz w:val="24"/>
          <w:szCs w:val="24"/>
        </w:rPr>
      </w:pPr>
    </w:p>
    <w:p w14:paraId="79D5A3D9" w14:textId="77777777" w:rsidR="001D7D94" w:rsidRDefault="001D7D94" w:rsidP="001D7D94">
      <w:pPr>
        <w:rPr>
          <w:rFonts w:ascii="Times New Roman" w:eastAsia="Times New Roman" w:hAnsi="Times New Roman" w:cs="Times New Roman"/>
          <w:sz w:val="24"/>
          <w:szCs w:val="24"/>
        </w:rPr>
      </w:pPr>
    </w:p>
    <w:p w14:paraId="3D24231A" w14:textId="77777777" w:rsidR="001D7D94" w:rsidRDefault="001D7D94" w:rsidP="001D7D94">
      <w:pPr>
        <w:rPr>
          <w:rFonts w:ascii="Times New Roman" w:eastAsia="Times New Roman" w:hAnsi="Times New Roman" w:cs="Times New Roman"/>
          <w:sz w:val="24"/>
          <w:szCs w:val="24"/>
        </w:rPr>
      </w:pPr>
    </w:p>
    <w:p w14:paraId="474EDAD4" w14:textId="77777777" w:rsidR="005A0705" w:rsidRDefault="005A0705" w:rsidP="005A070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45B4FC" wp14:editId="493D0FB2">
            <wp:extent cx="5410200" cy="347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seph-envMicrobia-01[1].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0200" cy="3479800"/>
                    </a:xfrm>
                    <a:prstGeom prst="rect">
                      <a:avLst/>
                    </a:prstGeom>
                  </pic:spPr>
                </pic:pic>
              </a:graphicData>
            </a:graphic>
          </wp:inline>
        </w:drawing>
      </w:r>
    </w:p>
    <w:p w14:paraId="372DCFBB" w14:textId="77777777" w:rsidR="005A0705" w:rsidRPr="003B6FF4" w:rsidRDefault="005A0705" w:rsidP="005A0705">
      <w:pPr>
        <w:spacing w:line="480" w:lineRule="auto"/>
        <w:outlineLvl w:val="0"/>
        <w:rPr>
          <w:rFonts w:ascii="Times New Roman" w:eastAsia="Times New Roman" w:hAnsi="Times New Roman" w:cs="Times New Roman"/>
          <w:sz w:val="24"/>
          <w:szCs w:val="24"/>
        </w:rPr>
      </w:pPr>
      <w:r w:rsidRPr="003B6FF4">
        <w:rPr>
          <w:rFonts w:ascii="Times New Roman" w:eastAsia="Times New Roman" w:hAnsi="Times New Roman" w:cs="Times New Roman"/>
          <w:sz w:val="24"/>
          <w:szCs w:val="24"/>
        </w:rPr>
        <w:t>Figure 1</w:t>
      </w:r>
      <w:r>
        <w:rPr>
          <w:rFonts w:ascii="Times New Roman" w:eastAsia="Times New Roman" w:hAnsi="Times New Roman" w:cs="Times New Roman"/>
          <w:sz w:val="24"/>
          <w:szCs w:val="24"/>
        </w:rPr>
        <w:t xml:space="preserve">. </w:t>
      </w:r>
    </w:p>
    <w:p w14:paraId="7387152B" w14:textId="77777777" w:rsidR="005A0705" w:rsidRDefault="005A0705" w:rsidP="005A07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440377" w14:textId="77777777" w:rsidR="005A0705" w:rsidRDefault="005A0705" w:rsidP="005A0705">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noProof/>
          <w:sz w:val="24"/>
          <w:szCs w:val="24"/>
          <w:shd w:val="clear" w:color="auto" w:fill="FFFFFF"/>
          <w:lang w:val="en-US"/>
        </w:rPr>
        <w:lastRenderedPageBreak/>
        <w:drawing>
          <wp:inline distT="0" distB="0" distL="0" distR="0" wp14:anchorId="46900C16" wp14:editId="1F2C7B77">
            <wp:extent cx="5943600" cy="2715065"/>
            <wp:effectExtent l="0" t="0" r="0" b="9525"/>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_16SrRNAgene_v3.jpg"/>
                    <pic:cNvPicPr/>
                  </pic:nvPicPr>
                  <pic:blipFill rotWithShape="1">
                    <a:blip r:embed="rId10" cstate="print">
                      <a:extLst>
                        <a:ext uri="{28A0092B-C50C-407E-A947-70E740481C1C}">
                          <a14:useLocalDpi xmlns:a14="http://schemas.microsoft.com/office/drawing/2010/main" val="0"/>
                        </a:ext>
                      </a:extLst>
                    </a:blip>
                    <a:srcRect b="18775"/>
                    <a:stretch/>
                  </pic:blipFill>
                  <pic:spPr bwMode="auto">
                    <a:xfrm>
                      <a:off x="0" y="0"/>
                      <a:ext cx="5943600" cy="2715065"/>
                    </a:xfrm>
                    <a:prstGeom prst="rect">
                      <a:avLst/>
                    </a:prstGeom>
                    <a:ln>
                      <a:noFill/>
                    </a:ln>
                    <a:extLst>
                      <a:ext uri="{53640926-AAD7-44D8-BBD7-CCE9431645EC}">
                        <a14:shadowObscured xmlns:a14="http://schemas.microsoft.com/office/drawing/2010/main"/>
                      </a:ext>
                    </a:extLst>
                  </pic:spPr>
                </pic:pic>
              </a:graphicData>
            </a:graphic>
          </wp:inline>
        </w:drawing>
      </w:r>
      <w:r w:rsidRPr="003B6FF4">
        <w:rPr>
          <w:rFonts w:ascii="Times New Roman" w:eastAsia="Times New Roman" w:hAnsi="Times New Roman" w:cs="Times New Roman"/>
          <w:sz w:val="24"/>
          <w:szCs w:val="24"/>
          <w:shd w:val="clear" w:color="auto" w:fill="FFFFFF"/>
          <w:lang w:val="en-US"/>
        </w:rPr>
        <w:t>Figure 2</w:t>
      </w:r>
      <w:r w:rsidRPr="004C20BC">
        <w:rPr>
          <w:rFonts w:ascii="Times New Roman" w:eastAsia="Times New Roman" w:hAnsi="Times New Roman" w:cs="Times New Roman"/>
          <w:sz w:val="24"/>
          <w:szCs w:val="24"/>
          <w:shd w:val="clear" w:color="auto" w:fill="FFFFFF"/>
          <w:lang w:val="en-US"/>
        </w:rPr>
        <w:t>.</w:t>
      </w:r>
      <w:r>
        <w:rPr>
          <w:rFonts w:ascii="Times New Roman" w:eastAsia="Times New Roman" w:hAnsi="Times New Roman" w:cs="Times New Roman"/>
          <w:sz w:val="24"/>
          <w:szCs w:val="24"/>
          <w:shd w:val="clear" w:color="auto" w:fill="FFFFFF"/>
          <w:lang w:val="en-US"/>
        </w:rPr>
        <w:t xml:space="preserve"> </w:t>
      </w:r>
    </w:p>
    <w:p w14:paraId="1D83509E" w14:textId="13FBC794" w:rsidR="001D7D94" w:rsidRPr="00113883" w:rsidRDefault="001D7D94" w:rsidP="001D7D94">
      <w:pPr>
        <w:rPr>
          <w:rFonts w:ascii="Times New Roman" w:eastAsia="Times New Roman" w:hAnsi="Times New Roman" w:cs="Times New Roman"/>
          <w:sz w:val="24"/>
          <w:szCs w:val="24"/>
        </w:rPr>
        <w:sectPr w:rsidR="001D7D94" w:rsidRPr="00113883" w:rsidSect="00CF37B0">
          <w:headerReference w:type="even" r:id="rId11"/>
          <w:headerReference w:type="default" r:id="rId12"/>
          <w:pgSz w:w="12240" w:h="15840"/>
          <w:pgMar w:top="1440" w:right="1440" w:bottom="1440" w:left="1440" w:header="720" w:footer="720" w:gutter="0"/>
          <w:pgNumType w:start="1"/>
          <w:cols w:space="720"/>
          <w:docGrid w:linePitch="299"/>
        </w:sectPr>
      </w:pPr>
      <w:bookmarkStart w:id="1" w:name="_GoBack"/>
      <w:bookmarkEnd w:id="1"/>
    </w:p>
    <w:p w14:paraId="51B87272" w14:textId="77777777" w:rsidR="001D7D94" w:rsidRPr="006B4E87" w:rsidRDefault="001D7D94" w:rsidP="001D7D94">
      <w:pPr>
        <w:spacing w:after="240" w:line="240" w:lineRule="auto"/>
        <w:rPr>
          <w:rFonts w:ascii="Times New Roman" w:eastAsia="Times New Roman" w:hAnsi="Times New Roman" w:cs="Times New Roman"/>
          <w:sz w:val="24"/>
          <w:szCs w:val="24"/>
        </w:rPr>
      </w:pPr>
      <w:r w:rsidRPr="006B4E87">
        <w:rPr>
          <w:rFonts w:ascii="Times New Roman" w:eastAsia="Times New Roman" w:hAnsi="Times New Roman" w:cs="Times New Roman"/>
          <w:b/>
          <w:sz w:val="24"/>
          <w:szCs w:val="24"/>
        </w:rPr>
        <w:lastRenderedPageBreak/>
        <w:t>Table 2.</w:t>
      </w:r>
      <w:r>
        <w:rPr>
          <w:rFonts w:ascii="Times New Roman" w:eastAsia="Times New Roman" w:hAnsi="Times New Roman" w:cs="Times New Roman"/>
          <w:sz w:val="24"/>
          <w:szCs w:val="24"/>
        </w:rPr>
        <w:t xml:space="preserve"> </w:t>
      </w:r>
      <w:r w:rsidRPr="006B4E87">
        <w:rPr>
          <w:rFonts w:ascii="Times New Roman" w:eastAsia="Times New Roman" w:hAnsi="Times New Roman" w:cs="Times New Roman"/>
          <w:sz w:val="24"/>
          <w:szCs w:val="24"/>
        </w:rPr>
        <w:t>Recommendations for Conducting a Microbiome Study</w:t>
      </w:r>
      <w:r>
        <w:rPr>
          <w:rFonts w:ascii="Times New Roman" w:eastAsia="Times New Roman" w:hAnsi="Times New Roman" w:cs="Times New Roman"/>
          <w:sz w:val="24"/>
          <w:szCs w:val="24"/>
        </w:rPr>
        <w:t>.</w:t>
      </w:r>
    </w:p>
    <w:tbl>
      <w:tblPr>
        <w:tblStyle w:val="TableGrid"/>
        <w:tblW w:w="0" w:type="auto"/>
        <w:tblInd w:w="967" w:type="dxa"/>
        <w:tblLook w:val="04A0" w:firstRow="1" w:lastRow="0" w:firstColumn="1" w:lastColumn="0" w:noHBand="0" w:noVBand="1"/>
      </w:tblPr>
      <w:tblGrid>
        <w:gridCol w:w="12258"/>
        <w:gridCol w:w="252"/>
      </w:tblGrid>
      <w:tr w:rsidR="001D7D94" w:rsidRPr="00615EDA" w14:paraId="4DE13C74" w14:textId="77777777" w:rsidTr="00314916">
        <w:trPr>
          <w:gridAfter w:val="1"/>
          <w:wAfter w:w="252" w:type="dxa"/>
        </w:trPr>
        <w:tc>
          <w:tcPr>
            <w:tcW w:w="12258" w:type="dxa"/>
            <w:shd w:val="clear" w:color="auto" w:fill="auto"/>
          </w:tcPr>
          <w:p w14:paraId="2C0B7055" w14:textId="77777777" w:rsidR="001D7D94" w:rsidRPr="00B115A4" w:rsidRDefault="001D7D94" w:rsidP="00314916">
            <w:pPr>
              <w:rPr>
                <w:rFonts w:ascii="Times New Roman" w:hAnsi="Times New Roman" w:cs="Times New Roman"/>
                <w:b/>
                <w:sz w:val="24"/>
                <w:szCs w:val="24"/>
              </w:rPr>
            </w:pPr>
            <w:r w:rsidRPr="00B115A4">
              <w:rPr>
                <w:rFonts w:ascii="Times New Roman" w:hAnsi="Times New Roman" w:cs="Times New Roman"/>
                <w:b/>
                <w:sz w:val="24"/>
                <w:szCs w:val="24"/>
              </w:rPr>
              <w:t>Recommendations for a Microbiome Study</w:t>
            </w:r>
          </w:p>
        </w:tc>
      </w:tr>
      <w:tr w:rsidR="001D7D94" w:rsidRPr="00615EDA" w14:paraId="3A266D90" w14:textId="77777777" w:rsidTr="00314916">
        <w:tc>
          <w:tcPr>
            <w:tcW w:w="12510" w:type="dxa"/>
            <w:gridSpan w:val="2"/>
            <w:shd w:val="clear" w:color="auto" w:fill="auto"/>
          </w:tcPr>
          <w:p w14:paraId="54D9043B" w14:textId="77777777" w:rsidR="001D7D94" w:rsidRPr="008C40FD" w:rsidRDefault="001D7D94" w:rsidP="001D7D94">
            <w:pPr>
              <w:pStyle w:val="ListParagraph"/>
              <w:numPr>
                <w:ilvl w:val="0"/>
                <w:numId w:val="3"/>
              </w:numPr>
              <w:rPr>
                <w:rFonts w:ascii="Times New Roman" w:hAnsi="Times New Roman" w:cs="Times New Roman"/>
                <w:sz w:val="24"/>
                <w:szCs w:val="24"/>
              </w:rPr>
            </w:pPr>
            <w:r w:rsidRPr="008C40FD">
              <w:rPr>
                <w:rFonts w:ascii="Times New Roman" w:hAnsi="Times New Roman" w:cs="Times New Roman"/>
                <w:sz w:val="24"/>
                <w:szCs w:val="24"/>
              </w:rPr>
              <w:t xml:space="preserve">Study </w:t>
            </w:r>
            <w:r>
              <w:rPr>
                <w:rFonts w:ascii="Times New Roman" w:hAnsi="Times New Roman" w:cs="Times New Roman"/>
                <w:sz w:val="24"/>
                <w:szCs w:val="24"/>
              </w:rPr>
              <w:t>d</w:t>
            </w:r>
            <w:r w:rsidRPr="008C40FD">
              <w:rPr>
                <w:rFonts w:ascii="Times New Roman" w:hAnsi="Times New Roman" w:cs="Times New Roman"/>
                <w:sz w:val="24"/>
                <w:szCs w:val="24"/>
              </w:rPr>
              <w:t>esign</w:t>
            </w:r>
          </w:p>
          <w:p w14:paraId="24844053" w14:textId="77777777" w:rsidR="001D7D94" w:rsidRPr="00E73793" w:rsidRDefault="001D7D94" w:rsidP="001D7D94">
            <w:pPr>
              <w:pStyle w:val="ListParagraph"/>
              <w:numPr>
                <w:ilvl w:val="1"/>
                <w:numId w:val="3"/>
              </w:numPr>
              <w:rPr>
                <w:rFonts w:ascii="Times New Roman" w:hAnsi="Times New Roman" w:cs="Times New Roman"/>
                <w:sz w:val="24"/>
                <w:szCs w:val="24"/>
              </w:rPr>
            </w:pPr>
            <w:r w:rsidRPr="008C40FD">
              <w:rPr>
                <w:rFonts w:ascii="Times New Roman" w:hAnsi="Times New Roman" w:cs="Times New Roman"/>
                <w:sz w:val="24"/>
                <w:szCs w:val="24"/>
              </w:rPr>
              <w:t xml:space="preserve">Power and sample size can be estimated </w:t>
            </w:r>
            <w:r>
              <w:rPr>
                <w:rFonts w:ascii="Times New Roman" w:hAnsi="Times New Roman" w:cs="Times New Roman"/>
                <w:sz w:val="24"/>
                <w:szCs w:val="24"/>
              </w:rPr>
              <w:t xml:space="preserve">by </w:t>
            </w:r>
            <w:r w:rsidRPr="008C40FD">
              <w:rPr>
                <w:rFonts w:ascii="Times New Roman" w:hAnsi="Times New Roman" w:cs="Times New Roman"/>
                <w:sz w:val="24"/>
                <w:szCs w:val="24"/>
              </w:rPr>
              <w:t xml:space="preserve">calculating effect sizes of beta-diversity metrics and using statistical tests such as PERMANOVA </w:t>
            </w:r>
            <w:r>
              <w:rPr>
                <w:rFonts w:ascii="Times New Roman" w:hAnsi="Times New Roman" w:cs="Times New Roman"/>
                <w:noProof/>
                <w:sz w:val="24"/>
                <w:szCs w:val="24"/>
              </w:rPr>
              <w:t>(Kelly et al., 2015).</w:t>
            </w:r>
          </w:p>
          <w:p w14:paraId="00A4716B" w14:textId="77777777" w:rsidR="001D7D94" w:rsidRPr="00B115A4" w:rsidRDefault="001D7D94" w:rsidP="001D7D94">
            <w:pPr>
              <w:pStyle w:val="ListParagraph"/>
              <w:numPr>
                <w:ilvl w:val="1"/>
                <w:numId w:val="3"/>
              </w:numPr>
              <w:rPr>
                <w:rFonts w:ascii="Times New Roman" w:eastAsiaTheme="minorHAnsi" w:hAnsi="Times New Roman" w:cs="Times New Roman"/>
                <w:sz w:val="24"/>
                <w:szCs w:val="24"/>
              </w:rPr>
            </w:pPr>
            <w:r w:rsidRPr="00B115A4">
              <w:rPr>
                <w:rFonts w:ascii="Times New Roman" w:hAnsi="Times New Roman" w:cs="Times New Roman"/>
                <w:sz w:val="24"/>
                <w:szCs w:val="24"/>
              </w:rPr>
              <w:t xml:space="preserve">Refer to established microbiome protocols, such as the </w:t>
            </w:r>
            <w:r w:rsidRPr="008C40FD">
              <w:rPr>
                <w:rFonts w:ascii="Times New Roman" w:eastAsia="Times New Roman" w:hAnsi="Times New Roman" w:cs="Times New Roman"/>
                <w:i/>
                <w:sz w:val="24"/>
                <w:szCs w:val="24"/>
              </w:rPr>
              <w:t>Manual of Procedures</w:t>
            </w:r>
            <w:r w:rsidRPr="009E05AD">
              <w:rPr>
                <w:rFonts w:ascii="Times New Roman" w:eastAsia="Times New Roman" w:hAnsi="Times New Roman" w:cs="Times New Roman"/>
                <w:sz w:val="24"/>
                <w:szCs w:val="24"/>
              </w:rPr>
              <w:t xml:space="preserve"> for </w:t>
            </w:r>
            <w:r w:rsidRPr="00E73793">
              <w:rPr>
                <w:rFonts w:ascii="Times New Roman" w:eastAsia="Times New Roman" w:hAnsi="Times New Roman" w:cs="Times New Roman"/>
                <w:sz w:val="24"/>
                <w:szCs w:val="24"/>
              </w:rPr>
              <w:t>the Human Microbiome Project (HMP)</w:t>
            </w:r>
            <w:r w:rsidRPr="00B115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guide research plan and study considerations.</w:t>
            </w:r>
          </w:p>
          <w:p w14:paraId="3F9FD15D" w14:textId="77777777" w:rsidR="001D7D94" w:rsidRPr="00B115A4" w:rsidRDefault="001D7D94" w:rsidP="001D7D94">
            <w:pPr>
              <w:pStyle w:val="ListParagraph"/>
              <w:numPr>
                <w:ilvl w:val="1"/>
                <w:numId w:val="3"/>
              </w:numPr>
              <w:rPr>
                <w:rFonts w:ascii="Times New Roman" w:hAnsi="Times New Roman" w:cs="Times New Roman"/>
                <w:sz w:val="24"/>
                <w:szCs w:val="24"/>
              </w:rPr>
            </w:pPr>
            <w:r w:rsidRPr="00B115A4">
              <w:rPr>
                <w:rFonts w:ascii="Times New Roman" w:hAnsi="Times New Roman" w:cs="Times New Roman"/>
                <w:sz w:val="24"/>
                <w:szCs w:val="24"/>
              </w:rPr>
              <w:t>Using a control group allow</w:t>
            </w:r>
            <w:r>
              <w:rPr>
                <w:rFonts w:ascii="Times New Roman" w:hAnsi="Times New Roman" w:cs="Times New Roman"/>
                <w:sz w:val="24"/>
                <w:szCs w:val="24"/>
              </w:rPr>
              <w:t>s</w:t>
            </w:r>
            <w:r w:rsidRPr="00B115A4">
              <w:rPr>
                <w:rFonts w:ascii="Times New Roman" w:hAnsi="Times New Roman" w:cs="Times New Roman"/>
                <w:sz w:val="24"/>
                <w:szCs w:val="24"/>
              </w:rPr>
              <w:t xml:space="preserve"> investigator</w:t>
            </w:r>
            <w:r>
              <w:rPr>
                <w:rFonts w:ascii="Times New Roman" w:hAnsi="Times New Roman" w:cs="Times New Roman"/>
                <w:sz w:val="24"/>
                <w:szCs w:val="24"/>
              </w:rPr>
              <w:t>s</w:t>
            </w:r>
            <w:r w:rsidRPr="00B115A4">
              <w:rPr>
                <w:rFonts w:ascii="Times New Roman" w:hAnsi="Times New Roman" w:cs="Times New Roman"/>
                <w:sz w:val="24"/>
                <w:szCs w:val="24"/>
              </w:rPr>
              <w:t xml:space="preserve"> to account for microbiome changes over time (as compared to treatment effect)</w:t>
            </w:r>
            <w:r>
              <w:rPr>
                <w:rFonts w:ascii="Times New Roman" w:hAnsi="Times New Roman" w:cs="Times New Roman"/>
                <w:sz w:val="24"/>
                <w:szCs w:val="24"/>
              </w:rPr>
              <w:t>.</w:t>
            </w:r>
          </w:p>
          <w:p w14:paraId="712FBF2A" w14:textId="77777777" w:rsidR="001D7D94" w:rsidRPr="00B115A4" w:rsidRDefault="001D7D94" w:rsidP="001D7D94">
            <w:pPr>
              <w:pStyle w:val="ListParagraph"/>
              <w:numPr>
                <w:ilvl w:val="1"/>
                <w:numId w:val="3"/>
              </w:numPr>
              <w:rPr>
                <w:rFonts w:ascii="Times New Roman" w:hAnsi="Times New Roman" w:cs="Times New Roman"/>
                <w:sz w:val="24"/>
                <w:szCs w:val="24"/>
              </w:rPr>
            </w:pPr>
            <w:r w:rsidRPr="00B115A4">
              <w:rPr>
                <w:rFonts w:ascii="Times New Roman" w:hAnsi="Times New Roman" w:cs="Times New Roman"/>
                <w:sz w:val="24"/>
                <w:szCs w:val="24"/>
              </w:rPr>
              <w:t>The confound</w:t>
            </w:r>
            <w:r>
              <w:rPr>
                <w:rFonts w:ascii="Times New Roman" w:hAnsi="Times New Roman" w:cs="Times New Roman"/>
                <w:sz w:val="24"/>
                <w:szCs w:val="24"/>
              </w:rPr>
              <w:t>ing factors</w:t>
            </w:r>
            <w:r w:rsidRPr="00B115A4">
              <w:rPr>
                <w:rFonts w:ascii="Times New Roman" w:hAnsi="Times New Roman" w:cs="Times New Roman"/>
                <w:sz w:val="24"/>
                <w:szCs w:val="24"/>
              </w:rPr>
              <w:t xml:space="preserve"> listed in Figure 1 should be evaluated and controlled for in the planning stages of the research study</w:t>
            </w:r>
            <w:r>
              <w:rPr>
                <w:rFonts w:ascii="Times New Roman" w:hAnsi="Times New Roman" w:cs="Times New Roman"/>
                <w:sz w:val="24"/>
                <w:szCs w:val="24"/>
              </w:rPr>
              <w:t>.</w:t>
            </w:r>
          </w:p>
          <w:p w14:paraId="4FC5A684" w14:textId="77777777" w:rsidR="001D7D94" w:rsidRPr="00B115A4" w:rsidRDefault="001D7D94" w:rsidP="001D7D94">
            <w:pPr>
              <w:pStyle w:val="ListParagraph"/>
              <w:numPr>
                <w:ilvl w:val="0"/>
                <w:numId w:val="3"/>
              </w:numPr>
              <w:rPr>
                <w:rFonts w:ascii="Times New Roman" w:hAnsi="Times New Roman" w:cs="Times New Roman"/>
                <w:sz w:val="24"/>
                <w:szCs w:val="24"/>
              </w:rPr>
            </w:pPr>
            <w:r w:rsidRPr="008C40FD">
              <w:rPr>
                <w:rFonts w:ascii="Times New Roman" w:hAnsi="Times New Roman" w:cs="Times New Roman"/>
                <w:sz w:val="24"/>
                <w:szCs w:val="24"/>
              </w:rPr>
              <w:t>Sample collection</w:t>
            </w:r>
          </w:p>
          <w:p w14:paraId="6C920452" w14:textId="77777777" w:rsidR="001D7D94" w:rsidRPr="00B115A4" w:rsidRDefault="001D7D94" w:rsidP="001D7D94">
            <w:pPr>
              <w:pStyle w:val="ListParagraph"/>
              <w:numPr>
                <w:ilvl w:val="1"/>
                <w:numId w:val="3"/>
              </w:numPr>
              <w:rPr>
                <w:rFonts w:ascii="Times New Roman" w:hAnsi="Times New Roman" w:cs="Times New Roman"/>
                <w:sz w:val="24"/>
                <w:szCs w:val="24"/>
              </w:rPr>
            </w:pPr>
            <w:r w:rsidRPr="00B115A4">
              <w:rPr>
                <w:rFonts w:ascii="Times New Roman" w:eastAsia="Times New Roman" w:hAnsi="Times New Roman" w:cs="Times New Roman"/>
                <w:sz w:val="24"/>
                <w:szCs w:val="24"/>
              </w:rPr>
              <w:t xml:space="preserve">As many studies require a large number of samples, developing a </w:t>
            </w:r>
            <w:r w:rsidRPr="008C40FD">
              <w:rPr>
                <w:rFonts w:ascii="Times New Roman" w:eastAsia="Times New Roman" w:hAnsi="Times New Roman" w:cs="Times New Roman"/>
                <w:sz w:val="24"/>
                <w:szCs w:val="24"/>
              </w:rPr>
              <w:t>s</w:t>
            </w:r>
            <w:r w:rsidRPr="009E05AD">
              <w:rPr>
                <w:rFonts w:ascii="Times New Roman" w:eastAsia="Times New Roman" w:hAnsi="Times New Roman" w:cs="Times New Roman"/>
                <w:sz w:val="24"/>
                <w:szCs w:val="24"/>
              </w:rPr>
              <w:t>tandardized sample tracking system</w:t>
            </w:r>
            <w:r w:rsidRPr="00B115A4">
              <w:rPr>
                <w:rFonts w:ascii="Times New Roman" w:eastAsia="Times New Roman" w:hAnsi="Times New Roman" w:cs="Times New Roman"/>
                <w:sz w:val="24"/>
                <w:szCs w:val="24"/>
              </w:rPr>
              <w:t xml:space="preserve"> will allow close monitoring o</w:t>
            </w:r>
            <w:r>
              <w:rPr>
                <w:rFonts w:ascii="Times New Roman" w:eastAsia="Times New Roman" w:hAnsi="Times New Roman" w:cs="Times New Roman"/>
                <w:sz w:val="24"/>
                <w:szCs w:val="24"/>
              </w:rPr>
              <w:t>f</w:t>
            </w:r>
            <w:r w:rsidRPr="00B115A4">
              <w:rPr>
                <w:rFonts w:ascii="Times New Roman" w:eastAsia="Times New Roman" w:hAnsi="Times New Roman" w:cs="Times New Roman"/>
                <w:sz w:val="24"/>
                <w:szCs w:val="24"/>
              </w:rPr>
              <w:t xml:space="preserve"> sample inflow and organization</w:t>
            </w:r>
            <w:r>
              <w:rPr>
                <w:rFonts w:ascii="Times New Roman" w:eastAsia="Times New Roman" w:hAnsi="Times New Roman" w:cs="Times New Roman"/>
                <w:sz w:val="24"/>
                <w:szCs w:val="24"/>
              </w:rPr>
              <w:t>.</w:t>
            </w:r>
          </w:p>
          <w:p w14:paraId="38BCACFC" w14:textId="77777777" w:rsidR="001D7D94" w:rsidRPr="00B115A4" w:rsidRDefault="001D7D94" w:rsidP="001D7D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 minimum of </w:t>
            </w:r>
            <w:r w:rsidRPr="00B115A4">
              <w:rPr>
                <w:rFonts w:ascii="Times New Roman" w:hAnsi="Times New Roman" w:cs="Times New Roman"/>
                <w:sz w:val="24"/>
                <w:szCs w:val="24"/>
              </w:rPr>
              <w:t>2</w:t>
            </w:r>
            <w:r>
              <w:rPr>
                <w:rFonts w:ascii="Times New Roman" w:hAnsi="Times New Roman" w:cs="Times New Roman"/>
                <w:sz w:val="24"/>
                <w:szCs w:val="24"/>
              </w:rPr>
              <w:t>–</w:t>
            </w:r>
            <w:r w:rsidRPr="00B115A4">
              <w:rPr>
                <w:rFonts w:ascii="Times New Roman" w:hAnsi="Times New Roman" w:cs="Times New Roman"/>
                <w:sz w:val="24"/>
                <w:szCs w:val="24"/>
              </w:rPr>
              <w:t>3 replicate samples should be collected, especially when sampling areas of high variability such as the skin or mouth</w:t>
            </w:r>
            <w:r>
              <w:rPr>
                <w:rFonts w:ascii="Times New Roman" w:hAnsi="Times New Roman" w:cs="Times New Roman"/>
                <w:sz w:val="24"/>
                <w:szCs w:val="24"/>
              </w:rPr>
              <w:t>.</w:t>
            </w:r>
          </w:p>
          <w:p w14:paraId="3945084E" w14:textId="77777777" w:rsidR="001D7D94" w:rsidRPr="00B115A4" w:rsidRDefault="001D7D94" w:rsidP="001D7D94">
            <w:pPr>
              <w:pStyle w:val="ListParagraph"/>
              <w:numPr>
                <w:ilvl w:val="1"/>
                <w:numId w:val="3"/>
              </w:numPr>
              <w:rPr>
                <w:rFonts w:ascii="Times New Roman" w:hAnsi="Times New Roman" w:cs="Times New Roman"/>
                <w:sz w:val="24"/>
                <w:szCs w:val="24"/>
              </w:rPr>
            </w:pPr>
            <w:r w:rsidRPr="00B115A4">
              <w:rPr>
                <w:rFonts w:ascii="Times New Roman" w:hAnsi="Times New Roman" w:cs="Times New Roman"/>
                <w:sz w:val="24"/>
                <w:szCs w:val="24"/>
              </w:rPr>
              <w:t xml:space="preserve">If a device is used to collect samples (such as cotton swab), a device with no sample present should additionally be analyzed to evaluate for </w:t>
            </w:r>
            <w:r>
              <w:rPr>
                <w:rFonts w:ascii="Times New Roman" w:hAnsi="Times New Roman" w:cs="Times New Roman"/>
                <w:sz w:val="24"/>
                <w:szCs w:val="24"/>
              </w:rPr>
              <w:t>microbial</w:t>
            </w:r>
            <w:r w:rsidRPr="00B115A4">
              <w:rPr>
                <w:rFonts w:ascii="Times New Roman" w:hAnsi="Times New Roman" w:cs="Times New Roman"/>
                <w:sz w:val="24"/>
                <w:szCs w:val="24"/>
              </w:rPr>
              <w:t xml:space="preserve"> contamination of the sampling device</w:t>
            </w:r>
            <w:r>
              <w:rPr>
                <w:rFonts w:ascii="Times New Roman" w:hAnsi="Times New Roman" w:cs="Times New Roman"/>
                <w:sz w:val="24"/>
                <w:szCs w:val="24"/>
              </w:rPr>
              <w:t>.</w:t>
            </w:r>
          </w:p>
          <w:p w14:paraId="285C5A20" w14:textId="77777777" w:rsidR="001D7D94" w:rsidRPr="00B115A4" w:rsidRDefault="001D7D94" w:rsidP="001D7D94">
            <w:pPr>
              <w:pStyle w:val="ListParagraph"/>
              <w:numPr>
                <w:ilvl w:val="1"/>
                <w:numId w:val="3"/>
              </w:numPr>
              <w:rPr>
                <w:rFonts w:ascii="Times New Roman" w:hAnsi="Times New Roman" w:cs="Times New Roman"/>
                <w:sz w:val="24"/>
                <w:szCs w:val="24"/>
              </w:rPr>
            </w:pPr>
            <w:r w:rsidRPr="00B115A4">
              <w:rPr>
                <w:rFonts w:ascii="Times New Roman" w:hAnsi="Times New Roman" w:cs="Times New Roman"/>
                <w:sz w:val="24"/>
                <w:szCs w:val="24"/>
              </w:rPr>
              <w:t>There are minimum reporting standards on samples that are contributed to open</w:t>
            </w:r>
            <w:r>
              <w:rPr>
                <w:rFonts w:ascii="Times New Roman" w:hAnsi="Times New Roman" w:cs="Times New Roman"/>
                <w:sz w:val="24"/>
                <w:szCs w:val="24"/>
              </w:rPr>
              <w:t>-</w:t>
            </w:r>
            <w:r w:rsidRPr="00B115A4">
              <w:rPr>
                <w:rFonts w:ascii="Times New Roman" w:hAnsi="Times New Roman" w:cs="Times New Roman"/>
                <w:sz w:val="24"/>
                <w:szCs w:val="24"/>
              </w:rPr>
              <w:t xml:space="preserve">source platforms. Recording the sample metadata (or details about where the sample came from) at the beginning of the study will save time during data analysis </w:t>
            </w:r>
            <w:r w:rsidRPr="00B115A4">
              <w:rPr>
                <w:rFonts w:ascii="Times New Roman" w:hAnsi="Times New Roman" w:cs="Times New Roman"/>
                <w:noProof/>
                <w:sz w:val="24"/>
                <w:szCs w:val="24"/>
              </w:rPr>
              <w:t>(Field et al., 2008)</w:t>
            </w:r>
            <w:r>
              <w:rPr>
                <w:rFonts w:ascii="Times New Roman" w:hAnsi="Times New Roman" w:cs="Times New Roman"/>
                <w:noProof/>
                <w:sz w:val="24"/>
                <w:szCs w:val="24"/>
              </w:rPr>
              <w:t>.</w:t>
            </w:r>
          </w:p>
          <w:p w14:paraId="79FA4388" w14:textId="77777777" w:rsidR="001D7D94" w:rsidRPr="00B115A4" w:rsidRDefault="001D7D94" w:rsidP="001D7D94">
            <w:pPr>
              <w:pStyle w:val="ListParagraph"/>
              <w:numPr>
                <w:ilvl w:val="1"/>
                <w:numId w:val="3"/>
              </w:numPr>
              <w:rPr>
                <w:rFonts w:ascii="Times New Roman" w:hAnsi="Times New Roman" w:cs="Times New Roman"/>
                <w:sz w:val="24"/>
                <w:szCs w:val="24"/>
              </w:rPr>
            </w:pPr>
            <w:r w:rsidRPr="00B115A4">
              <w:rPr>
                <w:rFonts w:ascii="Times New Roman" w:hAnsi="Times New Roman" w:cs="Times New Roman"/>
                <w:sz w:val="24"/>
                <w:szCs w:val="24"/>
              </w:rPr>
              <w:t>Standardized environmental conditions should be maintained during sample storing and shipping. Consult with previous protocols or the lab processing microbiome samples, if applicable, about optimal sample preparation and storage for the methodology used</w:t>
            </w:r>
            <w:r>
              <w:rPr>
                <w:rFonts w:ascii="Times New Roman" w:hAnsi="Times New Roman" w:cs="Times New Roman"/>
                <w:sz w:val="24"/>
                <w:szCs w:val="24"/>
              </w:rPr>
              <w:t>.</w:t>
            </w:r>
          </w:p>
          <w:p w14:paraId="10FDA44E" w14:textId="77777777" w:rsidR="001D7D94" w:rsidRPr="00B115A4" w:rsidRDefault="001D7D94" w:rsidP="001D7D94">
            <w:pPr>
              <w:pStyle w:val="ListParagraph"/>
              <w:numPr>
                <w:ilvl w:val="0"/>
                <w:numId w:val="3"/>
              </w:numPr>
              <w:rPr>
                <w:rFonts w:ascii="Times New Roman" w:hAnsi="Times New Roman" w:cs="Times New Roman"/>
                <w:sz w:val="24"/>
                <w:szCs w:val="24"/>
              </w:rPr>
            </w:pPr>
            <w:r w:rsidRPr="00B115A4">
              <w:rPr>
                <w:rFonts w:ascii="Times New Roman" w:hAnsi="Times New Roman" w:cs="Times New Roman"/>
                <w:sz w:val="24"/>
                <w:szCs w:val="24"/>
              </w:rPr>
              <w:t xml:space="preserve">Sample </w:t>
            </w:r>
            <w:r>
              <w:rPr>
                <w:rFonts w:ascii="Times New Roman" w:hAnsi="Times New Roman" w:cs="Times New Roman"/>
                <w:sz w:val="24"/>
                <w:szCs w:val="24"/>
              </w:rPr>
              <w:t>a</w:t>
            </w:r>
            <w:r w:rsidRPr="00B115A4">
              <w:rPr>
                <w:rFonts w:ascii="Times New Roman" w:hAnsi="Times New Roman" w:cs="Times New Roman"/>
                <w:sz w:val="24"/>
                <w:szCs w:val="24"/>
              </w:rPr>
              <w:t>nalysis</w:t>
            </w:r>
          </w:p>
          <w:p w14:paraId="6D950D63" w14:textId="77777777" w:rsidR="001D7D94" w:rsidRPr="00B115A4" w:rsidRDefault="001D7D94" w:rsidP="001D7D94">
            <w:pPr>
              <w:pStyle w:val="ListParagraph"/>
              <w:numPr>
                <w:ilvl w:val="1"/>
                <w:numId w:val="3"/>
              </w:numPr>
              <w:rPr>
                <w:rFonts w:ascii="Times New Roman" w:hAnsi="Times New Roman" w:cs="Times New Roman"/>
                <w:sz w:val="24"/>
                <w:szCs w:val="24"/>
              </w:rPr>
            </w:pPr>
            <w:r w:rsidRPr="00B115A4">
              <w:rPr>
                <w:rFonts w:ascii="Times New Roman" w:hAnsi="Times New Roman" w:cs="Times New Roman"/>
                <w:sz w:val="24"/>
                <w:szCs w:val="24"/>
              </w:rPr>
              <w:t>DNA extraction methods and kits influence results.</w:t>
            </w:r>
            <w:r>
              <w:rPr>
                <w:rFonts w:ascii="Times New Roman" w:hAnsi="Times New Roman" w:cs="Times New Roman"/>
                <w:sz w:val="24"/>
                <w:szCs w:val="24"/>
              </w:rPr>
              <w:t xml:space="preserve"> Ensure sample-processing consistency for all samples in a study and r</w:t>
            </w:r>
            <w:r w:rsidRPr="00B115A4">
              <w:rPr>
                <w:rFonts w:ascii="Times New Roman" w:hAnsi="Times New Roman" w:cs="Times New Roman"/>
                <w:sz w:val="24"/>
                <w:szCs w:val="24"/>
              </w:rPr>
              <w:t xml:space="preserve">ecord the kit and extraction </w:t>
            </w:r>
            <w:r>
              <w:rPr>
                <w:rFonts w:ascii="Times New Roman" w:hAnsi="Times New Roman" w:cs="Times New Roman"/>
                <w:sz w:val="24"/>
                <w:szCs w:val="24"/>
              </w:rPr>
              <w:t>protocols</w:t>
            </w:r>
            <w:r w:rsidRPr="00B115A4">
              <w:rPr>
                <w:rFonts w:ascii="Times New Roman" w:hAnsi="Times New Roman" w:cs="Times New Roman"/>
                <w:sz w:val="24"/>
                <w:szCs w:val="24"/>
              </w:rPr>
              <w:t xml:space="preserve"> used</w:t>
            </w:r>
            <w:r>
              <w:rPr>
                <w:rFonts w:ascii="Times New Roman" w:hAnsi="Times New Roman" w:cs="Times New Roman"/>
                <w:sz w:val="24"/>
                <w:szCs w:val="24"/>
              </w:rPr>
              <w:t>.</w:t>
            </w:r>
          </w:p>
          <w:p w14:paraId="0A2F92FE" w14:textId="77777777" w:rsidR="001D7D94" w:rsidRPr="00B115A4" w:rsidRDefault="001D7D94" w:rsidP="001D7D94">
            <w:pPr>
              <w:pStyle w:val="ListParagraph"/>
              <w:numPr>
                <w:ilvl w:val="1"/>
                <w:numId w:val="3"/>
              </w:numPr>
              <w:rPr>
                <w:rFonts w:ascii="Times New Roman" w:hAnsi="Times New Roman" w:cs="Times New Roman"/>
                <w:sz w:val="24"/>
                <w:szCs w:val="24"/>
              </w:rPr>
            </w:pPr>
            <w:r w:rsidRPr="00B115A4">
              <w:rPr>
                <w:rFonts w:ascii="Times New Roman" w:hAnsi="Times New Roman" w:cs="Times New Roman"/>
                <w:sz w:val="24"/>
                <w:szCs w:val="24"/>
              </w:rPr>
              <w:t xml:space="preserve">Decision of </w:t>
            </w:r>
            <w:r>
              <w:rPr>
                <w:rFonts w:ascii="Times New Roman" w:hAnsi="Times New Roman" w:cs="Times New Roman"/>
                <w:sz w:val="24"/>
                <w:szCs w:val="24"/>
              </w:rPr>
              <w:t>whether to use</w:t>
            </w:r>
            <w:r w:rsidRPr="00B115A4">
              <w:rPr>
                <w:rFonts w:ascii="Times New Roman" w:hAnsi="Times New Roman" w:cs="Times New Roman"/>
                <w:sz w:val="24"/>
                <w:szCs w:val="24"/>
              </w:rPr>
              <w:t xml:space="preserve">16S rRNA vs. shotgun metagenomics sequencing should be made based on study question, </w:t>
            </w:r>
            <w:r>
              <w:rPr>
                <w:rFonts w:ascii="Times New Roman" w:hAnsi="Times New Roman" w:cs="Times New Roman"/>
                <w:sz w:val="24"/>
                <w:szCs w:val="24"/>
              </w:rPr>
              <w:t>microorganisms</w:t>
            </w:r>
            <w:r w:rsidRPr="00B115A4">
              <w:rPr>
                <w:rFonts w:ascii="Times New Roman" w:hAnsi="Times New Roman" w:cs="Times New Roman"/>
                <w:sz w:val="24"/>
                <w:szCs w:val="24"/>
              </w:rPr>
              <w:t xml:space="preserve"> </w:t>
            </w:r>
            <w:r>
              <w:rPr>
                <w:rFonts w:ascii="Times New Roman" w:hAnsi="Times New Roman" w:cs="Times New Roman"/>
                <w:sz w:val="24"/>
                <w:szCs w:val="24"/>
              </w:rPr>
              <w:t xml:space="preserve">and/or genes </w:t>
            </w:r>
            <w:r w:rsidRPr="00B115A4">
              <w:rPr>
                <w:rFonts w:ascii="Times New Roman" w:hAnsi="Times New Roman" w:cs="Times New Roman"/>
                <w:sz w:val="24"/>
                <w:szCs w:val="24"/>
              </w:rPr>
              <w:t>of interest</w:t>
            </w:r>
            <w:r>
              <w:rPr>
                <w:rFonts w:ascii="Times New Roman" w:hAnsi="Times New Roman" w:cs="Times New Roman"/>
                <w:sz w:val="24"/>
                <w:szCs w:val="24"/>
              </w:rPr>
              <w:t>,</w:t>
            </w:r>
            <w:r w:rsidRPr="00B115A4">
              <w:rPr>
                <w:rFonts w:ascii="Times New Roman" w:hAnsi="Times New Roman" w:cs="Times New Roman"/>
                <w:sz w:val="24"/>
                <w:szCs w:val="24"/>
              </w:rPr>
              <w:t xml:space="preserve"> and research hypotheses. </w:t>
            </w:r>
          </w:p>
          <w:p w14:paraId="5E26CFD8" w14:textId="77777777" w:rsidR="001D7D94" w:rsidRDefault="001D7D94" w:rsidP="001D7D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When</w:t>
            </w:r>
            <w:r w:rsidRPr="00B115A4">
              <w:rPr>
                <w:rFonts w:ascii="Times New Roman" w:hAnsi="Times New Roman" w:cs="Times New Roman"/>
                <w:sz w:val="24"/>
                <w:szCs w:val="24"/>
              </w:rPr>
              <w:t xml:space="preserve"> using 16</w:t>
            </w:r>
            <w:r>
              <w:rPr>
                <w:rFonts w:ascii="Times New Roman" w:hAnsi="Times New Roman" w:cs="Times New Roman"/>
                <w:sz w:val="24"/>
                <w:szCs w:val="24"/>
              </w:rPr>
              <w:t>S</w:t>
            </w:r>
            <w:r w:rsidRPr="00B115A4">
              <w:rPr>
                <w:rFonts w:ascii="Times New Roman" w:hAnsi="Times New Roman" w:cs="Times New Roman"/>
                <w:sz w:val="24"/>
                <w:szCs w:val="24"/>
              </w:rPr>
              <w:t xml:space="preserve"> rRNA sequencing, selection of </w:t>
            </w:r>
            <w:r>
              <w:rPr>
                <w:rFonts w:ascii="Times New Roman" w:hAnsi="Times New Roman" w:cs="Times New Roman"/>
                <w:sz w:val="24"/>
                <w:szCs w:val="24"/>
              </w:rPr>
              <w:t>PCR</w:t>
            </w:r>
            <w:r w:rsidRPr="00B115A4">
              <w:rPr>
                <w:rFonts w:ascii="Times New Roman" w:hAnsi="Times New Roman" w:cs="Times New Roman"/>
                <w:sz w:val="24"/>
                <w:szCs w:val="24"/>
              </w:rPr>
              <w:t xml:space="preserve"> primer</w:t>
            </w:r>
            <w:r>
              <w:rPr>
                <w:rFonts w:ascii="Times New Roman" w:hAnsi="Times New Roman" w:cs="Times New Roman"/>
                <w:sz w:val="24"/>
                <w:szCs w:val="24"/>
              </w:rPr>
              <w:t>s should</w:t>
            </w:r>
            <w:r w:rsidRPr="00B115A4">
              <w:rPr>
                <w:rFonts w:ascii="Times New Roman" w:hAnsi="Times New Roman" w:cs="Times New Roman"/>
                <w:sz w:val="24"/>
                <w:szCs w:val="24"/>
              </w:rPr>
              <w:t xml:space="preserve"> be guided by previous studies</w:t>
            </w:r>
            <w:r>
              <w:rPr>
                <w:rFonts w:ascii="Times New Roman" w:hAnsi="Times New Roman" w:cs="Times New Roman"/>
                <w:sz w:val="24"/>
                <w:szCs w:val="24"/>
              </w:rPr>
              <w:t>, particularly when attempting to distinguish between closely related species.</w:t>
            </w:r>
          </w:p>
          <w:p w14:paraId="12008CCE" w14:textId="77777777" w:rsidR="001D7D94" w:rsidRPr="00B115A4" w:rsidRDefault="001D7D94" w:rsidP="0031491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tc>
      </w:tr>
      <w:tr w:rsidR="001D7D94" w:rsidRPr="00615EDA" w14:paraId="6C6216C7" w14:textId="77777777" w:rsidTr="00314916">
        <w:tc>
          <w:tcPr>
            <w:tcW w:w="12510" w:type="dxa"/>
            <w:gridSpan w:val="2"/>
            <w:shd w:val="clear" w:color="auto" w:fill="auto"/>
          </w:tcPr>
          <w:p w14:paraId="6F460606" w14:textId="77777777" w:rsidR="001D7D94" w:rsidRPr="00B115A4" w:rsidRDefault="001D7D94" w:rsidP="00314916">
            <w:pPr>
              <w:rPr>
                <w:rFonts w:ascii="Times New Roman" w:hAnsi="Times New Roman" w:cs="Times New Roman"/>
                <w:b/>
                <w:sz w:val="24"/>
                <w:szCs w:val="24"/>
              </w:rPr>
            </w:pPr>
            <w:r w:rsidRPr="00B115A4">
              <w:rPr>
                <w:rFonts w:ascii="Times New Roman" w:hAnsi="Times New Roman" w:cs="Times New Roman"/>
                <w:b/>
                <w:sz w:val="24"/>
                <w:szCs w:val="24"/>
              </w:rPr>
              <w:t>Special Considerations for Human Studies</w:t>
            </w:r>
          </w:p>
        </w:tc>
      </w:tr>
      <w:tr w:rsidR="001D7D94" w:rsidRPr="00615EDA" w14:paraId="0E725050" w14:textId="77777777" w:rsidTr="00314916">
        <w:tc>
          <w:tcPr>
            <w:tcW w:w="12510" w:type="dxa"/>
            <w:gridSpan w:val="2"/>
            <w:shd w:val="clear" w:color="auto" w:fill="auto"/>
          </w:tcPr>
          <w:p w14:paraId="0A10C137" w14:textId="77777777" w:rsidR="001D7D94" w:rsidRPr="00B115A4" w:rsidRDefault="001D7D94" w:rsidP="001D7D94">
            <w:pPr>
              <w:pStyle w:val="ListParagraph"/>
              <w:numPr>
                <w:ilvl w:val="0"/>
                <w:numId w:val="4"/>
              </w:numPr>
              <w:rPr>
                <w:rFonts w:ascii="Times New Roman" w:hAnsi="Times New Roman" w:cs="Times New Roman"/>
                <w:sz w:val="24"/>
                <w:szCs w:val="24"/>
              </w:rPr>
            </w:pPr>
            <w:r w:rsidRPr="00B115A4">
              <w:rPr>
                <w:rFonts w:ascii="Times New Roman" w:hAnsi="Times New Roman" w:cs="Times New Roman"/>
                <w:sz w:val="24"/>
                <w:szCs w:val="24"/>
              </w:rPr>
              <w:t xml:space="preserve">Study </w:t>
            </w:r>
            <w:r>
              <w:rPr>
                <w:rFonts w:ascii="Times New Roman" w:hAnsi="Times New Roman" w:cs="Times New Roman"/>
                <w:sz w:val="24"/>
                <w:szCs w:val="24"/>
              </w:rPr>
              <w:t>d</w:t>
            </w:r>
            <w:r w:rsidRPr="00B115A4">
              <w:rPr>
                <w:rFonts w:ascii="Times New Roman" w:hAnsi="Times New Roman" w:cs="Times New Roman"/>
                <w:sz w:val="24"/>
                <w:szCs w:val="24"/>
              </w:rPr>
              <w:t>esign</w:t>
            </w:r>
          </w:p>
          <w:p w14:paraId="3FD10444" w14:textId="77777777" w:rsidR="001D7D94" w:rsidRPr="00B115A4" w:rsidRDefault="001D7D94" w:rsidP="001D7D94">
            <w:pPr>
              <w:pStyle w:val="ListParagraph"/>
              <w:numPr>
                <w:ilvl w:val="1"/>
                <w:numId w:val="4"/>
              </w:numPr>
              <w:rPr>
                <w:rFonts w:ascii="Times New Roman" w:hAnsi="Times New Roman" w:cs="Times New Roman"/>
                <w:sz w:val="24"/>
                <w:szCs w:val="24"/>
              </w:rPr>
            </w:pPr>
            <w:r w:rsidRPr="008C40FD">
              <w:rPr>
                <w:rFonts w:ascii="Times New Roman" w:hAnsi="Times New Roman" w:cs="Times New Roman"/>
                <w:sz w:val="24"/>
                <w:szCs w:val="24"/>
              </w:rPr>
              <w:t>Account for attrition when calculating sample sizes</w:t>
            </w:r>
            <w:r>
              <w:rPr>
                <w:rFonts w:ascii="Times New Roman" w:hAnsi="Times New Roman" w:cs="Times New Roman"/>
                <w:sz w:val="24"/>
                <w:szCs w:val="24"/>
              </w:rPr>
              <w:t>, particularly</w:t>
            </w:r>
            <w:r w:rsidRPr="008C40FD">
              <w:rPr>
                <w:rFonts w:ascii="Times New Roman" w:hAnsi="Times New Roman" w:cs="Times New Roman"/>
                <w:sz w:val="24"/>
                <w:szCs w:val="24"/>
              </w:rPr>
              <w:t xml:space="preserve"> </w:t>
            </w:r>
            <w:r w:rsidRPr="00B115A4">
              <w:rPr>
                <w:rFonts w:ascii="Times New Roman" w:hAnsi="Times New Roman" w:cs="Times New Roman"/>
                <w:sz w:val="24"/>
                <w:szCs w:val="24"/>
              </w:rPr>
              <w:t>if</w:t>
            </w:r>
            <w:r w:rsidRPr="008C40FD">
              <w:rPr>
                <w:rFonts w:ascii="Times New Roman" w:hAnsi="Times New Roman" w:cs="Times New Roman"/>
                <w:sz w:val="24"/>
                <w:szCs w:val="24"/>
              </w:rPr>
              <w:t xml:space="preserve"> repeated sampl</w:t>
            </w:r>
            <w:r>
              <w:rPr>
                <w:rFonts w:ascii="Times New Roman" w:hAnsi="Times New Roman" w:cs="Times New Roman"/>
                <w:sz w:val="24"/>
                <w:szCs w:val="24"/>
              </w:rPr>
              <w:t>ing</w:t>
            </w:r>
            <w:r w:rsidRPr="008C40FD">
              <w:rPr>
                <w:rFonts w:ascii="Times New Roman" w:hAnsi="Times New Roman" w:cs="Times New Roman"/>
                <w:sz w:val="24"/>
                <w:szCs w:val="24"/>
              </w:rPr>
              <w:t xml:space="preserve"> or fecal</w:t>
            </w:r>
            <w:r>
              <w:rPr>
                <w:rFonts w:ascii="Times New Roman" w:hAnsi="Times New Roman" w:cs="Times New Roman"/>
                <w:sz w:val="24"/>
                <w:szCs w:val="24"/>
              </w:rPr>
              <w:t>/blood</w:t>
            </w:r>
            <w:r w:rsidRPr="008C40FD">
              <w:rPr>
                <w:rFonts w:ascii="Times New Roman" w:hAnsi="Times New Roman" w:cs="Times New Roman"/>
                <w:sz w:val="24"/>
                <w:szCs w:val="24"/>
              </w:rPr>
              <w:t xml:space="preserve"> s</w:t>
            </w:r>
            <w:r w:rsidRPr="009E05AD">
              <w:rPr>
                <w:rFonts w:ascii="Times New Roman" w:hAnsi="Times New Roman" w:cs="Times New Roman"/>
                <w:sz w:val="24"/>
                <w:szCs w:val="24"/>
              </w:rPr>
              <w:t>ampling is involved</w:t>
            </w:r>
            <w:r>
              <w:rPr>
                <w:rFonts w:ascii="Times New Roman" w:hAnsi="Times New Roman" w:cs="Times New Roman"/>
                <w:sz w:val="24"/>
                <w:szCs w:val="24"/>
              </w:rPr>
              <w:t>.</w:t>
            </w:r>
          </w:p>
          <w:p w14:paraId="509D81C3" w14:textId="77777777" w:rsidR="001D7D94" w:rsidRDefault="001D7D94" w:rsidP="001D7D94">
            <w:pPr>
              <w:pStyle w:val="ListParagraph"/>
              <w:numPr>
                <w:ilvl w:val="1"/>
                <w:numId w:val="4"/>
              </w:numPr>
              <w:rPr>
                <w:rFonts w:ascii="Times New Roman" w:hAnsi="Times New Roman" w:cs="Times New Roman"/>
                <w:sz w:val="24"/>
                <w:szCs w:val="24"/>
              </w:rPr>
            </w:pPr>
            <w:r w:rsidRPr="00B115A4">
              <w:rPr>
                <w:rFonts w:ascii="Times New Roman" w:hAnsi="Times New Roman" w:cs="Times New Roman"/>
                <w:sz w:val="24"/>
                <w:szCs w:val="24"/>
              </w:rPr>
              <w:lastRenderedPageBreak/>
              <w:t>A standardized education plan for study participants can increase participant involvement and may decrease attrition rates</w:t>
            </w:r>
            <w:r>
              <w:rPr>
                <w:rFonts w:ascii="Times New Roman" w:hAnsi="Times New Roman" w:cs="Times New Roman"/>
                <w:sz w:val="24"/>
                <w:szCs w:val="24"/>
              </w:rPr>
              <w:t>.</w:t>
            </w:r>
          </w:p>
          <w:p w14:paraId="4588069B" w14:textId="77777777" w:rsidR="001D7D94" w:rsidRPr="00B115A4" w:rsidRDefault="001D7D94" w:rsidP="001D7D9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Account for dietary intake, antibiotic and other medications used, and geographical location.</w:t>
            </w:r>
          </w:p>
        </w:tc>
      </w:tr>
      <w:tr w:rsidR="001D7D94" w:rsidRPr="00615EDA" w14:paraId="0AB6B80C" w14:textId="77777777" w:rsidTr="00314916">
        <w:tc>
          <w:tcPr>
            <w:tcW w:w="12510" w:type="dxa"/>
            <w:gridSpan w:val="2"/>
            <w:shd w:val="clear" w:color="auto" w:fill="auto"/>
          </w:tcPr>
          <w:p w14:paraId="527FC508" w14:textId="77777777" w:rsidR="001D7D94" w:rsidRPr="00B115A4" w:rsidRDefault="001D7D94" w:rsidP="00314916">
            <w:pPr>
              <w:rPr>
                <w:rFonts w:ascii="Times New Roman" w:hAnsi="Times New Roman" w:cs="Times New Roman"/>
                <w:b/>
                <w:sz w:val="24"/>
                <w:szCs w:val="24"/>
              </w:rPr>
            </w:pPr>
            <w:r w:rsidRPr="00B115A4">
              <w:rPr>
                <w:rFonts w:ascii="Times New Roman" w:hAnsi="Times New Roman" w:cs="Times New Roman"/>
                <w:b/>
                <w:sz w:val="24"/>
                <w:szCs w:val="24"/>
              </w:rPr>
              <w:lastRenderedPageBreak/>
              <w:t>Special Considerations for Animal Studies</w:t>
            </w:r>
          </w:p>
        </w:tc>
      </w:tr>
      <w:tr w:rsidR="001D7D94" w:rsidRPr="00615EDA" w14:paraId="6ECA3B25" w14:textId="77777777" w:rsidTr="00314916">
        <w:trPr>
          <w:trHeight w:val="2303"/>
        </w:trPr>
        <w:tc>
          <w:tcPr>
            <w:tcW w:w="12510" w:type="dxa"/>
            <w:gridSpan w:val="2"/>
            <w:shd w:val="clear" w:color="auto" w:fill="auto"/>
          </w:tcPr>
          <w:p w14:paraId="1EBF6CAB" w14:textId="77777777" w:rsidR="001D7D94" w:rsidRPr="008C40FD" w:rsidRDefault="001D7D94" w:rsidP="001D7D94">
            <w:pPr>
              <w:pStyle w:val="ListParagraph"/>
              <w:numPr>
                <w:ilvl w:val="0"/>
                <w:numId w:val="5"/>
              </w:numPr>
              <w:rPr>
                <w:rFonts w:ascii="Times New Roman" w:hAnsi="Times New Roman" w:cs="Times New Roman"/>
                <w:sz w:val="24"/>
                <w:szCs w:val="24"/>
              </w:rPr>
            </w:pPr>
            <w:r w:rsidRPr="008C40FD">
              <w:rPr>
                <w:rFonts w:ascii="Times New Roman" w:hAnsi="Times New Roman" w:cs="Times New Roman"/>
                <w:sz w:val="24"/>
                <w:szCs w:val="24"/>
              </w:rPr>
              <w:t xml:space="preserve">Study </w:t>
            </w:r>
            <w:r>
              <w:rPr>
                <w:rFonts w:ascii="Times New Roman" w:hAnsi="Times New Roman" w:cs="Times New Roman"/>
                <w:sz w:val="24"/>
                <w:szCs w:val="24"/>
              </w:rPr>
              <w:t>d</w:t>
            </w:r>
            <w:r w:rsidRPr="008C40FD">
              <w:rPr>
                <w:rFonts w:ascii="Times New Roman" w:hAnsi="Times New Roman" w:cs="Times New Roman"/>
                <w:sz w:val="24"/>
                <w:szCs w:val="24"/>
              </w:rPr>
              <w:t>esign</w:t>
            </w:r>
          </w:p>
          <w:p w14:paraId="30B89A76" w14:textId="77777777" w:rsidR="001D7D94" w:rsidRPr="00B115A4" w:rsidRDefault="001D7D94" w:rsidP="001D7D94">
            <w:pPr>
              <w:pStyle w:val="ListParagraph"/>
              <w:numPr>
                <w:ilvl w:val="1"/>
                <w:numId w:val="5"/>
              </w:numPr>
              <w:rPr>
                <w:rFonts w:ascii="Times New Roman" w:hAnsi="Times New Roman" w:cs="Times New Roman"/>
                <w:sz w:val="24"/>
                <w:szCs w:val="24"/>
              </w:rPr>
            </w:pPr>
            <w:r w:rsidRPr="008C40FD">
              <w:rPr>
                <w:rFonts w:ascii="Times New Roman" w:hAnsi="Times New Roman" w:cs="Times New Roman"/>
                <w:sz w:val="24"/>
                <w:szCs w:val="24"/>
              </w:rPr>
              <w:t xml:space="preserve">Animals should be purchased by the same vendor throughout the study, as </w:t>
            </w:r>
            <w:r>
              <w:rPr>
                <w:rFonts w:ascii="Times New Roman" w:hAnsi="Times New Roman" w:cs="Times New Roman"/>
                <w:sz w:val="24"/>
                <w:szCs w:val="24"/>
              </w:rPr>
              <w:t xml:space="preserve">use of </w:t>
            </w:r>
            <w:r w:rsidRPr="008C40FD">
              <w:rPr>
                <w:rFonts w:ascii="Times New Roman" w:hAnsi="Times New Roman" w:cs="Times New Roman"/>
                <w:sz w:val="24"/>
                <w:szCs w:val="24"/>
              </w:rPr>
              <w:t>multiple vendors can introduce confounding environmental variability</w:t>
            </w:r>
            <w:r>
              <w:rPr>
                <w:rFonts w:ascii="Times New Roman" w:hAnsi="Times New Roman" w:cs="Times New Roman"/>
                <w:sz w:val="24"/>
                <w:szCs w:val="24"/>
              </w:rPr>
              <w:t>.</w:t>
            </w:r>
            <w:r w:rsidRPr="008C40FD">
              <w:rPr>
                <w:rFonts w:ascii="Times New Roman" w:hAnsi="Times New Roman" w:cs="Times New Roman"/>
                <w:sz w:val="24"/>
                <w:szCs w:val="24"/>
              </w:rPr>
              <w:t xml:space="preserve"> </w:t>
            </w:r>
          </w:p>
          <w:p w14:paraId="350A7F81" w14:textId="77777777" w:rsidR="001D7D94" w:rsidRPr="00B115A4" w:rsidRDefault="001D7D94" w:rsidP="001D7D94">
            <w:pPr>
              <w:pStyle w:val="ListParagraph"/>
              <w:numPr>
                <w:ilvl w:val="1"/>
                <w:numId w:val="5"/>
              </w:numPr>
              <w:rPr>
                <w:rFonts w:ascii="Times New Roman" w:eastAsia="Times New Roman" w:hAnsi="Times New Roman" w:cs="Times New Roman"/>
                <w:sz w:val="24"/>
                <w:szCs w:val="24"/>
              </w:rPr>
            </w:pPr>
            <w:r w:rsidRPr="00B115A4">
              <w:rPr>
                <w:rFonts w:ascii="Times New Roman" w:hAnsi="Times New Roman" w:cs="Times New Roman"/>
                <w:sz w:val="24"/>
                <w:szCs w:val="24"/>
              </w:rPr>
              <w:t xml:space="preserve">Animals housed in the same cage will display similar bacterial abundance patterns. Investigators should set up multiple cages for each group and consider </w:t>
            </w:r>
            <w:r>
              <w:rPr>
                <w:rFonts w:ascii="Times New Roman" w:hAnsi="Times New Roman" w:cs="Times New Roman"/>
                <w:sz w:val="24"/>
                <w:szCs w:val="24"/>
              </w:rPr>
              <w:t>cohabitation</w:t>
            </w:r>
            <w:r w:rsidRPr="00B115A4">
              <w:rPr>
                <w:rFonts w:ascii="Times New Roman" w:hAnsi="Times New Roman" w:cs="Times New Roman"/>
                <w:sz w:val="24"/>
                <w:szCs w:val="24"/>
              </w:rPr>
              <w:t xml:space="preserve"> of animals in the final statistical analysis, if applicable </w:t>
            </w:r>
            <w:r w:rsidRPr="00B115A4">
              <w:rPr>
                <w:rFonts w:ascii="Times New Roman" w:hAnsi="Times New Roman" w:cs="Times New Roman"/>
                <w:noProof/>
                <w:sz w:val="24"/>
                <w:szCs w:val="24"/>
              </w:rPr>
              <w:t>(Kim et al., 2017)</w:t>
            </w:r>
            <w:r>
              <w:rPr>
                <w:rFonts w:ascii="Times New Roman" w:hAnsi="Times New Roman" w:cs="Times New Roman"/>
                <w:noProof/>
                <w:sz w:val="24"/>
                <w:szCs w:val="24"/>
              </w:rPr>
              <w:t>.</w:t>
            </w:r>
            <w:r w:rsidRPr="00B115A4">
              <w:rPr>
                <w:rFonts w:ascii="Times New Roman" w:hAnsi="Times New Roman" w:cs="Times New Roman"/>
                <w:sz w:val="24"/>
                <w:szCs w:val="24"/>
              </w:rPr>
              <w:t xml:space="preserve"> </w:t>
            </w:r>
          </w:p>
        </w:tc>
      </w:tr>
    </w:tbl>
    <w:p w14:paraId="5F4BFEFD" w14:textId="77777777" w:rsidR="001D7D94" w:rsidRPr="002C4D27" w:rsidRDefault="001D7D94" w:rsidP="001D7D9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DNA = deoxyribonucleic acid; PCR = polymerase chain reaction; rRNA = ribosomal ribonucleic acid.</w:t>
      </w:r>
    </w:p>
    <w:p w14:paraId="01821631" w14:textId="6ADA0727" w:rsidR="001D7D94" w:rsidRDefault="001D7D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BE0648" w14:textId="4236B757" w:rsidR="001D7D94" w:rsidRPr="001D7D94" w:rsidRDefault="001D7D94" w:rsidP="001D7D94">
      <w:pPr>
        <w:spacing w:after="160" w:line="259" w:lineRule="auto"/>
        <w:rPr>
          <w:rFonts w:ascii="Times New Roman" w:eastAsia="Times New Roman" w:hAnsi="Times New Roman" w:cs="Times New Roman"/>
          <w:b/>
          <w:sz w:val="24"/>
          <w:szCs w:val="24"/>
        </w:rPr>
      </w:pPr>
      <w:r w:rsidRPr="00D031D6">
        <w:rPr>
          <w:rFonts w:ascii="Times New Roman" w:eastAsia="Times New Roman" w:hAnsi="Times New Roman" w:cs="Times New Roman"/>
          <w:b/>
          <w:sz w:val="24"/>
          <w:szCs w:val="24"/>
        </w:rPr>
        <w:lastRenderedPageBreak/>
        <w:t>Table 3.</w:t>
      </w:r>
      <w:r>
        <w:rPr>
          <w:rFonts w:ascii="Times New Roman" w:eastAsia="Times New Roman" w:hAnsi="Times New Roman" w:cs="Times New Roman"/>
          <w:sz w:val="24"/>
          <w:szCs w:val="24"/>
        </w:rPr>
        <w:t xml:space="preserve"> </w:t>
      </w:r>
      <w:r w:rsidRPr="00D031D6">
        <w:rPr>
          <w:rFonts w:ascii="Times New Roman" w:eastAsia="Times New Roman" w:hAnsi="Times New Roman" w:cs="Times New Roman"/>
          <w:sz w:val="24"/>
          <w:szCs w:val="24"/>
        </w:rPr>
        <w:t>Microbiome Research Performed by Nurse Scientists</w:t>
      </w:r>
    </w:p>
    <w:tbl>
      <w:tblPr>
        <w:tblStyle w:val="TableGrid"/>
        <w:tblW w:w="15120" w:type="dxa"/>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1440"/>
        <w:gridCol w:w="1890"/>
        <w:gridCol w:w="1440"/>
        <w:gridCol w:w="1710"/>
        <w:gridCol w:w="1710"/>
        <w:gridCol w:w="2160"/>
        <w:gridCol w:w="1710"/>
        <w:gridCol w:w="2070"/>
      </w:tblGrid>
      <w:tr w:rsidR="001D7D94" w:rsidRPr="00D031D6" w14:paraId="32A8C50B" w14:textId="77777777" w:rsidTr="001D7D94">
        <w:tc>
          <w:tcPr>
            <w:tcW w:w="990" w:type="dxa"/>
            <w:tcBorders>
              <w:top w:val="single" w:sz="4" w:space="0" w:color="auto"/>
              <w:bottom w:val="single" w:sz="4" w:space="0" w:color="auto"/>
            </w:tcBorders>
            <w:vAlign w:val="bottom"/>
            <w:hideMark/>
          </w:tcPr>
          <w:p w14:paraId="5203F4B0" w14:textId="77777777" w:rsidR="001D7D94" w:rsidRPr="00D031D6" w:rsidRDefault="001D7D94" w:rsidP="00314916">
            <w:pPr>
              <w:spacing w:line="480" w:lineRule="auto"/>
              <w:contextualSpacing/>
              <w:rPr>
                <w:rFonts w:ascii="Times New Roman" w:eastAsia="Times New Roman" w:hAnsi="Times New Roman" w:cs="Times New Roman"/>
                <w:bCs/>
                <w:sz w:val="20"/>
                <w:szCs w:val="20"/>
                <w:lang w:val="en-US"/>
              </w:rPr>
            </w:pPr>
            <w:r w:rsidRPr="00D031D6">
              <w:rPr>
                <w:rFonts w:ascii="Times New Roman" w:eastAsia="Times New Roman" w:hAnsi="Times New Roman" w:cs="Times New Roman"/>
                <w:bCs/>
                <w:sz w:val="20"/>
                <w:szCs w:val="20"/>
                <w:lang w:val="en-US"/>
              </w:rPr>
              <w:t>Citation</w:t>
            </w:r>
          </w:p>
        </w:tc>
        <w:tc>
          <w:tcPr>
            <w:tcW w:w="1440" w:type="dxa"/>
            <w:tcBorders>
              <w:top w:val="single" w:sz="4" w:space="0" w:color="auto"/>
              <w:bottom w:val="single" w:sz="4" w:space="0" w:color="auto"/>
            </w:tcBorders>
            <w:vAlign w:val="bottom"/>
            <w:hideMark/>
          </w:tcPr>
          <w:p w14:paraId="7CCED96D" w14:textId="77777777" w:rsidR="001D7D94" w:rsidRPr="00D031D6" w:rsidRDefault="001D7D94" w:rsidP="00314916">
            <w:pPr>
              <w:spacing w:line="480" w:lineRule="auto"/>
              <w:contextualSpacing/>
              <w:rPr>
                <w:rFonts w:ascii="Times New Roman" w:eastAsia="Times New Roman" w:hAnsi="Times New Roman" w:cs="Times New Roman"/>
                <w:bCs/>
                <w:sz w:val="20"/>
                <w:szCs w:val="20"/>
                <w:lang w:val="en-US"/>
              </w:rPr>
            </w:pPr>
            <w:r w:rsidRPr="00D031D6">
              <w:rPr>
                <w:rFonts w:ascii="Times New Roman" w:eastAsia="Times New Roman" w:hAnsi="Times New Roman" w:cs="Times New Roman"/>
                <w:bCs/>
                <w:sz w:val="20"/>
                <w:szCs w:val="20"/>
                <w:lang w:val="en-US"/>
              </w:rPr>
              <w:t>Title</w:t>
            </w:r>
          </w:p>
        </w:tc>
        <w:tc>
          <w:tcPr>
            <w:tcW w:w="1890" w:type="dxa"/>
            <w:tcBorders>
              <w:top w:val="single" w:sz="4" w:space="0" w:color="auto"/>
              <w:bottom w:val="single" w:sz="4" w:space="0" w:color="auto"/>
            </w:tcBorders>
            <w:vAlign w:val="bottom"/>
            <w:hideMark/>
          </w:tcPr>
          <w:p w14:paraId="26783478" w14:textId="77777777" w:rsidR="001D7D94" w:rsidRPr="00D031D6" w:rsidRDefault="001D7D94" w:rsidP="00314916">
            <w:pPr>
              <w:spacing w:line="480" w:lineRule="auto"/>
              <w:contextualSpacing/>
              <w:rPr>
                <w:rFonts w:ascii="Times New Roman" w:eastAsia="Times New Roman" w:hAnsi="Times New Roman" w:cs="Times New Roman"/>
                <w:bCs/>
                <w:sz w:val="20"/>
                <w:szCs w:val="20"/>
                <w:lang w:val="en-US"/>
              </w:rPr>
            </w:pPr>
            <w:r w:rsidRPr="00D031D6">
              <w:rPr>
                <w:rFonts w:ascii="Times New Roman" w:eastAsia="Times New Roman" w:hAnsi="Times New Roman" w:cs="Times New Roman"/>
                <w:bCs/>
                <w:sz w:val="20"/>
                <w:szCs w:val="20"/>
                <w:lang w:val="en-US"/>
              </w:rPr>
              <w:t>Purpose/</w:t>
            </w:r>
            <w:r w:rsidRPr="00D031D6">
              <w:rPr>
                <w:rFonts w:ascii="Times New Roman" w:eastAsia="Times New Roman" w:hAnsi="Times New Roman" w:cs="Times New Roman"/>
                <w:bCs/>
                <w:sz w:val="20"/>
                <w:szCs w:val="20"/>
                <w:lang w:val="en-US"/>
              </w:rPr>
              <w:br/>
              <w:t>Objectives</w:t>
            </w:r>
          </w:p>
        </w:tc>
        <w:tc>
          <w:tcPr>
            <w:tcW w:w="1440" w:type="dxa"/>
            <w:tcBorders>
              <w:top w:val="single" w:sz="4" w:space="0" w:color="auto"/>
              <w:bottom w:val="single" w:sz="4" w:space="0" w:color="auto"/>
            </w:tcBorders>
            <w:vAlign w:val="bottom"/>
            <w:hideMark/>
          </w:tcPr>
          <w:p w14:paraId="6C819B76" w14:textId="77777777" w:rsidR="001D7D94" w:rsidRPr="00D031D6" w:rsidRDefault="001D7D94" w:rsidP="00314916">
            <w:pPr>
              <w:spacing w:line="480" w:lineRule="auto"/>
              <w:contextualSpacing/>
              <w:rPr>
                <w:rFonts w:ascii="Times New Roman" w:eastAsia="Times New Roman" w:hAnsi="Times New Roman" w:cs="Times New Roman"/>
                <w:bCs/>
                <w:sz w:val="20"/>
                <w:szCs w:val="20"/>
                <w:lang w:val="en-US"/>
              </w:rPr>
            </w:pPr>
            <w:r w:rsidRPr="00D031D6">
              <w:rPr>
                <w:rFonts w:ascii="Times New Roman" w:eastAsia="Times New Roman" w:hAnsi="Times New Roman" w:cs="Times New Roman"/>
                <w:bCs/>
                <w:sz w:val="20"/>
                <w:szCs w:val="20"/>
                <w:lang w:val="en-US"/>
              </w:rPr>
              <w:t>Sample Site</w:t>
            </w:r>
          </w:p>
        </w:tc>
        <w:tc>
          <w:tcPr>
            <w:tcW w:w="1710" w:type="dxa"/>
            <w:tcBorders>
              <w:top w:val="single" w:sz="4" w:space="0" w:color="auto"/>
              <w:bottom w:val="single" w:sz="4" w:space="0" w:color="auto"/>
            </w:tcBorders>
            <w:vAlign w:val="bottom"/>
            <w:hideMark/>
          </w:tcPr>
          <w:p w14:paraId="4335DCBA" w14:textId="77777777" w:rsidR="001D7D94" w:rsidRPr="00D031D6" w:rsidRDefault="001D7D94" w:rsidP="00314916">
            <w:pPr>
              <w:spacing w:line="480" w:lineRule="auto"/>
              <w:contextualSpacing/>
              <w:rPr>
                <w:rFonts w:ascii="Times New Roman" w:eastAsia="Times New Roman" w:hAnsi="Times New Roman" w:cs="Times New Roman"/>
                <w:bCs/>
                <w:sz w:val="20"/>
                <w:szCs w:val="20"/>
                <w:lang w:val="en-US"/>
              </w:rPr>
            </w:pPr>
            <w:r w:rsidRPr="00D031D6">
              <w:rPr>
                <w:rFonts w:ascii="Times New Roman" w:eastAsia="Times New Roman" w:hAnsi="Times New Roman" w:cs="Times New Roman"/>
                <w:bCs/>
                <w:sz w:val="20"/>
                <w:szCs w:val="20"/>
                <w:lang w:val="en-US"/>
              </w:rPr>
              <w:t>Research Design</w:t>
            </w:r>
          </w:p>
        </w:tc>
        <w:tc>
          <w:tcPr>
            <w:tcW w:w="1710" w:type="dxa"/>
            <w:tcBorders>
              <w:top w:val="single" w:sz="4" w:space="0" w:color="auto"/>
              <w:bottom w:val="single" w:sz="4" w:space="0" w:color="auto"/>
            </w:tcBorders>
            <w:vAlign w:val="bottom"/>
            <w:hideMark/>
          </w:tcPr>
          <w:p w14:paraId="0461A3EA" w14:textId="77777777" w:rsidR="001D7D94" w:rsidRPr="00D031D6" w:rsidRDefault="001D7D94" w:rsidP="00314916">
            <w:pPr>
              <w:spacing w:line="480" w:lineRule="auto"/>
              <w:contextualSpacing/>
              <w:rPr>
                <w:rFonts w:ascii="Times New Roman" w:eastAsia="Times New Roman" w:hAnsi="Times New Roman" w:cs="Times New Roman"/>
                <w:bCs/>
                <w:sz w:val="20"/>
                <w:szCs w:val="20"/>
                <w:lang w:val="en-US"/>
              </w:rPr>
            </w:pPr>
            <w:r w:rsidRPr="00D031D6">
              <w:rPr>
                <w:rFonts w:ascii="Times New Roman" w:eastAsia="Times New Roman" w:hAnsi="Times New Roman" w:cs="Times New Roman"/>
                <w:bCs/>
                <w:sz w:val="20"/>
                <w:szCs w:val="20"/>
                <w:lang w:val="en-US"/>
              </w:rPr>
              <w:t>Microbiome Methods</w:t>
            </w:r>
          </w:p>
        </w:tc>
        <w:tc>
          <w:tcPr>
            <w:tcW w:w="2160" w:type="dxa"/>
            <w:tcBorders>
              <w:top w:val="single" w:sz="4" w:space="0" w:color="auto"/>
              <w:bottom w:val="single" w:sz="4" w:space="0" w:color="auto"/>
            </w:tcBorders>
            <w:vAlign w:val="bottom"/>
            <w:hideMark/>
          </w:tcPr>
          <w:p w14:paraId="30DA0167" w14:textId="77777777" w:rsidR="001D7D94" w:rsidRPr="00D031D6" w:rsidRDefault="001D7D94" w:rsidP="00314916">
            <w:pPr>
              <w:spacing w:line="480" w:lineRule="auto"/>
              <w:contextualSpacing/>
              <w:rPr>
                <w:rFonts w:ascii="Times New Roman" w:eastAsia="Times New Roman" w:hAnsi="Times New Roman" w:cs="Times New Roman"/>
                <w:bCs/>
                <w:sz w:val="20"/>
                <w:szCs w:val="20"/>
                <w:lang w:val="en-US"/>
              </w:rPr>
            </w:pPr>
            <w:r w:rsidRPr="00D031D6">
              <w:rPr>
                <w:rFonts w:ascii="Times New Roman" w:eastAsia="Times New Roman" w:hAnsi="Times New Roman" w:cs="Times New Roman"/>
                <w:bCs/>
                <w:sz w:val="20"/>
                <w:szCs w:val="20"/>
                <w:lang w:val="en-US"/>
              </w:rPr>
              <w:t>Main Findings</w:t>
            </w:r>
          </w:p>
        </w:tc>
        <w:tc>
          <w:tcPr>
            <w:tcW w:w="1710" w:type="dxa"/>
            <w:tcBorders>
              <w:top w:val="single" w:sz="4" w:space="0" w:color="auto"/>
              <w:bottom w:val="single" w:sz="4" w:space="0" w:color="auto"/>
            </w:tcBorders>
            <w:vAlign w:val="bottom"/>
            <w:hideMark/>
          </w:tcPr>
          <w:p w14:paraId="3674AB81" w14:textId="77777777" w:rsidR="001D7D94" w:rsidRPr="00D031D6" w:rsidRDefault="001D7D94" w:rsidP="00314916">
            <w:pPr>
              <w:spacing w:line="480" w:lineRule="auto"/>
              <w:contextualSpacing/>
              <w:rPr>
                <w:rFonts w:ascii="Times New Roman" w:eastAsia="Times New Roman" w:hAnsi="Times New Roman" w:cs="Times New Roman"/>
                <w:bCs/>
                <w:sz w:val="20"/>
                <w:szCs w:val="20"/>
                <w:lang w:val="en-US"/>
              </w:rPr>
            </w:pPr>
            <w:r w:rsidRPr="00D031D6">
              <w:rPr>
                <w:rFonts w:ascii="Times New Roman" w:eastAsia="Times New Roman" w:hAnsi="Times New Roman" w:cs="Times New Roman"/>
                <w:bCs/>
                <w:sz w:val="20"/>
                <w:szCs w:val="20"/>
                <w:lang w:val="en-US"/>
              </w:rPr>
              <w:t>Implications/</w:t>
            </w:r>
            <w:r w:rsidRPr="00D031D6">
              <w:rPr>
                <w:rFonts w:ascii="Times New Roman" w:eastAsia="Times New Roman" w:hAnsi="Times New Roman" w:cs="Times New Roman"/>
                <w:bCs/>
                <w:sz w:val="20"/>
                <w:szCs w:val="20"/>
                <w:lang w:val="en-US"/>
              </w:rPr>
              <w:br/>
              <w:t>Future Directions</w:t>
            </w:r>
          </w:p>
        </w:tc>
        <w:tc>
          <w:tcPr>
            <w:tcW w:w="2070" w:type="dxa"/>
            <w:tcBorders>
              <w:top w:val="single" w:sz="4" w:space="0" w:color="auto"/>
              <w:bottom w:val="single" w:sz="4" w:space="0" w:color="auto"/>
            </w:tcBorders>
            <w:vAlign w:val="bottom"/>
            <w:hideMark/>
          </w:tcPr>
          <w:p w14:paraId="34E43A99" w14:textId="77777777" w:rsidR="001D7D94" w:rsidRPr="00D031D6" w:rsidRDefault="001D7D94" w:rsidP="00314916">
            <w:pPr>
              <w:spacing w:line="480" w:lineRule="auto"/>
              <w:contextualSpacing/>
              <w:rPr>
                <w:rFonts w:ascii="Times New Roman" w:eastAsia="Times New Roman" w:hAnsi="Times New Roman" w:cs="Times New Roman"/>
                <w:bCs/>
                <w:sz w:val="20"/>
                <w:szCs w:val="20"/>
                <w:lang w:val="en-US"/>
              </w:rPr>
            </w:pPr>
            <w:r w:rsidRPr="00D031D6">
              <w:rPr>
                <w:rFonts w:ascii="Times New Roman" w:eastAsia="Times New Roman" w:hAnsi="Times New Roman" w:cs="Times New Roman"/>
                <w:bCs/>
                <w:sz w:val="20"/>
                <w:szCs w:val="20"/>
                <w:lang w:val="en-US"/>
              </w:rPr>
              <w:t>Analysis Pipeline</w:t>
            </w:r>
          </w:p>
        </w:tc>
      </w:tr>
      <w:tr w:rsidR="001D7D94" w:rsidRPr="00C37628" w14:paraId="0878F150" w14:textId="77777777" w:rsidTr="001D7D94">
        <w:tc>
          <w:tcPr>
            <w:tcW w:w="990" w:type="dxa"/>
            <w:tcBorders>
              <w:top w:val="single" w:sz="4" w:space="0" w:color="auto"/>
            </w:tcBorders>
          </w:tcPr>
          <w:p w14:paraId="0F9BF916"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Brooks et al</w:t>
            </w:r>
            <w:r w:rsidRPr="00967C61">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2017</w:t>
            </w:r>
          </w:p>
        </w:tc>
        <w:tc>
          <w:tcPr>
            <w:tcW w:w="1440" w:type="dxa"/>
            <w:tcBorders>
              <w:top w:val="single" w:sz="4" w:space="0" w:color="auto"/>
            </w:tcBorders>
          </w:tcPr>
          <w:p w14:paraId="6DAF7C68" w14:textId="77777777" w:rsidR="001D7D94" w:rsidRPr="00967C61"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t>Changes in vaginal community state types reflect major shifts in the microbiome.</w:t>
            </w:r>
          </w:p>
        </w:tc>
        <w:tc>
          <w:tcPr>
            <w:tcW w:w="1890" w:type="dxa"/>
            <w:tcBorders>
              <w:top w:val="single" w:sz="4" w:space="0" w:color="auto"/>
            </w:tcBorders>
          </w:tcPr>
          <w:p w14:paraId="0044A390"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t>I</w:t>
            </w:r>
            <w:r w:rsidRPr="00C37628">
              <w:rPr>
                <w:rFonts w:ascii="Times New Roman" w:eastAsia="Times New Roman" w:hAnsi="Times New Roman" w:cs="Times New Roman"/>
                <w:sz w:val="20"/>
                <w:szCs w:val="20"/>
                <w:lang w:val="en-US"/>
              </w:rPr>
              <w:t>nvestigate the stability of microbiome profiles, clustered into</w:t>
            </w:r>
            <w:r>
              <w:rPr>
                <w:rFonts w:ascii="Times New Roman" w:eastAsia="Times New Roman" w:hAnsi="Times New Roman" w:cs="Times New Roman"/>
                <w:sz w:val="20"/>
                <w:szCs w:val="20"/>
                <w:lang w:val="en-US"/>
              </w:rPr>
              <w:t xml:space="preserve"> community state types</w:t>
            </w:r>
            <w:r w:rsidRPr="00C3762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CSTs</w:t>
            </w:r>
            <w:r>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across different datasets.</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The investigators also sought to analyze </w:t>
            </w:r>
            <w:r>
              <w:rPr>
                <w:rFonts w:ascii="Times New Roman" w:eastAsia="Times New Roman" w:hAnsi="Times New Roman" w:cs="Times New Roman"/>
                <w:sz w:val="20"/>
                <w:szCs w:val="20"/>
                <w:lang w:val="en-US"/>
              </w:rPr>
              <w:t>whether</w:t>
            </w:r>
            <w:r w:rsidRPr="00C37628">
              <w:rPr>
                <w:rFonts w:ascii="Times New Roman" w:eastAsia="Times New Roman" w:hAnsi="Times New Roman" w:cs="Times New Roman"/>
                <w:sz w:val="20"/>
                <w:szCs w:val="20"/>
                <w:lang w:val="en-US"/>
              </w:rPr>
              <w:t xml:space="preserve"> CSTs can be used to assess dynamics in the microbiome.</w:t>
            </w:r>
            <w:r>
              <w:rPr>
                <w:rFonts w:ascii="Times New Roman" w:eastAsia="Times New Roman" w:hAnsi="Times New Roman" w:cs="Times New Roman"/>
                <w:sz w:val="20"/>
                <w:szCs w:val="20"/>
                <w:lang w:val="en-US"/>
              </w:rPr>
              <w:t xml:space="preserve"> </w:t>
            </w:r>
          </w:p>
        </w:tc>
        <w:tc>
          <w:tcPr>
            <w:tcW w:w="1440" w:type="dxa"/>
            <w:tcBorders>
              <w:top w:val="single" w:sz="4" w:space="0" w:color="auto"/>
            </w:tcBorders>
          </w:tcPr>
          <w:p w14:paraId="64436F80"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Vaginal microbiome samples</w:t>
            </w:r>
          </w:p>
        </w:tc>
        <w:tc>
          <w:tcPr>
            <w:tcW w:w="1710" w:type="dxa"/>
            <w:tcBorders>
              <w:top w:val="single" w:sz="4" w:space="0" w:color="auto"/>
            </w:tcBorders>
          </w:tcPr>
          <w:p w14:paraId="0A197771"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 xml:space="preserve">A secondary analysis of </w:t>
            </w:r>
            <w:r>
              <w:rPr>
                <w:rFonts w:ascii="Times New Roman" w:eastAsia="Times New Roman" w:hAnsi="Times New Roman" w:cs="Times New Roman"/>
                <w:sz w:val="20"/>
                <w:szCs w:val="20"/>
                <w:lang w:val="en-US"/>
              </w:rPr>
              <w:t>5</w:t>
            </w:r>
            <w:r w:rsidRPr="00C37628">
              <w:rPr>
                <w:rFonts w:ascii="Times New Roman" w:eastAsia="Times New Roman" w:hAnsi="Times New Roman" w:cs="Times New Roman"/>
                <w:sz w:val="20"/>
                <w:szCs w:val="20"/>
                <w:lang w:val="en-US"/>
              </w:rPr>
              <w:t xml:space="preserve"> datasets that had </w:t>
            </w:r>
            <w:r>
              <w:rPr>
                <w:rFonts w:ascii="Times New Roman" w:eastAsia="Times New Roman" w:hAnsi="Times New Roman" w:cs="Times New Roman"/>
                <w:sz w:val="20"/>
                <w:szCs w:val="20"/>
                <w:lang w:val="en-US"/>
              </w:rPr>
              <w:t>2</w:t>
            </w:r>
            <w:r w:rsidRPr="00C37628">
              <w:rPr>
                <w:rFonts w:ascii="Times New Roman" w:eastAsia="Times New Roman" w:hAnsi="Times New Roman" w:cs="Times New Roman"/>
                <w:sz w:val="20"/>
                <w:szCs w:val="20"/>
                <w:lang w:val="en-US"/>
              </w:rPr>
              <w:t xml:space="preserve"> or more longitudinal vaginal samples per subject </w:t>
            </w:r>
          </w:p>
        </w:tc>
        <w:tc>
          <w:tcPr>
            <w:tcW w:w="1710" w:type="dxa"/>
            <w:tcBorders>
              <w:top w:val="single" w:sz="4" w:space="0" w:color="auto"/>
            </w:tcBorders>
          </w:tcPr>
          <w:p w14:paraId="0E07E82B" w14:textId="77777777" w:rsidR="001D7D94" w:rsidRPr="00967C61" w:rsidRDefault="001D7D94" w:rsidP="00314916">
            <w:pPr>
              <w:spacing w:line="480" w:lineRule="auto"/>
              <w:contextualSpacing/>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Pr="00C37628">
              <w:rPr>
                <w:rFonts w:ascii="Times New Roman" w:eastAsia="Times New Roman" w:hAnsi="Times New Roman" w:cs="Times New Roman"/>
                <w:sz w:val="20"/>
                <w:szCs w:val="20"/>
                <w:lang w:val="en-US"/>
              </w:rPr>
              <w:t xml:space="preserve"> of the datasets were derived from 16S rRNA amplicon-based surveys</w:t>
            </w:r>
            <w:r w:rsidRPr="00967C61">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xml:space="preserve"> and one was based on whole</w:t>
            </w:r>
            <w:r>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metagenome shotgun sequencing.</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The amplicon-based datasets were generated by 454 pyrosequencing while the </w:t>
            </w:r>
            <w:r>
              <w:rPr>
                <w:rFonts w:ascii="Times New Roman" w:eastAsia="Times New Roman" w:hAnsi="Times New Roman" w:cs="Times New Roman"/>
                <w:sz w:val="20"/>
                <w:szCs w:val="20"/>
                <w:lang w:val="en-US"/>
              </w:rPr>
              <w:t>metagenomic sequence</w:t>
            </w:r>
            <w:r w:rsidRPr="00C37628">
              <w:rPr>
                <w:rFonts w:ascii="Times New Roman" w:eastAsia="Times New Roman" w:hAnsi="Times New Roman" w:cs="Times New Roman"/>
                <w:sz w:val="20"/>
                <w:szCs w:val="20"/>
                <w:lang w:val="en-US"/>
              </w:rPr>
              <w:t xml:space="preserve"> data were generated by </w:t>
            </w:r>
            <w:r w:rsidRPr="00C37628">
              <w:rPr>
                <w:rFonts w:ascii="Times New Roman" w:eastAsia="Times New Roman" w:hAnsi="Times New Roman" w:cs="Times New Roman"/>
                <w:sz w:val="20"/>
                <w:szCs w:val="20"/>
                <w:lang w:val="en-US"/>
              </w:rPr>
              <w:lastRenderedPageBreak/>
              <w:t>Illumina sequencing.</w:t>
            </w:r>
            <w:r>
              <w:rPr>
                <w:rFonts w:ascii="Times New Roman" w:eastAsia="Times New Roman" w:hAnsi="Times New Roman" w:cs="Times New Roman"/>
                <w:sz w:val="20"/>
                <w:szCs w:val="20"/>
                <w:lang w:val="en-US"/>
              </w:rPr>
              <w:t xml:space="preserve"> </w:t>
            </w:r>
          </w:p>
        </w:tc>
        <w:tc>
          <w:tcPr>
            <w:tcW w:w="2160" w:type="dxa"/>
            <w:tcBorders>
              <w:top w:val="single" w:sz="4" w:space="0" w:color="auto"/>
            </w:tcBorders>
          </w:tcPr>
          <w:p w14:paraId="60628359"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Healthy subjects tend</w:t>
            </w:r>
            <w:r>
              <w:rPr>
                <w:rFonts w:ascii="Times New Roman" w:eastAsia="Times New Roman" w:hAnsi="Times New Roman" w:cs="Times New Roman"/>
                <w:sz w:val="20"/>
                <w:szCs w:val="20"/>
                <w:lang w:val="en-US"/>
              </w:rPr>
              <w:t>ed</w:t>
            </w:r>
            <w:r w:rsidRPr="00C37628">
              <w:rPr>
                <w:rFonts w:ascii="Times New Roman" w:eastAsia="Times New Roman" w:hAnsi="Times New Roman" w:cs="Times New Roman"/>
                <w:sz w:val="20"/>
                <w:szCs w:val="20"/>
                <w:lang w:val="en-US"/>
              </w:rPr>
              <w:t xml:space="preserve"> to persist in a CST profile for </w:t>
            </w:r>
            <w:r>
              <w:rPr>
                <w:rFonts w:ascii="Times New Roman" w:eastAsia="Times New Roman" w:hAnsi="Times New Roman" w:cs="Times New Roman"/>
                <w:sz w:val="20"/>
                <w:szCs w:val="20"/>
                <w:lang w:val="en-US"/>
              </w:rPr>
              <w:t xml:space="preserve">an average </w:t>
            </w:r>
            <w:r w:rsidRPr="00C37628">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3 weeks or more</w:t>
            </w:r>
            <w:r w:rsidRPr="00967C61">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xml:space="preserve"> while subjects with dysbiosis ha</w:t>
            </w:r>
            <w:r>
              <w:rPr>
                <w:rFonts w:ascii="Times New Roman" w:eastAsia="Times New Roman" w:hAnsi="Times New Roman" w:cs="Times New Roman"/>
                <w:sz w:val="20"/>
                <w:szCs w:val="20"/>
                <w:lang w:val="en-US"/>
              </w:rPr>
              <w:t>d</w:t>
            </w:r>
            <w:r w:rsidRPr="00C37628">
              <w:rPr>
                <w:rFonts w:ascii="Times New Roman" w:eastAsia="Times New Roman" w:hAnsi="Times New Roman" w:cs="Times New Roman"/>
                <w:sz w:val="20"/>
                <w:szCs w:val="20"/>
                <w:lang w:val="en-US"/>
              </w:rPr>
              <w:t xml:space="preserve"> CST profiles that change</w:t>
            </w:r>
            <w:r>
              <w:rPr>
                <w:rFonts w:ascii="Times New Roman" w:eastAsia="Times New Roman" w:hAnsi="Times New Roman" w:cs="Times New Roman"/>
                <w:sz w:val="20"/>
                <w:szCs w:val="20"/>
                <w:lang w:val="en-US"/>
              </w:rPr>
              <w:t>d</w:t>
            </w:r>
            <w:r w:rsidRPr="00C37628">
              <w:rPr>
                <w:rFonts w:ascii="Times New Roman" w:eastAsia="Times New Roman" w:hAnsi="Times New Roman" w:cs="Times New Roman"/>
                <w:sz w:val="20"/>
                <w:szCs w:val="20"/>
                <w:lang w:val="en-US"/>
              </w:rPr>
              <w:t xml:space="preserve"> more often (often in response to medication).</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Changes in CST profiles occur</w:t>
            </w:r>
            <w:r>
              <w:rPr>
                <w:rFonts w:ascii="Times New Roman" w:eastAsia="Times New Roman" w:hAnsi="Times New Roman" w:cs="Times New Roman"/>
                <w:sz w:val="20"/>
                <w:szCs w:val="20"/>
                <w:lang w:val="en-US"/>
              </w:rPr>
              <w:t>red</w:t>
            </w:r>
            <w:r w:rsidRPr="00C37628">
              <w:rPr>
                <w:rFonts w:ascii="Times New Roman" w:eastAsia="Times New Roman" w:hAnsi="Times New Roman" w:cs="Times New Roman"/>
                <w:sz w:val="20"/>
                <w:szCs w:val="20"/>
                <w:lang w:val="en-US"/>
              </w:rPr>
              <w:t xml:space="preserve"> gradually in some subjects and as quickly as </w:t>
            </w:r>
            <w:r>
              <w:rPr>
                <w:rFonts w:ascii="Times New Roman" w:eastAsia="Times New Roman" w:hAnsi="Times New Roman" w:cs="Times New Roman"/>
                <w:sz w:val="20"/>
                <w:szCs w:val="20"/>
                <w:lang w:val="en-US"/>
              </w:rPr>
              <w:t>1</w:t>
            </w:r>
            <w:r w:rsidRPr="00C37628">
              <w:rPr>
                <w:rFonts w:ascii="Times New Roman" w:eastAsia="Times New Roman" w:hAnsi="Times New Roman" w:cs="Times New Roman"/>
                <w:sz w:val="20"/>
                <w:szCs w:val="20"/>
                <w:lang w:val="en-US"/>
              </w:rPr>
              <w:t xml:space="preserve"> day in others.</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The presence of </w:t>
            </w:r>
            <w:r w:rsidRPr="00C37628">
              <w:rPr>
                <w:rFonts w:ascii="Times New Roman" w:eastAsia="Times New Roman" w:hAnsi="Times New Roman" w:cs="Times New Roman"/>
                <w:i/>
                <w:iCs/>
                <w:sz w:val="20"/>
                <w:szCs w:val="20"/>
                <w:lang w:val="en-US"/>
              </w:rPr>
              <w:t>Gardnerella vaginalis</w:t>
            </w:r>
            <w:r w:rsidRPr="00967C61">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was</w:t>
            </w:r>
            <w:r w:rsidRPr="00967C61">
              <w:rPr>
                <w:rFonts w:ascii="Times New Roman" w:eastAsia="Times New Roman" w:hAnsi="Times New Roman" w:cs="Times New Roman"/>
                <w:sz w:val="20"/>
                <w:szCs w:val="20"/>
                <w:lang w:val="en-US"/>
              </w:rPr>
              <w:t xml:space="preserve"> a strong predictor of an upcoming CST change.</w:t>
            </w:r>
          </w:p>
        </w:tc>
        <w:tc>
          <w:tcPr>
            <w:tcW w:w="1710" w:type="dxa"/>
            <w:tcBorders>
              <w:top w:val="single" w:sz="4" w:space="0" w:color="auto"/>
            </w:tcBorders>
          </w:tcPr>
          <w:p w14:paraId="3E55E358"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There is a lack of dense longitudinal measurements of the vaginal microbiome</w:t>
            </w:r>
            <w:r w:rsidRPr="00967C61">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xml:space="preserve"> and further work can b</w:t>
            </w:r>
            <w:r>
              <w:rPr>
                <w:rFonts w:ascii="Times New Roman" w:eastAsia="Times New Roman" w:hAnsi="Times New Roman" w:cs="Times New Roman"/>
                <w:sz w:val="20"/>
                <w:szCs w:val="20"/>
                <w:lang w:val="en-US"/>
              </w:rPr>
              <w:t>e</w:t>
            </w:r>
            <w:r w:rsidRPr="00C37628">
              <w:rPr>
                <w:rFonts w:ascii="Times New Roman" w:eastAsia="Times New Roman" w:hAnsi="Times New Roman" w:cs="Times New Roman"/>
                <w:sz w:val="20"/>
                <w:szCs w:val="20"/>
                <w:lang w:val="en-US"/>
              </w:rPr>
              <w:t xml:space="preserve"> aimed at repeated measures of the vaginal microbiome with detailed accompanying clinical information.</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This would allow experiments to control for factors that can affect bacterial growth </w:t>
            </w:r>
            <w:r w:rsidRPr="00C37628">
              <w:rPr>
                <w:rFonts w:ascii="Times New Roman" w:eastAsia="Times New Roman" w:hAnsi="Times New Roman" w:cs="Times New Roman"/>
                <w:sz w:val="20"/>
                <w:szCs w:val="20"/>
                <w:lang w:val="en-US"/>
              </w:rPr>
              <w:lastRenderedPageBreak/>
              <w:t>and/or pH, such as hormone levels, clothing, antibiotic/</w:t>
            </w:r>
            <w:r w:rsidRPr="00967C61">
              <w:rPr>
                <w:rFonts w:ascii="Times New Roman" w:eastAsia="Times New Roman" w:hAnsi="Times New Roman" w:cs="Times New Roman"/>
                <w:sz w:val="20"/>
                <w:szCs w:val="20"/>
                <w:lang w:val="en-US"/>
              </w:rPr>
              <w:br/>
            </w:r>
            <w:r w:rsidRPr="00C37628">
              <w:rPr>
                <w:rFonts w:ascii="Times New Roman" w:eastAsia="Times New Roman" w:hAnsi="Times New Roman" w:cs="Times New Roman"/>
                <w:sz w:val="20"/>
                <w:szCs w:val="20"/>
                <w:lang w:val="en-US"/>
              </w:rPr>
              <w:t>antifungal use, diet, douching practices, and presence of semen.</w:t>
            </w:r>
          </w:p>
        </w:tc>
        <w:tc>
          <w:tcPr>
            <w:tcW w:w="2070" w:type="dxa"/>
            <w:tcBorders>
              <w:top w:val="single" w:sz="4" w:space="0" w:color="auto"/>
            </w:tcBorders>
          </w:tcPr>
          <w:p w14:paraId="7FFF8407"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Statistical modeling of the 5 datasets was performed in R to calculate associational and predictive values of the CSTs in each dataset.</w:t>
            </w:r>
          </w:p>
        </w:tc>
      </w:tr>
      <w:tr w:rsidR="001D7D94" w:rsidRPr="00C37628" w14:paraId="44F1D334" w14:textId="77777777" w:rsidTr="001D7D94">
        <w:tc>
          <w:tcPr>
            <w:tcW w:w="990" w:type="dxa"/>
          </w:tcPr>
          <w:p w14:paraId="22CE4BC7"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Cong et al., 2017</w:t>
            </w:r>
          </w:p>
        </w:tc>
        <w:tc>
          <w:tcPr>
            <w:tcW w:w="1440" w:type="dxa"/>
          </w:tcPr>
          <w:p w14:paraId="5F3DD03B"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t>Influence of feeding type on gut microbiome development in hospitalized preterm infants</w:t>
            </w:r>
          </w:p>
        </w:tc>
        <w:tc>
          <w:tcPr>
            <w:tcW w:w="1890" w:type="dxa"/>
          </w:tcPr>
          <w:p w14:paraId="616A5773"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t>E</w:t>
            </w:r>
            <w:r w:rsidRPr="00C37628">
              <w:rPr>
                <w:rFonts w:ascii="Times New Roman" w:eastAsia="Times New Roman" w:hAnsi="Times New Roman" w:cs="Times New Roman"/>
                <w:sz w:val="20"/>
                <w:szCs w:val="20"/>
                <w:lang w:val="en-US"/>
              </w:rPr>
              <w:t xml:space="preserve">xplore the effect of feeding types on gut microbial colonization of preterm infants in the neonatal intensive care unit (NICU) and investigate the contribution of different feeding types on the development of gut </w:t>
            </w:r>
            <w:r w:rsidRPr="00C37628">
              <w:rPr>
                <w:rFonts w:ascii="Times New Roman" w:eastAsia="Times New Roman" w:hAnsi="Times New Roman" w:cs="Times New Roman"/>
                <w:sz w:val="20"/>
                <w:szCs w:val="20"/>
                <w:lang w:val="en-US"/>
              </w:rPr>
              <w:lastRenderedPageBreak/>
              <w:t xml:space="preserve">microbial diversities over the first 30 days of life </w:t>
            </w:r>
          </w:p>
        </w:tc>
        <w:tc>
          <w:tcPr>
            <w:tcW w:w="1440" w:type="dxa"/>
          </w:tcPr>
          <w:p w14:paraId="47A9C5D2"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Stool sample collected directly from diaper</w:t>
            </w:r>
          </w:p>
        </w:tc>
        <w:tc>
          <w:tcPr>
            <w:tcW w:w="1710" w:type="dxa"/>
          </w:tcPr>
          <w:p w14:paraId="5716EA78" w14:textId="77777777" w:rsidR="001D7D94" w:rsidRPr="00967C61"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t>S</w:t>
            </w:r>
            <w:r w:rsidRPr="00C37628">
              <w:rPr>
                <w:rFonts w:ascii="Times New Roman" w:eastAsia="Times New Roman" w:hAnsi="Times New Roman" w:cs="Times New Roman"/>
                <w:sz w:val="20"/>
                <w:szCs w:val="20"/>
                <w:lang w:val="en-US"/>
              </w:rPr>
              <w:t>econdary analysis of Cong et al., 2016</w:t>
            </w:r>
            <w:r w:rsidRPr="00967C61">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xml:space="preserve"> with additional subjects added.</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33 stable preterm infants were followed for 30 days.</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Infants were classified into 6 groups based on feeding: mother’s own milk </w:t>
            </w:r>
            <w:r w:rsidRPr="00C37628">
              <w:rPr>
                <w:rFonts w:ascii="Times New Roman" w:eastAsia="Times New Roman" w:hAnsi="Times New Roman" w:cs="Times New Roman"/>
                <w:sz w:val="20"/>
                <w:szCs w:val="20"/>
                <w:lang w:val="en-US"/>
              </w:rPr>
              <w:lastRenderedPageBreak/>
              <w:t xml:space="preserve">[MOM], human donated milk [HDM], formula, MOM+HDM, </w:t>
            </w:r>
            <w:proofErr w:type="spellStart"/>
            <w:r w:rsidRPr="00C37628">
              <w:rPr>
                <w:rFonts w:ascii="Times New Roman" w:eastAsia="Times New Roman" w:hAnsi="Times New Roman" w:cs="Times New Roman"/>
                <w:sz w:val="20"/>
                <w:szCs w:val="20"/>
                <w:lang w:val="en-US"/>
              </w:rPr>
              <w:t>MOM+</w:t>
            </w:r>
            <w:r w:rsidRPr="00967C61">
              <w:rPr>
                <w:rFonts w:ascii="Times New Roman" w:eastAsia="Times New Roman" w:hAnsi="Times New Roman" w:cs="Times New Roman"/>
                <w:sz w:val="20"/>
                <w:szCs w:val="20"/>
                <w:lang w:val="en-US"/>
              </w:rPr>
              <w:t>f</w:t>
            </w:r>
            <w:r w:rsidRPr="00C37628">
              <w:rPr>
                <w:rFonts w:ascii="Times New Roman" w:eastAsia="Times New Roman" w:hAnsi="Times New Roman" w:cs="Times New Roman"/>
                <w:sz w:val="20"/>
                <w:szCs w:val="20"/>
                <w:lang w:val="en-US"/>
              </w:rPr>
              <w:t>ormula</w:t>
            </w:r>
            <w:proofErr w:type="spellEnd"/>
            <w:r w:rsidRPr="00C37628">
              <w:rPr>
                <w:rFonts w:ascii="Times New Roman" w:eastAsia="Times New Roman" w:hAnsi="Times New Roman" w:cs="Times New Roman"/>
                <w:sz w:val="20"/>
                <w:szCs w:val="20"/>
                <w:lang w:val="en-US"/>
              </w:rPr>
              <w:t xml:space="preserve">, and </w:t>
            </w:r>
            <w:proofErr w:type="spellStart"/>
            <w:r w:rsidRPr="00C37628">
              <w:rPr>
                <w:rFonts w:ascii="Times New Roman" w:eastAsia="Times New Roman" w:hAnsi="Times New Roman" w:cs="Times New Roman"/>
                <w:sz w:val="20"/>
                <w:szCs w:val="20"/>
                <w:lang w:val="en-US"/>
              </w:rPr>
              <w:t>HDM+for</w:t>
            </w:r>
            <w:r w:rsidRPr="00967C61">
              <w:rPr>
                <w:rFonts w:ascii="Times New Roman" w:eastAsia="Times New Roman" w:hAnsi="Times New Roman" w:cs="Times New Roman"/>
                <w:sz w:val="20"/>
                <w:szCs w:val="20"/>
                <w:lang w:val="en-US"/>
              </w:rPr>
              <w:t>m</w:t>
            </w:r>
            <w:r w:rsidRPr="00C37628">
              <w:rPr>
                <w:rFonts w:ascii="Times New Roman" w:eastAsia="Times New Roman" w:hAnsi="Times New Roman" w:cs="Times New Roman"/>
                <w:sz w:val="20"/>
                <w:szCs w:val="20"/>
                <w:lang w:val="en-US"/>
              </w:rPr>
              <w:t>ula</w:t>
            </w:r>
            <w:proofErr w:type="spellEnd"/>
            <w:r w:rsidRPr="00C37628">
              <w:rPr>
                <w:rFonts w:ascii="Times New Roman" w:eastAsia="Times New Roman" w:hAnsi="Times New Roman" w:cs="Times New Roman"/>
                <w:sz w:val="20"/>
                <w:szCs w:val="20"/>
                <w:lang w:val="en-US"/>
              </w:rPr>
              <w:t xml:space="preserve"> during days 0–10, 11–20, and 21–30 after birth.</w:t>
            </w:r>
          </w:p>
        </w:tc>
        <w:tc>
          <w:tcPr>
            <w:tcW w:w="1710" w:type="dxa"/>
          </w:tcPr>
          <w:p w14:paraId="252DEDFD" w14:textId="77777777" w:rsidR="001D7D94" w:rsidRPr="00967C61"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lastRenderedPageBreak/>
              <w:t xml:space="preserve">DNA was extracted using the </w:t>
            </w:r>
            <w:proofErr w:type="spellStart"/>
            <w:r w:rsidRPr="00967C61">
              <w:rPr>
                <w:rFonts w:ascii="Times New Roman" w:eastAsia="Times New Roman" w:hAnsi="Times New Roman" w:cs="Times New Roman"/>
                <w:sz w:val="20"/>
                <w:szCs w:val="20"/>
                <w:lang w:val="en-US"/>
              </w:rPr>
              <w:t>MoBio</w:t>
            </w:r>
            <w:proofErr w:type="spellEnd"/>
            <w:r w:rsidRPr="00967C61">
              <w:rPr>
                <w:rFonts w:ascii="Times New Roman" w:eastAsia="Times New Roman" w:hAnsi="Times New Roman" w:cs="Times New Roman"/>
                <w:sz w:val="20"/>
                <w:szCs w:val="20"/>
                <w:lang w:val="en-US"/>
              </w:rPr>
              <w:t xml:space="preserve"> Power Soil kit (</w:t>
            </w:r>
            <w:proofErr w:type="spellStart"/>
            <w:r w:rsidRPr="00967C61">
              <w:rPr>
                <w:rFonts w:ascii="Times New Roman" w:eastAsia="Times New Roman" w:hAnsi="Times New Roman" w:cs="Times New Roman"/>
                <w:sz w:val="20"/>
                <w:szCs w:val="20"/>
                <w:lang w:val="en-US"/>
              </w:rPr>
              <w:t>MoBio</w:t>
            </w:r>
            <w:proofErr w:type="spellEnd"/>
            <w:r w:rsidRPr="00967C61">
              <w:rPr>
                <w:rFonts w:ascii="Times New Roman" w:eastAsia="Times New Roman" w:hAnsi="Times New Roman" w:cs="Times New Roman"/>
                <w:sz w:val="20"/>
                <w:szCs w:val="20"/>
                <w:lang w:val="en-US"/>
              </w:rPr>
              <w:t xml:space="preserve"> Laboratories, </w:t>
            </w:r>
            <w:r w:rsidRPr="00C37628">
              <w:rPr>
                <w:rFonts w:ascii="Times New Roman" w:eastAsia="Times New Roman" w:hAnsi="Times New Roman" w:cs="Times New Roman"/>
                <w:sz w:val="20"/>
                <w:szCs w:val="20"/>
                <w:lang w:val="en-US"/>
              </w:rPr>
              <w:t>Inc.</w:t>
            </w:r>
            <w:r w:rsidRPr="00967C61">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967C61">
              <w:rPr>
                <w:rFonts w:ascii="Times New Roman" w:eastAsia="Times New Roman" w:hAnsi="Times New Roman" w:cs="Times New Roman"/>
                <w:sz w:val="20"/>
                <w:szCs w:val="20"/>
                <w:lang w:val="en-US"/>
              </w:rPr>
              <w:t>The V4</w:t>
            </w:r>
            <w:r>
              <w:rPr>
                <w:rFonts w:ascii="Times New Roman" w:eastAsia="Times New Roman" w:hAnsi="Times New Roman" w:cs="Times New Roman"/>
                <w:sz w:val="20"/>
                <w:szCs w:val="20"/>
                <w:lang w:val="en-US"/>
              </w:rPr>
              <w:t xml:space="preserve"> variable</w:t>
            </w:r>
            <w:r w:rsidRPr="00967C61">
              <w:rPr>
                <w:rFonts w:ascii="Times New Roman" w:eastAsia="Times New Roman" w:hAnsi="Times New Roman" w:cs="Times New Roman"/>
                <w:sz w:val="20"/>
                <w:szCs w:val="20"/>
                <w:lang w:val="en-US"/>
              </w:rPr>
              <w:t xml:space="preserve"> region of the 16S rRNA gene was sequenced</w:t>
            </w:r>
          </w:p>
        </w:tc>
        <w:tc>
          <w:tcPr>
            <w:tcW w:w="2160" w:type="dxa"/>
          </w:tcPr>
          <w:p w14:paraId="6E0FC811"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t>T</w:t>
            </w:r>
            <w:r w:rsidRPr="00C37628">
              <w:rPr>
                <w:rFonts w:ascii="Times New Roman" w:eastAsia="Times New Roman" w:hAnsi="Times New Roman" w:cs="Times New Roman"/>
                <w:sz w:val="20"/>
                <w:szCs w:val="20"/>
                <w:lang w:val="en-US"/>
              </w:rPr>
              <w:t xml:space="preserve">he MOM group had the highest abundance of </w:t>
            </w:r>
            <w:proofErr w:type="spellStart"/>
            <w:r w:rsidRPr="00C37628">
              <w:rPr>
                <w:rFonts w:ascii="Times New Roman" w:eastAsia="Times New Roman" w:hAnsi="Times New Roman" w:cs="Times New Roman"/>
                <w:i/>
                <w:iCs/>
                <w:sz w:val="20"/>
                <w:szCs w:val="20"/>
                <w:lang w:val="en-US"/>
              </w:rPr>
              <w:t>Clostridiales</w:t>
            </w:r>
            <w:proofErr w:type="spellEnd"/>
            <w:r w:rsidRPr="00C37628">
              <w:rPr>
                <w:rFonts w:ascii="Times New Roman" w:eastAsia="Times New Roman" w:hAnsi="Times New Roman" w:cs="Times New Roman"/>
                <w:i/>
                <w:iCs/>
                <w:sz w:val="20"/>
                <w:szCs w:val="20"/>
                <w:lang w:val="en-US"/>
              </w:rPr>
              <w:t xml:space="preserve">, </w:t>
            </w:r>
            <w:proofErr w:type="spellStart"/>
            <w:r w:rsidRPr="00C37628">
              <w:rPr>
                <w:rFonts w:ascii="Times New Roman" w:eastAsia="Times New Roman" w:hAnsi="Times New Roman" w:cs="Times New Roman"/>
                <w:i/>
                <w:iCs/>
                <w:sz w:val="20"/>
                <w:szCs w:val="20"/>
                <w:lang w:val="en-US"/>
              </w:rPr>
              <w:t>Lactobacillales</w:t>
            </w:r>
            <w:proofErr w:type="spellEnd"/>
            <w:r w:rsidRPr="00C37628">
              <w:rPr>
                <w:rFonts w:ascii="Times New Roman" w:eastAsia="Times New Roman" w:hAnsi="Times New Roman" w:cs="Times New Roman"/>
                <w:i/>
                <w:iCs/>
                <w:sz w:val="20"/>
                <w:szCs w:val="20"/>
                <w:lang w:val="en-US"/>
              </w:rPr>
              <w:t>,</w:t>
            </w:r>
            <w:r w:rsidRPr="00967C61">
              <w:rPr>
                <w:rFonts w:ascii="Times New Roman" w:eastAsia="Times New Roman" w:hAnsi="Times New Roman" w:cs="Times New Roman"/>
                <w:sz w:val="20"/>
                <w:szCs w:val="20"/>
                <w:lang w:val="en-US"/>
              </w:rPr>
              <w:t xml:space="preserve"> and </w:t>
            </w:r>
            <w:proofErr w:type="spellStart"/>
            <w:r w:rsidRPr="00C37628">
              <w:rPr>
                <w:rFonts w:ascii="Times New Roman" w:eastAsia="Times New Roman" w:hAnsi="Times New Roman" w:cs="Times New Roman"/>
                <w:i/>
                <w:iCs/>
                <w:sz w:val="20"/>
                <w:szCs w:val="20"/>
                <w:lang w:val="en-US"/>
              </w:rPr>
              <w:t>Bacillales</w:t>
            </w:r>
            <w:proofErr w:type="spellEnd"/>
            <w:r w:rsidRPr="00967C61">
              <w:rPr>
                <w:rFonts w:ascii="Times New Roman" w:eastAsia="Times New Roman" w:hAnsi="Times New Roman" w:cs="Times New Roman"/>
                <w:sz w:val="20"/>
                <w:szCs w:val="20"/>
                <w:lang w:val="en-US"/>
              </w:rPr>
              <w:t xml:space="preserve"> and the lowest abundance of </w:t>
            </w:r>
            <w:proofErr w:type="spellStart"/>
            <w:r w:rsidRPr="00C37628">
              <w:rPr>
                <w:rFonts w:ascii="Times New Roman" w:eastAsia="Times New Roman" w:hAnsi="Times New Roman" w:cs="Times New Roman"/>
                <w:i/>
                <w:iCs/>
                <w:sz w:val="20"/>
                <w:szCs w:val="20"/>
                <w:lang w:val="en-US"/>
              </w:rPr>
              <w:t>Enterobacteriales</w:t>
            </w:r>
            <w:proofErr w:type="spellEnd"/>
            <w:r w:rsidRPr="00C3762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967C61">
              <w:rPr>
                <w:rFonts w:ascii="Times New Roman" w:eastAsia="Times New Roman" w:hAnsi="Times New Roman" w:cs="Times New Roman"/>
                <w:sz w:val="20"/>
                <w:szCs w:val="20"/>
                <w:lang w:val="en-US"/>
              </w:rPr>
              <w:t xml:space="preserve">Stool samples of the infants in the HDM, formula, and HDM +formula groups had a high abundance of </w:t>
            </w:r>
            <w:proofErr w:type="spellStart"/>
            <w:r w:rsidRPr="00C37628">
              <w:rPr>
                <w:rFonts w:ascii="Times New Roman" w:eastAsia="Times New Roman" w:hAnsi="Times New Roman" w:cs="Times New Roman"/>
                <w:i/>
                <w:iCs/>
                <w:sz w:val="20"/>
                <w:szCs w:val="20"/>
                <w:lang w:val="en-US"/>
              </w:rPr>
              <w:t>Enterobacteriales</w:t>
            </w:r>
            <w:proofErr w:type="spellEnd"/>
            <w:r w:rsidRPr="00C37628">
              <w:rPr>
                <w:rFonts w:ascii="Times New Roman" w:eastAsia="Times New Roman" w:hAnsi="Times New Roman" w:cs="Times New Roman"/>
                <w:i/>
                <w:iCs/>
                <w:sz w:val="20"/>
                <w:szCs w:val="20"/>
                <w:lang w:val="en-US"/>
              </w:rPr>
              <w:t xml:space="preserve"> </w:t>
            </w:r>
            <w:r w:rsidRPr="00967C61">
              <w:rPr>
                <w:rFonts w:ascii="Times New Roman" w:eastAsia="Times New Roman" w:hAnsi="Times New Roman" w:cs="Times New Roman"/>
                <w:sz w:val="20"/>
                <w:szCs w:val="20"/>
                <w:lang w:val="en-US"/>
              </w:rPr>
              <w:t xml:space="preserve">at all </w:t>
            </w:r>
            <w:r w:rsidRPr="00967C61">
              <w:rPr>
                <w:rFonts w:ascii="Times New Roman" w:eastAsia="Times New Roman" w:hAnsi="Times New Roman" w:cs="Times New Roman"/>
                <w:sz w:val="20"/>
                <w:szCs w:val="20"/>
                <w:lang w:val="en-US"/>
              </w:rPr>
              <w:lastRenderedPageBreak/>
              <w:t>time points.</w:t>
            </w:r>
            <w:r>
              <w:rPr>
                <w:rFonts w:ascii="Times New Roman" w:eastAsia="Times New Roman" w:hAnsi="Times New Roman" w:cs="Times New Roman"/>
                <w:sz w:val="20"/>
                <w:szCs w:val="20"/>
                <w:lang w:val="en-US"/>
              </w:rPr>
              <w:t xml:space="preserve"> </w:t>
            </w:r>
            <w:r w:rsidRPr="00967C61">
              <w:rPr>
                <w:rFonts w:ascii="Times New Roman" w:eastAsia="Times New Roman" w:hAnsi="Times New Roman" w:cs="Times New Roman"/>
                <w:sz w:val="20"/>
                <w:szCs w:val="20"/>
                <w:lang w:val="en-US"/>
              </w:rPr>
              <w:t xml:space="preserve">α-diversity was higher in the MOM group compared to other groups over the </w:t>
            </w:r>
            <w:r>
              <w:rPr>
                <w:rFonts w:ascii="Times New Roman" w:eastAsia="Times New Roman" w:hAnsi="Times New Roman" w:cs="Times New Roman"/>
                <w:sz w:val="20"/>
                <w:szCs w:val="20"/>
                <w:lang w:val="en-US"/>
              </w:rPr>
              <w:t>3</w:t>
            </w:r>
            <w:r w:rsidRPr="00967C61">
              <w:rPr>
                <w:rFonts w:ascii="Times New Roman" w:eastAsia="Times New Roman" w:hAnsi="Times New Roman" w:cs="Times New Roman"/>
                <w:sz w:val="20"/>
                <w:szCs w:val="20"/>
                <w:lang w:val="en-US"/>
              </w:rPr>
              <w:t xml:space="preserve"> 10-day intervals</w:t>
            </w:r>
            <w:r w:rsidRPr="00C3762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967C61">
              <w:rPr>
                <w:rFonts w:ascii="Times New Roman" w:eastAsia="Times New Roman" w:hAnsi="Times New Roman" w:cs="Times New Roman"/>
                <w:sz w:val="20"/>
                <w:szCs w:val="20"/>
                <w:lang w:val="en-US"/>
              </w:rPr>
              <w:t>Higher α-diversity of the microbial community was associated with older day of life (</w:t>
            </w:r>
            <w:r w:rsidRPr="00490676">
              <w:rPr>
                <w:rFonts w:ascii="Times New Roman" w:eastAsia="Times New Roman" w:hAnsi="Times New Roman" w:cs="Times New Roman"/>
                <w:i/>
                <w:sz w:val="20"/>
                <w:szCs w:val="20"/>
                <w:lang w:val="en-US"/>
              </w:rPr>
              <w:t>p</w:t>
            </w:r>
            <w:r w:rsidRPr="00967C61">
              <w:rPr>
                <w:rFonts w:ascii="Times New Roman" w:eastAsia="Times New Roman" w:hAnsi="Times New Roman" w:cs="Times New Roman"/>
                <w:sz w:val="20"/>
                <w:szCs w:val="20"/>
                <w:lang w:val="en-US"/>
              </w:rPr>
              <w:t xml:space="preserve"> &lt; .001), fed MOM (</w:t>
            </w:r>
            <w:r w:rsidRPr="00490676">
              <w:rPr>
                <w:rFonts w:ascii="Times New Roman" w:eastAsia="Times New Roman" w:hAnsi="Times New Roman" w:cs="Times New Roman"/>
                <w:i/>
                <w:sz w:val="20"/>
                <w:szCs w:val="20"/>
                <w:lang w:val="en-US"/>
              </w:rPr>
              <w:t>p</w:t>
            </w:r>
            <w:r w:rsidRPr="00967C61">
              <w:rPr>
                <w:rFonts w:ascii="Times New Roman" w:eastAsia="Times New Roman" w:hAnsi="Times New Roman" w:cs="Times New Roman"/>
                <w:sz w:val="20"/>
                <w:szCs w:val="20"/>
                <w:lang w:val="en-US"/>
              </w:rPr>
              <w:t xml:space="preserve"> &lt; .01), and </w:t>
            </w:r>
            <w:r>
              <w:rPr>
                <w:rFonts w:ascii="Times New Roman" w:eastAsia="Times New Roman" w:hAnsi="Times New Roman" w:cs="Times New Roman"/>
                <w:sz w:val="20"/>
                <w:szCs w:val="20"/>
                <w:lang w:val="en-US"/>
              </w:rPr>
              <w:t xml:space="preserve">female </w:t>
            </w:r>
            <w:r w:rsidRPr="00967C61">
              <w:rPr>
                <w:rFonts w:ascii="Times New Roman" w:eastAsia="Times New Roman" w:hAnsi="Times New Roman" w:cs="Times New Roman"/>
                <w:sz w:val="20"/>
                <w:szCs w:val="20"/>
                <w:lang w:val="en-US"/>
              </w:rPr>
              <w:t>gender (p &lt; .05)</w:t>
            </w:r>
            <w:r w:rsidRPr="00C3762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967C61">
              <w:rPr>
                <w:rFonts w:ascii="Times New Roman" w:eastAsia="Times New Roman" w:hAnsi="Times New Roman" w:cs="Times New Roman"/>
                <w:sz w:val="20"/>
                <w:szCs w:val="20"/>
                <w:lang w:val="en-US"/>
              </w:rPr>
              <w:t xml:space="preserve">Beta diversity was evaluated using PERMNOVA, and feeding type explained the greatest variance in the community structure of the factors tested (11%; </w:t>
            </w:r>
            <w:r w:rsidRPr="00490676">
              <w:rPr>
                <w:rFonts w:ascii="Times New Roman" w:eastAsia="Times New Roman" w:hAnsi="Times New Roman" w:cs="Times New Roman"/>
                <w:i/>
                <w:sz w:val="20"/>
                <w:szCs w:val="20"/>
                <w:lang w:val="en-US"/>
              </w:rPr>
              <w:t>p</w:t>
            </w:r>
            <w:r w:rsidRPr="00967C61">
              <w:rPr>
                <w:rFonts w:ascii="Times New Roman" w:eastAsia="Times New Roman" w:hAnsi="Times New Roman" w:cs="Times New Roman"/>
                <w:sz w:val="20"/>
                <w:szCs w:val="20"/>
                <w:lang w:val="en-US"/>
              </w:rPr>
              <w:t xml:space="preserve"> &lt; .001).</w:t>
            </w:r>
          </w:p>
        </w:tc>
        <w:tc>
          <w:tcPr>
            <w:tcW w:w="1710" w:type="dxa"/>
          </w:tcPr>
          <w:p w14:paraId="6E7B271D"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 xml:space="preserve">Future work may explore the different mechanisms </w:t>
            </w:r>
            <w:r w:rsidRPr="00967C61">
              <w:rPr>
                <w:rFonts w:ascii="Times New Roman" w:eastAsia="Times New Roman" w:hAnsi="Times New Roman" w:cs="Times New Roman"/>
                <w:sz w:val="20"/>
                <w:szCs w:val="20"/>
                <w:lang w:val="en-US"/>
              </w:rPr>
              <w:t xml:space="preserve">by which </w:t>
            </w:r>
            <w:r w:rsidRPr="00C37628">
              <w:rPr>
                <w:rFonts w:ascii="Times New Roman" w:eastAsia="Times New Roman" w:hAnsi="Times New Roman" w:cs="Times New Roman"/>
                <w:sz w:val="20"/>
                <w:szCs w:val="20"/>
                <w:lang w:val="en-US"/>
              </w:rPr>
              <w:t>MOM affects the diversity and composition of the preterm infant's gut microbiota.</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Further exploration of the </w:t>
            </w:r>
            <w:r w:rsidRPr="00C37628">
              <w:rPr>
                <w:rFonts w:ascii="Times New Roman" w:eastAsia="Times New Roman" w:hAnsi="Times New Roman" w:cs="Times New Roman"/>
                <w:sz w:val="20"/>
                <w:szCs w:val="20"/>
                <w:lang w:val="en-US"/>
              </w:rPr>
              <w:lastRenderedPageBreak/>
              <w:t>influence</w:t>
            </w:r>
            <w:r>
              <w:rPr>
                <w:rFonts w:ascii="Times New Roman" w:eastAsia="Times New Roman" w:hAnsi="Times New Roman" w:cs="Times New Roman"/>
                <w:sz w:val="20"/>
                <w:szCs w:val="20"/>
                <w:lang w:val="en-US"/>
              </w:rPr>
              <w:t>s</w:t>
            </w:r>
            <w:r w:rsidRPr="00C37628">
              <w:rPr>
                <w:rFonts w:ascii="Times New Roman" w:eastAsia="Times New Roman" w:hAnsi="Times New Roman" w:cs="Times New Roman"/>
                <w:sz w:val="20"/>
                <w:szCs w:val="20"/>
                <w:lang w:val="en-US"/>
              </w:rPr>
              <w:t xml:space="preserve"> of gender and feeding type o</w:t>
            </w:r>
            <w:r>
              <w:rPr>
                <w:rFonts w:ascii="Times New Roman" w:eastAsia="Times New Roman" w:hAnsi="Times New Roman" w:cs="Times New Roman"/>
                <w:sz w:val="20"/>
                <w:szCs w:val="20"/>
                <w:lang w:val="en-US"/>
              </w:rPr>
              <w:t>n</w:t>
            </w:r>
            <w:r w:rsidRPr="00C37628">
              <w:rPr>
                <w:rFonts w:ascii="Times New Roman" w:eastAsia="Times New Roman" w:hAnsi="Times New Roman" w:cs="Times New Roman"/>
                <w:sz w:val="20"/>
                <w:szCs w:val="20"/>
                <w:lang w:val="en-US"/>
              </w:rPr>
              <w:t xml:space="preserve"> microbial community is suggested.</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Further work is also necessary on testing ways HDM can be preserved to maintain compositional integrity to promote a more diverse gut microbiota.</w:t>
            </w:r>
            <w:r>
              <w:rPr>
                <w:rFonts w:ascii="Times New Roman" w:eastAsia="Times New Roman" w:hAnsi="Times New Roman" w:cs="Times New Roman"/>
                <w:sz w:val="20"/>
                <w:szCs w:val="20"/>
                <w:lang w:val="en-US"/>
              </w:rPr>
              <w:t xml:space="preserve"> </w:t>
            </w:r>
          </w:p>
        </w:tc>
        <w:tc>
          <w:tcPr>
            <w:tcW w:w="2070" w:type="dxa"/>
          </w:tcPr>
          <w:p w14:paraId="059875F4"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 xml:space="preserve">Using QIIME software, OTUs were determined by clustering reads to the </w:t>
            </w:r>
            <w:proofErr w:type="spellStart"/>
            <w:r w:rsidRPr="00C37628">
              <w:rPr>
                <w:rFonts w:ascii="Times New Roman" w:eastAsia="Times New Roman" w:hAnsi="Times New Roman" w:cs="Times New Roman"/>
                <w:sz w:val="20"/>
                <w:szCs w:val="20"/>
                <w:lang w:val="en-US"/>
              </w:rPr>
              <w:t>Greengenes</w:t>
            </w:r>
            <w:proofErr w:type="spellEnd"/>
            <w:r w:rsidRPr="00C37628">
              <w:rPr>
                <w:rFonts w:ascii="Times New Roman" w:eastAsia="Times New Roman" w:hAnsi="Times New Roman" w:cs="Times New Roman"/>
                <w:sz w:val="20"/>
                <w:szCs w:val="20"/>
                <w:lang w:val="en-US"/>
              </w:rPr>
              <w:t xml:space="preserve"> 16S reference dataset (2013–08 release) with a 97% identity cutoff.</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Validity of the pipeline was tested using a mock bacterial community.</w:t>
            </w:r>
            <w:r>
              <w:rPr>
                <w:rFonts w:ascii="Times New Roman" w:eastAsia="Times New Roman" w:hAnsi="Times New Roman" w:cs="Times New Roman"/>
                <w:sz w:val="20"/>
                <w:szCs w:val="20"/>
                <w:lang w:val="en-US"/>
              </w:rPr>
              <w:t xml:space="preserve"> </w:t>
            </w:r>
          </w:p>
        </w:tc>
      </w:tr>
      <w:tr w:rsidR="001D7D94" w:rsidRPr="00C37628" w14:paraId="06A6797B" w14:textId="77777777" w:rsidTr="001D7D94">
        <w:tc>
          <w:tcPr>
            <w:tcW w:w="990" w:type="dxa"/>
            <w:hideMark/>
          </w:tcPr>
          <w:p w14:paraId="0C404943"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Cong et al., 2016</w:t>
            </w:r>
          </w:p>
        </w:tc>
        <w:tc>
          <w:tcPr>
            <w:tcW w:w="1440" w:type="dxa"/>
            <w:hideMark/>
          </w:tcPr>
          <w:p w14:paraId="19473AE0"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 xml:space="preserve">Gut microbiome </w:t>
            </w:r>
            <w:r w:rsidRPr="00C37628">
              <w:rPr>
                <w:rFonts w:ascii="Times New Roman" w:eastAsia="Times New Roman" w:hAnsi="Times New Roman" w:cs="Times New Roman"/>
                <w:sz w:val="20"/>
                <w:szCs w:val="20"/>
                <w:lang w:val="en-US"/>
              </w:rPr>
              <w:lastRenderedPageBreak/>
              <w:t>developmental patterns in early life of preterm infants: impacts of feeding and gender.</w:t>
            </w:r>
          </w:p>
        </w:tc>
        <w:tc>
          <w:tcPr>
            <w:tcW w:w="1890" w:type="dxa"/>
            <w:hideMark/>
          </w:tcPr>
          <w:p w14:paraId="5CAA6B4E"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 xml:space="preserve">Explore day-to-day gut microbiome </w:t>
            </w:r>
            <w:r w:rsidRPr="00C37628">
              <w:rPr>
                <w:rFonts w:ascii="Times New Roman" w:eastAsia="Times New Roman" w:hAnsi="Times New Roman" w:cs="Times New Roman"/>
                <w:sz w:val="20"/>
                <w:szCs w:val="20"/>
                <w:lang w:val="en-US"/>
              </w:rPr>
              <w:lastRenderedPageBreak/>
              <w:t>patterns in preterm infants during their early life in the NICU, and investigate the relationship between clinical factors (</w:t>
            </w:r>
            <w:r w:rsidRPr="00967C61">
              <w:rPr>
                <w:rFonts w:ascii="Times New Roman" w:eastAsia="Times New Roman" w:hAnsi="Times New Roman" w:cs="Times New Roman"/>
                <w:sz w:val="20"/>
                <w:szCs w:val="20"/>
                <w:lang w:val="en-US"/>
              </w:rPr>
              <w:t xml:space="preserve">e.g., </w:t>
            </w:r>
            <w:r w:rsidRPr="00C37628">
              <w:rPr>
                <w:rFonts w:ascii="Times New Roman" w:eastAsia="Times New Roman" w:hAnsi="Times New Roman" w:cs="Times New Roman"/>
                <w:sz w:val="20"/>
                <w:szCs w:val="20"/>
                <w:lang w:val="en-US"/>
              </w:rPr>
              <w:t>infant demographics, mode of delivery, feeding type, antibiotic use, and health conditions) and patterns of infant gut microbial colonization</w:t>
            </w:r>
          </w:p>
        </w:tc>
        <w:tc>
          <w:tcPr>
            <w:tcW w:w="1440" w:type="dxa"/>
            <w:hideMark/>
          </w:tcPr>
          <w:p w14:paraId="10E37790"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 xml:space="preserve">Stool sample collected </w:t>
            </w:r>
            <w:r w:rsidRPr="00C37628">
              <w:rPr>
                <w:rFonts w:ascii="Times New Roman" w:eastAsia="Times New Roman" w:hAnsi="Times New Roman" w:cs="Times New Roman"/>
                <w:sz w:val="20"/>
                <w:szCs w:val="20"/>
                <w:lang w:val="en-US"/>
              </w:rPr>
              <w:lastRenderedPageBreak/>
              <w:t>directly from diaper</w:t>
            </w:r>
          </w:p>
        </w:tc>
        <w:tc>
          <w:tcPr>
            <w:tcW w:w="1710" w:type="dxa"/>
            <w:hideMark/>
          </w:tcPr>
          <w:p w14:paraId="016E9C31" w14:textId="77777777" w:rsidR="001D7D94" w:rsidRPr="00967C61"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lastRenderedPageBreak/>
              <w:t xml:space="preserve">Prospective longitudinal </w:t>
            </w:r>
            <w:r w:rsidRPr="00967C61">
              <w:rPr>
                <w:rFonts w:ascii="Times New Roman" w:eastAsia="Times New Roman" w:hAnsi="Times New Roman" w:cs="Times New Roman"/>
                <w:sz w:val="20"/>
                <w:szCs w:val="20"/>
                <w:lang w:val="en-US"/>
              </w:rPr>
              <w:lastRenderedPageBreak/>
              <w:t>study</w:t>
            </w:r>
            <w:r w:rsidRPr="00C3762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967C61">
              <w:rPr>
                <w:rFonts w:ascii="Times New Roman" w:eastAsia="Times New Roman" w:hAnsi="Times New Roman" w:cs="Times New Roman"/>
                <w:sz w:val="20"/>
                <w:szCs w:val="20"/>
                <w:lang w:val="en-US"/>
              </w:rPr>
              <w:t>378 fecal samples were analyzed from 29 preterm infants</w:t>
            </w:r>
            <w:r w:rsidRPr="00C3762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967C61">
              <w:rPr>
                <w:rFonts w:ascii="Times New Roman" w:eastAsia="Times New Roman" w:hAnsi="Times New Roman" w:cs="Times New Roman"/>
                <w:sz w:val="20"/>
                <w:szCs w:val="20"/>
                <w:lang w:val="en-US"/>
              </w:rPr>
              <w:t>Factors hypothesized to contribute to OTU diversity in microbiome samples were tested using generalized linear mixed modeling</w:t>
            </w:r>
            <w:r w:rsidRPr="00C3762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967C61">
              <w:rPr>
                <w:rFonts w:ascii="Times New Roman" w:eastAsia="Times New Roman" w:hAnsi="Times New Roman" w:cs="Times New Roman"/>
                <w:sz w:val="20"/>
                <w:szCs w:val="20"/>
                <w:lang w:val="en-US"/>
              </w:rPr>
              <w:t>Gender difference in microbial community was tested.</w:t>
            </w:r>
          </w:p>
        </w:tc>
        <w:tc>
          <w:tcPr>
            <w:tcW w:w="1710" w:type="dxa"/>
            <w:hideMark/>
          </w:tcPr>
          <w:p w14:paraId="0B6AC537" w14:textId="77777777" w:rsidR="001D7D94" w:rsidRPr="00967C61"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lastRenderedPageBreak/>
              <w:t xml:space="preserve">DNA was extracted using </w:t>
            </w:r>
            <w:r w:rsidRPr="00967C61">
              <w:rPr>
                <w:rFonts w:ascii="Times New Roman" w:eastAsia="Times New Roman" w:hAnsi="Times New Roman" w:cs="Times New Roman"/>
                <w:sz w:val="20"/>
                <w:szCs w:val="20"/>
                <w:lang w:val="en-US"/>
              </w:rPr>
              <w:lastRenderedPageBreak/>
              <w:t xml:space="preserve">the </w:t>
            </w:r>
            <w:proofErr w:type="spellStart"/>
            <w:r w:rsidRPr="00967C61">
              <w:rPr>
                <w:rFonts w:ascii="Times New Roman" w:eastAsia="Times New Roman" w:hAnsi="Times New Roman" w:cs="Times New Roman"/>
                <w:sz w:val="20"/>
                <w:szCs w:val="20"/>
                <w:lang w:val="en-US"/>
              </w:rPr>
              <w:t>MoBio</w:t>
            </w:r>
            <w:proofErr w:type="spellEnd"/>
            <w:r w:rsidRPr="00967C61">
              <w:rPr>
                <w:rFonts w:ascii="Times New Roman" w:eastAsia="Times New Roman" w:hAnsi="Times New Roman" w:cs="Times New Roman"/>
                <w:sz w:val="20"/>
                <w:szCs w:val="20"/>
                <w:lang w:val="en-US"/>
              </w:rPr>
              <w:t xml:space="preserve"> Power Soil kit (</w:t>
            </w:r>
            <w:proofErr w:type="spellStart"/>
            <w:r w:rsidRPr="00967C61">
              <w:rPr>
                <w:rFonts w:ascii="Times New Roman" w:eastAsia="Times New Roman" w:hAnsi="Times New Roman" w:cs="Times New Roman"/>
                <w:sz w:val="20"/>
                <w:szCs w:val="20"/>
                <w:lang w:val="en-US"/>
              </w:rPr>
              <w:t>MoBio</w:t>
            </w:r>
            <w:proofErr w:type="spellEnd"/>
            <w:r w:rsidRPr="00967C61">
              <w:rPr>
                <w:rFonts w:ascii="Times New Roman" w:eastAsia="Times New Roman" w:hAnsi="Times New Roman" w:cs="Times New Roman"/>
                <w:sz w:val="20"/>
                <w:szCs w:val="20"/>
                <w:lang w:val="en-US"/>
              </w:rPr>
              <w:t xml:space="preserve"> Laboratories, </w:t>
            </w:r>
            <w:r w:rsidRPr="00C37628">
              <w:rPr>
                <w:rFonts w:ascii="Times New Roman" w:eastAsia="Times New Roman" w:hAnsi="Times New Roman" w:cs="Times New Roman"/>
                <w:sz w:val="20"/>
                <w:szCs w:val="20"/>
                <w:lang w:val="en-US"/>
              </w:rPr>
              <w:t>Inc.</w:t>
            </w:r>
            <w:r w:rsidRPr="00967C61">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967C61">
              <w:rPr>
                <w:rFonts w:ascii="Times New Roman" w:eastAsia="Times New Roman" w:hAnsi="Times New Roman" w:cs="Times New Roman"/>
                <w:sz w:val="20"/>
                <w:szCs w:val="20"/>
                <w:lang w:val="en-US"/>
              </w:rPr>
              <w:t>The V4 region if the 16S rRNA gene was sequenced</w:t>
            </w:r>
            <w:r>
              <w:rPr>
                <w:rFonts w:ascii="Times New Roman" w:eastAsia="Times New Roman" w:hAnsi="Times New Roman" w:cs="Times New Roman"/>
                <w:sz w:val="20"/>
                <w:szCs w:val="20"/>
                <w:lang w:val="en-US"/>
              </w:rPr>
              <w:t>.</w:t>
            </w:r>
          </w:p>
        </w:tc>
        <w:tc>
          <w:tcPr>
            <w:tcW w:w="2160" w:type="dxa"/>
            <w:hideMark/>
          </w:tcPr>
          <w:p w14:paraId="1A1C986A"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 xml:space="preserve">α-diversity increased from 0.31 ± 0.32 at </w:t>
            </w:r>
            <w:r w:rsidRPr="00C37628">
              <w:rPr>
                <w:rFonts w:ascii="Times New Roman" w:eastAsia="Times New Roman" w:hAnsi="Times New Roman" w:cs="Times New Roman"/>
                <w:sz w:val="20"/>
                <w:szCs w:val="20"/>
                <w:lang w:val="en-US"/>
              </w:rPr>
              <w:lastRenderedPageBreak/>
              <w:t xml:space="preserve">postnatal </w:t>
            </w:r>
            <w:r>
              <w:rPr>
                <w:rFonts w:ascii="Times New Roman" w:eastAsia="Times New Roman" w:hAnsi="Times New Roman" w:cs="Times New Roman"/>
                <w:sz w:val="20"/>
                <w:szCs w:val="20"/>
                <w:lang w:val="en-US"/>
              </w:rPr>
              <w:t>D</w:t>
            </w:r>
            <w:r w:rsidRPr="00C37628">
              <w:rPr>
                <w:rFonts w:ascii="Times New Roman" w:eastAsia="Times New Roman" w:hAnsi="Times New Roman" w:cs="Times New Roman"/>
                <w:sz w:val="20"/>
                <w:szCs w:val="20"/>
                <w:lang w:val="en-US"/>
              </w:rPr>
              <w:t xml:space="preserve">ay 5 of life to 0.49 ± 0.19 at </w:t>
            </w:r>
            <w:r>
              <w:rPr>
                <w:rFonts w:ascii="Times New Roman" w:eastAsia="Times New Roman" w:hAnsi="Times New Roman" w:cs="Times New Roman"/>
                <w:sz w:val="20"/>
                <w:szCs w:val="20"/>
                <w:lang w:val="en-US"/>
              </w:rPr>
              <w:t>D</w:t>
            </w:r>
            <w:r w:rsidRPr="00C37628">
              <w:rPr>
                <w:rFonts w:ascii="Times New Roman" w:eastAsia="Times New Roman" w:hAnsi="Times New Roman" w:cs="Times New Roman"/>
                <w:sz w:val="20"/>
                <w:szCs w:val="20"/>
                <w:lang w:val="en-US"/>
              </w:rPr>
              <w:t>ay 30, with an average increase of 0.008 per day (</w:t>
            </w:r>
            <w:r w:rsidRPr="00DF520A">
              <w:rPr>
                <w:rFonts w:ascii="Times New Roman" w:eastAsia="Times New Roman" w:hAnsi="Times New Roman" w:cs="Times New Roman"/>
                <w:i/>
                <w:sz w:val="20"/>
                <w:szCs w:val="20"/>
                <w:lang w:val="en-US"/>
              </w:rPr>
              <w:t>p</w:t>
            </w:r>
            <w:r w:rsidRPr="00C37628">
              <w:rPr>
                <w:rFonts w:ascii="Times New Roman" w:eastAsia="Times New Roman" w:hAnsi="Times New Roman" w:cs="Times New Roman"/>
                <w:sz w:val="20"/>
                <w:szCs w:val="20"/>
                <w:lang w:val="en-US"/>
              </w:rPr>
              <w:t xml:space="preserve"> &lt; 0.001).</w:t>
            </w:r>
            <w:r>
              <w:rPr>
                <w:rFonts w:ascii="Times New Roman" w:eastAsia="Times New Roman" w:hAnsi="Times New Roman" w:cs="Times New Roman"/>
                <w:sz w:val="20"/>
                <w:szCs w:val="20"/>
                <w:lang w:val="en-US"/>
              </w:rPr>
              <w:t xml:space="preserve"> </w:t>
            </w:r>
            <w:r w:rsidRPr="00967C61">
              <w:rPr>
                <w:rFonts w:ascii="Times New Roman" w:eastAsia="Times New Roman" w:hAnsi="Times New Roman" w:cs="Times New Roman"/>
                <w:sz w:val="20"/>
                <w:szCs w:val="20"/>
                <w:lang w:val="en-US"/>
              </w:rPr>
              <w:t>F</w:t>
            </w:r>
            <w:r w:rsidRPr="00C37628">
              <w:rPr>
                <w:rFonts w:ascii="Times New Roman" w:eastAsia="Times New Roman" w:hAnsi="Times New Roman" w:cs="Times New Roman"/>
                <w:sz w:val="20"/>
                <w:szCs w:val="20"/>
                <w:lang w:val="en-US"/>
              </w:rPr>
              <w:t xml:space="preserve">actors associated with microbial alpha diversity were time (postnatal days), </w:t>
            </w:r>
            <w:r w:rsidRPr="00DF520A">
              <w:rPr>
                <w:rFonts w:ascii="Times New Roman" w:eastAsia="Times New Roman" w:hAnsi="Times New Roman" w:cs="Times New Roman"/>
                <w:i/>
                <w:sz w:val="20"/>
                <w:szCs w:val="20"/>
                <w:lang w:val="en-US"/>
              </w:rPr>
              <w:t>p</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&lt;</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0.01</w:t>
            </w:r>
            <w:r w:rsidRPr="00967C61">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xml:space="preserve"> feeding type (using M</w:t>
            </w:r>
            <w:r>
              <w:rPr>
                <w:rFonts w:ascii="Times New Roman" w:eastAsia="Times New Roman" w:hAnsi="Times New Roman" w:cs="Times New Roman"/>
                <w:sz w:val="20"/>
                <w:szCs w:val="20"/>
                <w:lang w:val="en-US"/>
              </w:rPr>
              <w:t>O</w:t>
            </w:r>
            <w:r w:rsidRPr="00C37628">
              <w:rPr>
                <w:rFonts w:ascii="Times New Roman" w:eastAsia="Times New Roman" w:hAnsi="Times New Roman" w:cs="Times New Roman"/>
                <w:sz w:val="20"/>
                <w:szCs w:val="20"/>
                <w:lang w:val="en-US"/>
              </w:rPr>
              <w:t xml:space="preserve">M or not), </w:t>
            </w:r>
            <w:r w:rsidRPr="00DB19A8">
              <w:rPr>
                <w:rFonts w:ascii="Times New Roman" w:eastAsia="Times New Roman" w:hAnsi="Times New Roman" w:cs="Times New Roman"/>
                <w:i/>
                <w:sz w:val="20"/>
                <w:szCs w:val="20"/>
                <w:lang w:val="en-US"/>
              </w:rPr>
              <w:t>p</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&lt;</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0.01</w:t>
            </w:r>
            <w:r w:rsidRPr="00967C61">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xml:space="preserve"> and gender, </w:t>
            </w:r>
            <w:r w:rsidRPr="00DB19A8">
              <w:rPr>
                <w:rFonts w:ascii="Times New Roman" w:eastAsia="Times New Roman" w:hAnsi="Times New Roman" w:cs="Times New Roman"/>
                <w:i/>
                <w:sz w:val="20"/>
                <w:szCs w:val="20"/>
                <w:lang w:val="en-US"/>
              </w:rPr>
              <w:t>p</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&lt;</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0.05.</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Male infants began life with low α-diversity but normalized to female values by </w:t>
            </w:r>
            <w:r>
              <w:rPr>
                <w:rFonts w:ascii="Times New Roman" w:eastAsia="Times New Roman" w:hAnsi="Times New Roman" w:cs="Times New Roman"/>
                <w:sz w:val="20"/>
                <w:szCs w:val="20"/>
                <w:lang w:val="en-US"/>
              </w:rPr>
              <w:t>D</w:t>
            </w:r>
            <w:r w:rsidRPr="00C37628">
              <w:rPr>
                <w:rFonts w:ascii="Times New Roman" w:eastAsia="Times New Roman" w:hAnsi="Times New Roman" w:cs="Times New Roman"/>
                <w:sz w:val="20"/>
                <w:szCs w:val="20"/>
                <w:lang w:val="en-US"/>
              </w:rPr>
              <w:t>ay 20</w:t>
            </w:r>
            <w:r>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30.</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Overall mean of α-diversity was higher in females (0.58 ± 0.22) th</w:t>
            </w:r>
            <w:r w:rsidRPr="00967C61">
              <w:rPr>
                <w:rFonts w:ascii="Times New Roman" w:eastAsia="Times New Roman" w:hAnsi="Times New Roman" w:cs="Times New Roman"/>
                <w:sz w:val="20"/>
                <w:szCs w:val="20"/>
                <w:lang w:val="en-US"/>
              </w:rPr>
              <w:t>a</w:t>
            </w:r>
            <w:r w:rsidRPr="00C37628">
              <w:rPr>
                <w:rFonts w:ascii="Times New Roman" w:eastAsia="Times New Roman" w:hAnsi="Times New Roman" w:cs="Times New Roman"/>
                <w:sz w:val="20"/>
                <w:szCs w:val="20"/>
                <w:lang w:val="en-US"/>
              </w:rPr>
              <w:t xml:space="preserve">n males (0.48 ± 0.26) during first 30 </w:t>
            </w:r>
            <w:r w:rsidRPr="00C37628">
              <w:rPr>
                <w:rFonts w:ascii="Times New Roman" w:eastAsia="Times New Roman" w:hAnsi="Times New Roman" w:cs="Times New Roman"/>
                <w:sz w:val="20"/>
                <w:szCs w:val="20"/>
                <w:lang w:val="en-US"/>
              </w:rPr>
              <w:lastRenderedPageBreak/>
              <w:t>days of life (</w:t>
            </w:r>
            <w:r w:rsidRPr="00DB19A8">
              <w:rPr>
                <w:rFonts w:ascii="Times New Roman" w:eastAsia="Times New Roman" w:hAnsi="Times New Roman" w:cs="Times New Roman"/>
                <w:i/>
                <w:sz w:val="20"/>
                <w:szCs w:val="20"/>
                <w:lang w:val="en-US"/>
              </w:rPr>
              <w:t>p</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&lt;</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0.05).</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Feeding type was also found to be a significant influencing factor in microbial diversity in the gut microbiome.</w:t>
            </w:r>
          </w:p>
        </w:tc>
        <w:tc>
          <w:tcPr>
            <w:tcW w:w="1710" w:type="dxa"/>
            <w:hideMark/>
          </w:tcPr>
          <w:p w14:paraId="560FD9C9"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 xml:space="preserve">Feeding type in preterm infants </w:t>
            </w:r>
            <w:r w:rsidRPr="00C37628">
              <w:rPr>
                <w:rFonts w:ascii="Times New Roman" w:eastAsia="Times New Roman" w:hAnsi="Times New Roman" w:cs="Times New Roman"/>
                <w:sz w:val="20"/>
                <w:szCs w:val="20"/>
                <w:lang w:val="en-US"/>
              </w:rPr>
              <w:lastRenderedPageBreak/>
              <w:t>may be an important driver in diversity of the gut microbiome.</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The authors state that future studies with larger sample sizes and a more geographically diverse population w</w:t>
            </w:r>
            <w:r>
              <w:rPr>
                <w:rFonts w:ascii="Times New Roman" w:eastAsia="Times New Roman" w:hAnsi="Times New Roman" w:cs="Times New Roman"/>
                <w:sz w:val="20"/>
                <w:szCs w:val="20"/>
                <w:lang w:val="en-US"/>
              </w:rPr>
              <w:t>ould</w:t>
            </w:r>
            <w:r w:rsidRPr="00C37628">
              <w:rPr>
                <w:rFonts w:ascii="Times New Roman" w:eastAsia="Times New Roman" w:hAnsi="Times New Roman" w:cs="Times New Roman"/>
                <w:sz w:val="20"/>
                <w:szCs w:val="20"/>
                <w:lang w:val="en-US"/>
              </w:rPr>
              <w:t xml:space="preserve"> be informative</w:t>
            </w:r>
            <w:r>
              <w:rPr>
                <w:rFonts w:ascii="Times New Roman" w:eastAsia="Times New Roman" w:hAnsi="Times New Roman" w:cs="Times New Roman"/>
                <w:sz w:val="20"/>
                <w:szCs w:val="20"/>
                <w:lang w:val="en-US"/>
              </w:rPr>
              <w:t>.</w:t>
            </w:r>
          </w:p>
        </w:tc>
        <w:tc>
          <w:tcPr>
            <w:tcW w:w="2070" w:type="dxa"/>
            <w:hideMark/>
          </w:tcPr>
          <w:p w14:paraId="3922C9DA"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 xml:space="preserve">Using QIIME software, OTUs were </w:t>
            </w:r>
            <w:r w:rsidRPr="00C37628">
              <w:rPr>
                <w:rFonts w:ascii="Times New Roman" w:eastAsia="Times New Roman" w:hAnsi="Times New Roman" w:cs="Times New Roman"/>
                <w:sz w:val="20"/>
                <w:szCs w:val="20"/>
                <w:lang w:val="en-US"/>
              </w:rPr>
              <w:lastRenderedPageBreak/>
              <w:t xml:space="preserve">determined by clustering reads to the </w:t>
            </w:r>
            <w:proofErr w:type="spellStart"/>
            <w:r w:rsidRPr="00C37628">
              <w:rPr>
                <w:rFonts w:ascii="Times New Roman" w:eastAsia="Times New Roman" w:hAnsi="Times New Roman" w:cs="Times New Roman"/>
                <w:sz w:val="20"/>
                <w:szCs w:val="20"/>
                <w:lang w:val="en-US"/>
              </w:rPr>
              <w:t>Greengenes</w:t>
            </w:r>
            <w:proofErr w:type="spellEnd"/>
            <w:r w:rsidRPr="00C37628">
              <w:rPr>
                <w:rFonts w:ascii="Times New Roman" w:eastAsia="Times New Roman" w:hAnsi="Times New Roman" w:cs="Times New Roman"/>
                <w:sz w:val="20"/>
                <w:szCs w:val="20"/>
                <w:lang w:val="en-US"/>
              </w:rPr>
              <w:t xml:space="preserve"> 16S reference dataset (2013–08 release) with a 97% identity cutoff.</w:t>
            </w:r>
          </w:p>
        </w:tc>
      </w:tr>
      <w:tr w:rsidR="001D7D94" w:rsidRPr="00C37628" w14:paraId="0664C7CF" w14:textId="77777777" w:rsidTr="001D7D94">
        <w:tc>
          <w:tcPr>
            <w:tcW w:w="990" w:type="dxa"/>
            <w:hideMark/>
          </w:tcPr>
          <w:p w14:paraId="3B8F0986"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Fourie et al., 2016</w:t>
            </w:r>
          </w:p>
        </w:tc>
        <w:tc>
          <w:tcPr>
            <w:tcW w:w="1440" w:type="dxa"/>
            <w:hideMark/>
          </w:tcPr>
          <w:p w14:paraId="796D291A"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The microbiome of the oral mucosa in irritable bowel syndrome</w:t>
            </w:r>
          </w:p>
        </w:tc>
        <w:tc>
          <w:tcPr>
            <w:tcW w:w="1890" w:type="dxa"/>
            <w:hideMark/>
          </w:tcPr>
          <w:p w14:paraId="6BCEB8F6"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t>A</w:t>
            </w:r>
            <w:r w:rsidRPr="00C37628">
              <w:rPr>
                <w:rFonts w:ascii="Times New Roman" w:eastAsia="Times New Roman" w:hAnsi="Times New Roman" w:cs="Times New Roman"/>
                <w:sz w:val="20"/>
                <w:szCs w:val="20"/>
                <w:lang w:val="en-US"/>
              </w:rPr>
              <w:t xml:space="preserve">ssess whether the oral microbiome differs between participants with IBS and healthy controls, and explore </w:t>
            </w:r>
            <w:r>
              <w:rPr>
                <w:rFonts w:ascii="Times New Roman" w:eastAsia="Times New Roman" w:hAnsi="Times New Roman" w:cs="Times New Roman"/>
                <w:sz w:val="20"/>
                <w:szCs w:val="20"/>
                <w:lang w:val="en-US"/>
              </w:rPr>
              <w:t>whether</w:t>
            </w:r>
            <w:r w:rsidRPr="00C37628">
              <w:rPr>
                <w:rFonts w:ascii="Times New Roman" w:eastAsia="Times New Roman" w:hAnsi="Times New Roman" w:cs="Times New Roman"/>
                <w:sz w:val="20"/>
                <w:szCs w:val="20"/>
                <w:lang w:val="en-US"/>
              </w:rPr>
              <w:t xml:space="preserve"> the oral microbiome correlate</w:t>
            </w:r>
            <w:r>
              <w:rPr>
                <w:rFonts w:ascii="Times New Roman" w:eastAsia="Times New Roman" w:hAnsi="Times New Roman" w:cs="Times New Roman"/>
                <w:sz w:val="20"/>
                <w:szCs w:val="20"/>
                <w:lang w:val="en-US"/>
              </w:rPr>
              <w:t>s</w:t>
            </w:r>
            <w:r w:rsidRPr="00C37628">
              <w:rPr>
                <w:rFonts w:ascii="Times New Roman" w:eastAsia="Times New Roman" w:hAnsi="Times New Roman" w:cs="Times New Roman"/>
                <w:sz w:val="20"/>
                <w:szCs w:val="20"/>
                <w:lang w:val="en-US"/>
              </w:rPr>
              <w:t xml:space="preserve"> with variation in symptom severity of visceral sensitivity and pain</w:t>
            </w:r>
          </w:p>
        </w:tc>
        <w:tc>
          <w:tcPr>
            <w:tcW w:w="1440" w:type="dxa"/>
            <w:hideMark/>
          </w:tcPr>
          <w:p w14:paraId="749AB292"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 xml:space="preserve">Oral buccal mucosal membrane cells were collected using a </w:t>
            </w:r>
            <w:proofErr w:type="spellStart"/>
            <w:r w:rsidRPr="00C37628">
              <w:rPr>
                <w:rFonts w:ascii="Times New Roman" w:eastAsia="Times New Roman" w:hAnsi="Times New Roman" w:cs="Times New Roman"/>
                <w:sz w:val="20"/>
                <w:szCs w:val="20"/>
                <w:lang w:val="en-US"/>
              </w:rPr>
              <w:t>Pytobrush</w:t>
            </w:r>
            <w:proofErr w:type="spellEnd"/>
            <w:r w:rsidRPr="00C37628">
              <w:rPr>
                <w:rFonts w:ascii="Times New Roman" w:eastAsia="Times New Roman" w:hAnsi="Times New Roman" w:cs="Times New Roman"/>
                <w:sz w:val="20"/>
                <w:szCs w:val="20"/>
                <w:lang w:val="en-US"/>
              </w:rPr>
              <w:t>® (Cooper</w:t>
            </w:r>
            <w:r w:rsidRPr="00967C61">
              <w:rPr>
                <w:rFonts w:ascii="Times New Roman" w:eastAsia="Times New Roman" w:hAnsi="Times New Roman" w:cs="Times New Roman"/>
                <w:sz w:val="20"/>
                <w:szCs w:val="20"/>
                <w:lang w:val="en-US"/>
              </w:rPr>
              <w:br/>
            </w:r>
            <w:r w:rsidRPr="00C37628">
              <w:rPr>
                <w:rFonts w:ascii="Times New Roman" w:eastAsia="Times New Roman" w:hAnsi="Times New Roman" w:cs="Times New Roman"/>
                <w:sz w:val="20"/>
                <w:szCs w:val="20"/>
                <w:lang w:val="en-US"/>
              </w:rPr>
              <w:t>Surgical, Berlin</w:t>
            </w:r>
            <w:r>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xml:space="preserve"> Germany</w:t>
            </w:r>
            <w:r w:rsidRPr="00967C61">
              <w:rPr>
                <w:rFonts w:ascii="Times New Roman" w:eastAsia="Times New Roman" w:hAnsi="Times New Roman" w:cs="Times New Roman"/>
                <w:sz w:val="20"/>
                <w:szCs w:val="20"/>
                <w:lang w:val="en-US"/>
              </w:rPr>
              <w:t>)</w:t>
            </w:r>
          </w:p>
        </w:tc>
        <w:tc>
          <w:tcPr>
            <w:tcW w:w="1710" w:type="dxa"/>
            <w:hideMark/>
          </w:tcPr>
          <w:p w14:paraId="6DC178F5"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Patients with IBS (</w:t>
            </w:r>
            <w:r w:rsidRPr="000F0DC8">
              <w:rPr>
                <w:rFonts w:ascii="Times New Roman" w:eastAsia="Times New Roman" w:hAnsi="Times New Roman" w:cs="Times New Roman"/>
                <w:i/>
                <w:sz w:val="20"/>
                <w:szCs w:val="20"/>
                <w:lang w:val="en-US"/>
              </w:rPr>
              <w:t>n</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20) and healthy controls (</w:t>
            </w:r>
            <w:r w:rsidRPr="000F0DC8">
              <w:rPr>
                <w:rFonts w:ascii="Times New Roman" w:eastAsia="Times New Roman" w:hAnsi="Times New Roman" w:cs="Times New Roman"/>
                <w:i/>
                <w:sz w:val="20"/>
                <w:szCs w:val="20"/>
                <w:lang w:val="en-US"/>
              </w:rPr>
              <w:t>n</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20) were </w:t>
            </w:r>
            <w:proofErr w:type="spellStart"/>
            <w:r w:rsidRPr="00C37628">
              <w:rPr>
                <w:rFonts w:ascii="Times New Roman" w:eastAsia="Times New Roman" w:hAnsi="Times New Roman" w:cs="Times New Roman"/>
                <w:sz w:val="20"/>
                <w:szCs w:val="20"/>
                <w:lang w:val="en-US"/>
              </w:rPr>
              <w:t>were</w:t>
            </w:r>
            <w:proofErr w:type="spellEnd"/>
            <w:r w:rsidRPr="00C37628">
              <w:rPr>
                <w:rFonts w:ascii="Times New Roman" w:eastAsia="Times New Roman" w:hAnsi="Times New Roman" w:cs="Times New Roman"/>
                <w:sz w:val="20"/>
                <w:szCs w:val="20"/>
                <w:lang w:val="en-US"/>
              </w:rPr>
              <w:t xml:space="preserve"> matched on age, gender, race, and weight.</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Visceral pain was assessed before and after ingestion of an intestinal permeability test sugar solution by the </w:t>
            </w:r>
            <w:r w:rsidRPr="00C37628">
              <w:rPr>
                <w:rFonts w:ascii="Times New Roman" w:eastAsia="Times New Roman" w:hAnsi="Times New Roman" w:cs="Times New Roman"/>
                <w:sz w:val="20"/>
                <w:szCs w:val="20"/>
                <w:lang w:val="en-US"/>
              </w:rPr>
              <w:lastRenderedPageBreak/>
              <w:t>Gastrointestinal Pain Pointer (GIPP), an electronic self-report interface.</w:t>
            </w:r>
            <w:r>
              <w:rPr>
                <w:rFonts w:ascii="Times New Roman" w:eastAsia="Times New Roman" w:hAnsi="Times New Roman" w:cs="Times New Roman"/>
                <w:sz w:val="20"/>
                <w:szCs w:val="20"/>
                <w:lang w:val="en-US"/>
              </w:rPr>
              <w:t xml:space="preserve"> </w:t>
            </w:r>
          </w:p>
        </w:tc>
        <w:tc>
          <w:tcPr>
            <w:tcW w:w="1710" w:type="dxa"/>
            <w:hideMark/>
          </w:tcPr>
          <w:p w14:paraId="324A3AD4"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Amplification, purification, hybridization, and microarray analysis were completed by Second</w:t>
            </w:r>
            <w:r w:rsidRPr="00967C61">
              <w:rPr>
                <w:rFonts w:ascii="Times New Roman" w:eastAsia="Times New Roman" w:hAnsi="Times New Roman" w:cs="Times New Roman"/>
                <w:sz w:val="20"/>
                <w:szCs w:val="20"/>
                <w:lang w:val="en-US"/>
              </w:rPr>
              <w:br/>
            </w:r>
            <w:r w:rsidRPr="00C37628">
              <w:rPr>
                <w:rFonts w:ascii="Times New Roman" w:eastAsia="Times New Roman" w:hAnsi="Times New Roman" w:cs="Times New Roman"/>
                <w:sz w:val="20"/>
                <w:szCs w:val="20"/>
                <w:lang w:val="en-US"/>
              </w:rPr>
              <w:t>Genome.</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The 16S rRNA gene was sequenced using the 27F</w:t>
            </w:r>
            <w:r>
              <w:rPr>
                <w:rFonts w:ascii="Times New Roman" w:eastAsia="Times New Roman" w:hAnsi="Times New Roman" w:cs="Times New Roman"/>
                <w:sz w:val="20"/>
                <w:szCs w:val="20"/>
                <w:lang w:val="en-US"/>
              </w:rPr>
              <w:t>/1492R</w:t>
            </w:r>
            <w:r w:rsidRPr="00C37628">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primer set</w:t>
            </w:r>
            <w:r w:rsidRPr="00C3762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Bacterial 16S</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rRNA gene amplicons were </w:t>
            </w:r>
            <w:r w:rsidRPr="00C37628">
              <w:rPr>
                <w:rFonts w:ascii="Times New Roman" w:eastAsia="Times New Roman" w:hAnsi="Times New Roman" w:cs="Times New Roman"/>
                <w:sz w:val="20"/>
                <w:szCs w:val="20"/>
                <w:lang w:val="en-US"/>
              </w:rPr>
              <w:lastRenderedPageBreak/>
              <w:t xml:space="preserve">fragmented, biotin-labeled, and hybridized to the </w:t>
            </w:r>
            <w:proofErr w:type="spellStart"/>
            <w:r w:rsidRPr="00C37628">
              <w:rPr>
                <w:rFonts w:ascii="Times New Roman" w:eastAsia="Times New Roman" w:hAnsi="Times New Roman" w:cs="Times New Roman"/>
                <w:sz w:val="20"/>
                <w:szCs w:val="20"/>
                <w:lang w:val="en-US"/>
              </w:rPr>
              <w:t>PhyloChip</w:t>
            </w:r>
            <w:proofErr w:type="spellEnd"/>
            <w:r w:rsidRPr="00C37628">
              <w:rPr>
                <w:rFonts w:ascii="Times New Roman" w:eastAsia="Times New Roman" w:hAnsi="Times New Roman" w:cs="Times New Roman"/>
                <w:sz w:val="20"/>
                <w:szCs w:val="20"/>
                <w:lang w:val="en-US"/>
              </w:rPr>
              <w:t>™ Array (version G3).</w:t>
            </w:r>
          </w:p>
        </w:tc>
        <w:tc>
          <w:tcPr>
            <w:tcW w:w="2160" w:type="dxa"/>
            <w:hideMark/>
          </w:tcPr>
          <w:p w14:paraId="64BF992D"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Pain severity was highest in overweight participants with IBS and correlated to the abundance of 60 OTUs, 4 genera, 5 families, and 4 orders of bacteria (r</w:t>
            </w:r>
            <w:r w:rsidRPr="00F232B9">
              <w:rPr>
                <w:rFonts w:ascii="Times New Roman" w:eastAsia="Times New Roman" w:hAnsi="Times New Roman" w:cs="Times New Roman"/>
                <w:sz w:val="20"/>
                <w:szCs w:val="20"/>
                <w:vertAlign w:val="superscript"/>
                <w:lang w:val="en-US"/>
              </w:rPr>
              <w:t>2</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&gt;</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0.4, </w:t>
            </w:r>
            <w:r w:rsidRPr="000F0DC8">
              <w:rPr>
                <w:rFonts w:ascii="Times New Roman" w:eastAsia="Times New Roman" w:hAnsi="Times New Roman" w:cs="Times New Roman"/>
                <w:i/>
                <w:sz w:val="20"/>
                <w:szCs w:val="20"/>
                <w:lang w:val="en-US"/>
              </w:rPr>
              <w:t>p</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&lt;</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0.001).</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Analysis of ß-diversity showed significant OTU separation of the overweight</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IBS patients from other groups.</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Having IBS and being overweight </w:t>
            </w:r>
            <w:r w:rsidRPr="00C37628">
              <w:rPr>
                <w:rFonts w:ascii="Times New Roman" w:eastAsia="Times New Roman" w:hAnsi="Times New Roman" w:cs="Times New Roman"/>
                <w:sz w:val="20"/>
                <w:szCs w:val="20"/>
                <w:lang w:val="en-US"/>
              </w:rPr>
              <w:lastRenderedPageBreak/>
              <w:t xml:space="preserve">was the most significant predictor </w:t>
            </w:r>
            <w:r>
              <w:rPr>
                <w:rFonts w:ascii="Times New Roman" w:eastAsia="Times New Roman" w:hAnsi="Times New Roman" w:cs="Times New Roman"/>
                <w:sz w:val="20"/>
                <w:szCs w:val="20"/>
                <w:lang w:val="en-US"/>
              </w:rPr>
              <w:t>for</w:t>
            </w:r>
            <w:r w:rsidRPr="00C37628">
              <w:rPr>
                <w:rFonts w:ascii="Times New Roman" w:eastAsia="Times New Roman" w:hAnsi="Times New Roman" w:cs="Times New Roman"/>
                <w:sz w:val="20"/>
                <w:szCs w:val="20"/>
                <w:lang w:val="en-US"/>
              </w:rPr>
              <w:t xml:space="preserve"> the severity of visceral pain and variation in the microbiome.</w:t>
            </w:r>
          </w:p>
        </w:tc>
        <w:tc>
          <w:tcPr>
            <w:tcW w:w="1710" w:type="dxa"/>
            <w:hideMark/>
          </w:tcPr>
          <w:p w14:paraId="25643C19"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This study was performed as a pilot for future research that will be aimed at expanding the literature on the oral microbiome in functional GI disorders and symptoms.</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The investigators plan future research analyzing both fecal and oral </w:t>
            </w:r>
            <w:r w:rsidRPr="00C37628">
              <w:rPr>
                <w:rFonts w:ascii="Times New Roman" w:eastAsia="Times New Roman" w:hAnsi="Times New Roman" w:cs="Times New Roman"/>
                <w:sz w:val="20"/>
                <w:szCs w:val="20"/>
                <w:lang w:val="en-US"/>
              </w:rPr>
              <w:lastRenderedPageBreak/>
              <w:t>samples for further comparisons on if and how the microbiomes vary in IBS.</w:t>
            </w:r>
          </w:p>
        </w:tc>
        <w:tc>
          <w:tcPr>
            <w:tcW w:w="2070" w:type="dxa"/>
            <w:hideMark/>
          </w:tcPr>
          <w:p w14:paraId="11626260"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Data were captured using Affymetrix software (</w:t>
            </w:r>
            <w:proofErr w:type="spellStart"/>
            <w:r w:rsidRPr="00C37628">
              <w:rPr>
                <w:rFonts w:ascii="Times New Roman" w:eastAsia="Times New Roman" w:hAnsi="Times New Roman" w:cs="Times New Roman"/>
                <w:sz w:val="20"/>
                <w:szCs w:val="20"/>
                <w:lang w:val="en-US"/>
              </w:rPr>
              <w:t>GeneChip</w:t>
            </w:r>
            <w:proofErr w:type="spellEnd"/>
            <w:r w:rsidRPr="00C37628">
              <w:rPr>
                <w:rFonts w:ascii="Times New Roman" w:eastAsia="Times New Roman" w:hAnsi="Times New Roman" w:cs="Times New Roman"/>
                <w:sz w:val="20"/>
                <w:szCs w:val="20"/>
                <w:lang w:val="en-US"/>
              </w:rPr>
              <w:t>® Microarray Analysis Suite).</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Fluorescent intensity was calculated and hybridization scores (</w:t>
            </w:r>
            <w:proofErr w:type="spellStart"/>
            <w:r w:rsidRPr="00C37628">
              <w:rPr>
                <w:rFonts w:ascii="Times New Roman" w:eastAsia="Times New Roman" w:hAnsi="Times New Roman" w:cs="Times New Roman"/>
                <w:sz w:val="20"/>
                <w:szCs w:val="20"/>
                <w:lang w:val="en-US"/>
              </w:rPr>
              <w:t>HybScore</w:t>
            </w:r>
            <w:proofErr w:type="spellEnd"/>
            <w:r w:rsidRPr="00C37628">
              <w:rPr>
                <w:rFonts w:ascii="Times New Roman" w:eastAsia="Times New Roman" w:hAnsi="Times New Roman" w:cs="Times New Roman"/>
                <w:sz w:val="20"/>
                <w:szCs w:val="20"/>
                <w:lang w:val="en-US"/>
              </w:rPr>
              <w:t>) were derived</w:t>
            </w:r>
            <w:r>
              <w:rPr>
                <w:rFonts w:ascii="Times New Roman" w:eastAsia="Times New Roman" w:hAnsi="Times New Roman" w:cs="Times New Roman"/>
                <w:sz w:val="20"/>
                <w:szCs w:val="20"/>
                <w:lang w:val="en-US"/>
              </w:rPr>
              <w:t>.</w:t>
            </w:r>
          </w:p>
        </w:tc>
      </w:tr>
      <w:tr w:rsidR="001D7D94" w:rsidRPr="00C37628" w14:paraId="7D6BEAF7" w14:textId="77777777" w:rsidTr="001D7D94">
        <w:tc>
          <w:tcPr>
            <w:tcW w:w="990" w:type="dxa"/>
            <w:hideMark/>
          </w:tcPr>
          <w:p w14:paraId="6351F5E3"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Fourie et al., 2017</w:t>
            </w:r>
          </w:p>
        </w:tc>
        <w:tc>
          <w:tcPr>
            <w:tcW w:w="1440" w:type="dxa"/>
            <w:hideMark/>
          </w:tcPr>
          <w:p w14:paraId="5A52ED50"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Structural and functional alterations in the colonic microbiome of the rat in a model of stress</w:t>
            </w:r>
            <w:r w:rsidRPr="00967C61">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induced irritable bowel syndrome.</w:t>
            </w:r>
          </w:p>
        </w:tc>
        <w:tc>
          <w:tcPr>
            <w:tcW w:w="1890" w:type="dxa"/>
            <w:hideMark/>
          </w:tcPr>
          <w:p w14:paraId="3A670CD3"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t>E</w:t>
            </w:r>
            <w:r w:rsidRPr="00C37628">
              <w:rPr>
                <w:rFonts w:ascii="Times New Roman" w:eastAsia="Times New Roman" w:hAnsi="Times New Roman" w:cs="Times New Roman"/>
                <w:sz w:val="20"/>
                <w:szCs w:val="20"/>
                <w:lang w:val="en-US"/>
              </w:rPr>
              <w:t>valuate structural and functional changes in the colonic microbiome when persistent IBS-like symptoms were induced in rats by a repeated stressor (visceral hypersensitivity, increased colonic permeability, and increased fecal pellet output)</w:t>
            </w:r>
          </w:p>
        </w:tc>
        <w:tc>
          <w:tcPr>
            <w:tcW w:w="1440" w:type="dxa"/>
            <w:hideMark/>
          </w:tcPr>
          <w:p w14:paraId="1E63D0AC"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Distal colonic mucosa epithelial cells</w:t>
            </w:r>
          </w:p>
        </w:tc>
        <w:tc>
          <w:tcPr>
            <w:tcW w:w="1710" w:type="dxa"/>
            <w:hideMark/>
          </w:tcPr>
          <w:p w14:paraId="76491E0A"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 xml:space="preserve">13 adult Sprague Dawley </w:t>
            </w:r>
            <w:r w:rsidRPr="00967C61">
              <w:rPr>
                <w:rFonts w:ascii="Times New Roman" w:eastAsia="Times New Roman" w:hAnsi="Times New Roman" w:cs="Times New Roman"/>
                <w:sz w:val="20"/>
                <w:szCs w:val="20"/>
                <w:lang w:val="en-US"/>
              </w:rPr>
              <w:t xml:space="preserve">rats </w:t>
            </w:r>
            <w:r w:rsidRPr="00C37628">
              <w:rPr>
                <w:rFonts w:ascii="Times New Roman" w:eastAsia="Times New Roman" w:hAnsi="Times New Roman" w:cs="Times New Roman"/>
                <w:sz w:val="20"/>
                <w:szCs w:val="20"/>
                <w:lang w:val="en-US"/>
              </w:rPr>
              <w:t>(200</w:t>
            </w:r>
            <w:r>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xml:space="preserve">220 g) were exposed to </w:t>
            </w:r>
            <w:r w:rsidRPr="00967C61">
              <w:rPr>
                <w:rFonts w:ascii="Times New Roman" w:eastAsia="Times New Roman" w:hAnsi="Times New Roman" w:cs="Times New Roman"/>
                <w:sz w:val="20"/>
                <w:szCs w:val="20"/>
                <w:lang w:val="en-US"/>
              </w:rPr>
              <w:t xml:space="preserve">WA </w:t>
            </w:r>
            <w:r w:rsidRPr="00C37628">
              <w:rPr>
                <w:rFonts w:ascii="Times New Roman" w:eastAsia="Times New Roman" w:hAnsi="Times New Roman" w:cs="Times New Roman"/>
                <w:sz w:val="20"/>
                <w:szCs w:val="20"/>
                <w:lang w:val="en-US"/>
              </w:rPr>
              <w:t xml:space="preserve">stress for 1 </w:t>
            </w:r>
            <w:proofErr w:type="spellStart"/>
            <w:r w:rsidRPr="00C37628">
              <w:rPr>
                <w:rFonts w:ascii="Times New Roman" w:eastAsia="Times New Roman" w:hAnsi="Times New Roman" w:cs="Times New Roman"/>
                <w:sz w:val="20"/>
                <w:szCs w:val="20"/>
                <w:lang w:val="en-US"/>
              </w:rPr>
              <w:t>h</w:t>
            </w:r>
            <w:r>
              <w:rPr>
                <w:rFonts w:ascii="Times New Roman" w:eastAsia="Times New Roman" w:hAnsi="Times New Roman" w:cs="Times New Roman"/>
                <w:sz w:val="20"/>
                <w:szCs w:val="20"/>
                <w:lang w:val="en-US"/>
              </w:rPr>
              <w:t>r</w:t>
            </w:r>
            <w:proofErr w:type="spellEnd"/>
            <w:r w:rsidRPr="00C37628">
              <w:rPr>
                <w:rFonts w:ascii="Times New Roman" w:eastAsia="Times New Roman" w:hAnsi="Times New Roman" w:cs="Times New Roman"/>
                <w:sz w:val="20"/>
                <w:szCs w:val="20"/>
                <w:lang w:val="en-US"/>
              </w:rPr>
              <w:t xml:space="preserve"> each day for 10 consecutive days.</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These were compared to a control, sham-stress arm (</w:t>
            </w:r>
            <w:r w:rsidRPr="002D5F9D">
              <w:rPr>
                <w:rFonts w:ascii="Times New Roman" w:eastAsia="Times New Roman" w:hAnsi="Times New Roman" w:cs="Times New Roman"/>
                <w:i/>
                <w:sz w:val="20"/>
                <w:szCs w:val="20"/>
                <w:lang w:val="en-US"/>
              </w:rPr>
              <w:t>n</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13).</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Animals were sacrificed at the end of the protocol and 10</w:t>
            </w:r>
            <w:r w:rsidRPr="00967C61">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mm of distal </w:t>
            </w:r>
            <w:r w:rsidRPr="00C37628">
              <w:rPr>
                <w:rFonts w:ascii="Times New Roman" w:eastAsia="Times New Roman" w:hAnsi="Times New Roman" w:cs="Times New Roman"/>
                <w:sz w:val="20"/>
                <w:szCs w:val="20"/>
                <w:lang w:val="en-US"/>
              </w:rPr>
              <w:lastRenderedPageBreak/>
              <w:t>colon was removed.</w:t>
            </w:r>
          </w:p>
        </w:tc>
        <w:tc>
          <w:tcPr>
            <w:tcW w:w="1710" w:type="dxa"/>
            <w:hideMark/>
          </w:tcPr>
          <w:p w14:paraId="6E125161" w14:textId="77777777" w:rsidR="001D7D94" w:rsidRPr="00967C61" w:rsidRDefault="001D7D94" w:rsidP="00314916">
            <w:pPr>
              <w:spacing w:line="480" w:lineRule="auto"/>
              <w:contextualSpacing/>
              <w:rPr>
                <w:rFonts w:ascii="Times New Roman" w:eastAsia="Times New Roman" w:hAnsi="Times New Roman" w:cs="Times New Roman"/>
                <w:sz w:val="20"/>
                <w:szCs w:val="20"/>
                <w:lang w:val="en-US"/>
              </w:rPr>
            </w:pPr>
            <w:r w:rsidRPr="00967C61">
              <w:rPr>
                <w:rFonts w:ascii="Times New Roman" w:eastAsia="Times New Roman" w:hAnsi="Times New Roman" w:cs="Times New Roman"/>
                <w:sz w:val="20"/>
                <w:szCs w:val="20"/>
                <w:lang w:val="en-US"/>
              </w:rPr>
              <w:lastRenderedPageBreak/>
              <w:t xml:space="preserve">DNA was extracted using the </w:t>
            </w:r>
            <w:proofErr w:type="spellStart"/>
            <w:r w:rsidRPr="00967C61">
              <w:rPr>
                <w:rFonts w:ascii="Times New Roman" w:eastAsia="Times New Roman" w:hAnsi="Times New Roman" w:cs="Times New Roman"/>
                <w:sz w:val="20"/>
                <w:szCs w:val="20"/>
                <w:lang w:val="en-US"/>
              </w:rPr>
              <w:t>AllPrep</w:t>
            </w:r>
            <w:proofErr w:type="spellEnd"/>
            <w:r w:rsidRPr="00967C61">
              <w:rPr>
                <w:rFonts w:ascii="Times New Roman" w:eastAsia="Times New Roman" w:hAnsi="Times New Roman" w:cs="Times New Roman"/>
                <w:sz w:val="20"/>
                <w:szCs w:val="20"/>
                <w:lang w:val="en-US"/>
              </w:rPr>
              <w:t xml:space="preserve"> DNA/RNA/miRNA Universal Kit (Qiagen) and the V4 region </w:t>
            </w:r>
            <w:r>
              <w:rPr>
                <w:rFonts w:ascii="Times New Roman" w:eastAsia="Times New Roman" w:hAnsi="Times New Roman" w:cs="Times New Roman"/>
                <w:sz w:val="20"/>
                <w:szCs w:val="20"/>
                <w:lang w:val="en-US"/>
              </w:rPr>
              <w:t>o</w:t>
            </w:r>
            <w:r w:rsidRPr="00967C61">
              <w:rPr>
                <w:rFonts w:ascii="Times New Roman" w:eastAsia="Times New Roman" w:hAnsi="Times New Roman" w:cs="Times New Roman"/>
                <w:sz w:val="20"/>
                <w:szCs w:val="20"/>
                <w:lang w:val="en-US"/>
              </w:rPr>
              <w:t>f the 16S rRNA gene was sequenced using primers F515/R806</w:t>
            </w:r>
            <w:r>
              <w:rPr>
                <w:rFonts w:ascii="Times New Roman" w:eastAsia="Times New Roman" w:hAnsi="Times New Roman" w:cs="Times New Roman"/>
                <w:sz w:val="20"/>
                <w:szCs w:val="20"/>
                <w:lang w:val="en-US"/>
              </w:rPr>
              <w:t>.</w:t>
            </w:r>
          </w:p>
        </w:tc>
        <w:tc>
          <w:tcPr>
            <w:tcW w:w="2160" w:type="dxa"/>
            <w:hideMark/>
          </w:tcPr>
          <w:p w14:paraId="4FC8D7DF"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t>WA</w:t>
            </w:r>
            <w:r>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stress animals exhibited higher α-diversity and moderately differed in community structure (ß-diversity) compared with controls.</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The WA microbiome was enriched in Proteobacteria and depleted in several beneficial taxa.</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Decreased energy and lipid</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metabolism and an increased capacity for fatty</w:t>
            </w:r>
            <w:r>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xml:space="preserve">acid and sulfur </w:t>
            </w:r>
            <w:r w:rsidRPr="00C37628">
              <w:rPr>
                <w:rFonts w:ascii="Times New Roman" w:eastAsia="Times New Roman" w:hAnsi="Times New Roman" w:cs="Times New Roman"/>
                <w:sz w:val="20"/>
                <w:szCs w:val="20"/>
                <w:lang w:val="en-US"/>
              </w:rPr>
              <w:lastRenderedPageBreak/>
              <w:t>metabolism w</w:t>
            </w:r>
            <w:r>
              <w:rPr>
                <w:rFonts w:ascii="Times New Roman" w:eastAsia="Times New Roman" w:hAnsi="Times New Roman" w:cs="Times New Roman"/>
                <w:sz w:val="20"/>
                <w:szCs w:val="20"/>
                <w:lang w:val="en-US"/>
              </w:rPr>
              <w:t>ere</w:t>
            </w:r>
            <w:r w:rsidRPr="00C37628">
              <w:rPr>
                <w:rFonts w:ascii="Times New Roman" w:eastAsia="Times New Roman" w:hAnsi="Times New Roman" w:cs="Times New Roman"/>
                <w:sz w:val="20"/>
                <w:szCs w:val="20"/>
                <w:lang w:val="en-US"/>
              </w:rPr>
              <w:t xml:space="preserve"> inferred for the WA microbiome.</w:t>
            </w:r>
          </w:p>
        </w:tc>
        <w:tc>
          <w:tcPr>
            <w:tcW w:w="1710" w:type="dxa"/>
            <w:hideMark/>
          </w:tcPr>
          <w:p w14:paraId="670E538F"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r w:rsidRPr="00C37628">
              <w:rPr>
                <w:rFonts w:ascii="Times New Roman" w:eastAsia="Times New Roman" w:hAnsi="Times New Roman" w:cs="Times New Roman"/>
                <w:sz w:val="20"/>
                <w:szCs w:val="20"/>
                <w:lang w:val="en-US"/>
              </w:rPr>
              <w:lastRenderedPageBreak/>
              <w:t>Future experiments may target sulfur metabolites and sulfur</w:t>
            </w:r>
            <w:r>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 xml:space="preserve">metabolizing bacteria </w:t>
            </w:r>
            <w:r w:rsidRPr="00967C61">
              <w:rPr>
                <w:rFonts w:ascii="Times New Roman" w:eastAsia="Times New Roman" w:hAnsi="Times New Roman" w:cs="Times New Roman"/>
                <w:sz w:val="20"/>
                <w:szCs w:val="20"/>
                <w:lang w:val="en-US"/>
              </w:rPr>
              <w:t xml:space="preserve">because </w:t>
            </w:r>
            <w:r w:rsidRPr="00C37628">
              <w:rPr>
                <w:rFonts w:ascii="Times New Roman" w:eastAsia="Times New Roman" w:hAnsi="Times New Roman" w:cs="Times New Roman"/>
                <w:sz w:val="20"/>
                <w:szCs w:val="20"/>
                <w:lang w:val="en-US"/>
              </w:rPr>
              <w:t>increased capacity for sulfur metabolism was inferred.</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These targets may successfully modulate </w:t>
            </w:r>
            <w:r>
              <w:rPr>
                <w:rFonts w:ascii="Times New Roman" w:eastAsia="Times New Roman" w:hAnsi="Times New Roman" w:cs="Times New Roman"/>
                <w:sz w:val="20"/>
                <w:szCs w:val="20"/>
                <w:lang w:val="en-US"/>
              </w:rPr>
              <w:t xml:space="preserve">sulfur production </w:t>
            </w:r>
            <w:r w:rsidRPr="00C37628">
              <w:rPr>
                <w:rFonts w:ascii="Times New Roman" w:eastAsia="Times New Roman" w:hAnsi="Times New Roman" w:cs="Times New Roman"/>
                <w:sz w:val="20"/>
                <w:szCs w:val="20"/>
                <w:lang w:val="en-US"/>
              </w:rPr>
              <w:t xml:space="preserve">to prevent or </w:t>
            </w:r>
            <w:r w:rsidRPr="00C37628">
              <w:rPr>
                <w:rFonts w:ascii="Times New Roman" w:eastAsia="Times New Roman" w:hAnsi="Times New Roman" w:cs="Times New Roman"/>
                <w:sz w:val="20"/>
                <w:szCs w:val="20"/>
                <w:lang w:val="en-US"/>
              </w:rPr>
              <w:lastRenderedPageBreak/>
              <w:t>alleviate symptoms and may be studied as future targets of intervention in patients with IBS.</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Additionally, restoration of beneficial microbes or functional domains (such as fatty</w:t>
            </w:r>
            <w:r>
              <w:rPr>
                <w:rFonts w:ascii="Times New Roman" w:eastAsia="Times New Roman" w:hAnsi="Times New Roman" w:cs="Times New Roman"/>
                <w:sz w:val="20"/>
                <w:szCs w:val="20"/>
                <w:lang w:val="en-US"/>
              </w:rPr>
              <w:t>-</w:t>
            </w:r>
            <w:r w:rsidRPr="00C37628">
              <w:rPr>
                <w:rFonts w:ascii="Times New Roman" w:eastAsia="Times New Roman" w:hAnsi="Times New Roman" w:cs="Times New Roman"/>
                <w:sz w:val="20"/>
                <w:szCs w:val="20"/>
                <w:lang w:val="en-US"/>
              </w:rPr>
              <w:t>acid metabolism dynamics) could be studie</w:t>
            </w:r>
            <w:r w:rsidRPr="00967C61">
              <w:rPr>
                <w:rFonts w:ascii="Times New Roman" w:eastAsia="Times New Roman" w:hAnsi="Times New Roman" w:cs="Times New Roman"/>
                <w:sz w:val="20"/>
                <w:szCs w:val="20"/>
                <w:lang w:val="en-US"/>
              </w:rPr>
              <w:t>d</w:t>
            </w:r>
            <w:r w:rsidRPr="00C37628">
              <w:rPr>
                <w:rFonts w:ascii="Times New Roman" w:eastAsia="Times New Roman" w:hAnsi="Times New Roman" w:cs="Times New Roman"/>
                <w:sz w:val="20"/>
                <w:szCs w:val="20"/>
                <w:lang w:val="en-US"/>
              </w:rPr>
              <w:t xml:space="preserve"> to translate these findings back to human patients with IBS.</w:t>
            </w:r>
          </w:p>
        </w:tc>
        <w:tc>
          <w:tcPr>
            <w:tcW w:w="2070" w:type="dxa"/>
            <w:hideMark/>
          </w:tcPr>
          <w:p w14:paraId="2BA89514" w14:textId="77777777" w:rsidR="001D7D94" w:rsidRPr="00C37628" w:rsidRDefault="001D7D94" w:rsidP="00314916">
            <w:pPr>
              <w:spacing w:line="480" w:lineRule="auto"/>
              <w:contextualSpacing/>
              <w:rPr>
                <w:rFonts w:ascii="Times New Roman" w:eastAsia="Times New Roman" w:hAnsi="Times New Roman" w:cs="Times New Roman"/>
                <w:sz w:val="20"/>
                <w:szCs w:val="20"/>
                <w:lang w:val="en-US"/>
              </w:rPr>
            </w:pPr>
            <w:proofErr w:type="spellStart"/>
            <w:r w:rsidRPr="00C37628">
              <w:rPr>
                <w:rFonts w:ascii="Times New Roman" w:eastAsia="Times New Roman" w:hAnsi="Times New Roman" w:cs="Times New Roman"/>
                <w:sz w:val="20"/>
                <w:szCs w:val="20"/>
                <w:lang w:val="en-US"/>
              </w:rPr>
              <w:lastRenderedPageBreak/>
              <w:t>SecondGenome</w:t>
            </w:r>
            <w:proofErr w:type="spellEnd"/>
            <w:r w:rsidRPr="00C37628">
              <w:rPr>
                <w:rFonts w:ascii="Times New Roman" w:eastAsia="Times New Roman" w:hAnsi="Times New Roman" w:cs="Times New Roman"/>
                <w:sz w:val="20"/>
                <w:szCs w:val="20"/>
                <w:lang w:val="en-US"/>
              </w:rPr>
              <w:t xml:space="preserve"> was contracted to perform data processing.</w:t>
            </w:r>
            <w:r>
              <w:rPr>
                <w:rFonts w:ascii="Times New Roman" w:eastAsia="Times New Roman" w:hAnsi="Times New Roman" w:cs="Times New Roman"/>
                <w:sz w:val="20"/>
                <w:szCs w:val="20"/>
                <w:lang w:val="en-US"/>
              </w:rPr>
              <w:t xml:space="preserve"> </w:t>
            </w:r>
            <w:r w:rsidRPr="00C37628">
              <w:rPr>
                <w:rFonts w:ascii="Times New Roman" w:eastAsia="Times New Roman" w:hAnsi="Times New Roman" w:cs="Times New Roman"/>
                <w:sz w:val="20"/>
                <w:szCs w:val="20"/>
                <w:lang w:val="en-US"/>
              </w:rPr>
              <w:t xml:space="preserve">Using MOTHUR’s Bayesian classifier, OTUs were determined by clustering reads to the </w:t>
            </w:r>
            <w:proofErr w:type="spellStart"/>
            <w:r w:rsidRPr="00C37628">
              <w:rPr>
                <w:rFonts w:ascii="Times New Roman" w:eastAsia="Times New Roman" w:hAnsi="Times New Roman" w:cs="Times New Roman"/>
                <w:sz w:val="20"/>
                <w:szCs w:val="20"/>
                <w:lang w:val="en-US"/>
              </w:rPr>
              <w:t>Greengenes</w:t>
            </w:r>
            <w:proofErr w:type="spellEnd"/>
            <w:r w:rsidRPr="00C37628">
              <w:rPr>
                <w:rFonts w:ascii="Times New Roman" w:eastAsia="Times New Roman" w:hAnsi="Times New Roman" w:cs="Times New Roman"/>
                <w:sz w:val="20"/>
                <w:szCs w:val="20"/>
                <w:lang w:val="en-US"/>
              </w:rPr>
              <w:t xml:space="preserve"> 16S reference dataset with a 99% identity cutoff.</w:t>
            </w:r>
            <w:r>
              <w:rPr>
                <w:rFonts w:ascii="Times New Roman" w:eastAsia="Times New Roman" w:hAnsi="Times New Roman" w:cs="Times New Roman"/>
                <w:sz w:val="20"/>
                <w:szCs w:val="20"/>
                <w:lang w:val="en-US"/>
              </w:rPr>
              <w:t xml:space="preserve"> </w:t>
            </w:r>
          </w:p>
        </w:tc>
      </w:tr>
    </w:tbl>
    <w:p w14:paraId="3022099B" w14:textId="77777777" w:rsidR="001D7D94" w:rsidRPr="002879E2" w:rsidRDefault="001D7D94" w:rsidP="001D7D94">
      <w:pPr>
        <w:rPr>
          <w:sz w:val="20"/>
          <w:szCs w:val="20"/>
        </w:rPr>
      </w:pPr>
      <w:r w:rsidRPr="001A1E20">
        <w:rPr>
          <w:rFonts w:ascii="Times New Roman" w:hAnsi="Times New Roman" w:cs="Times New Roman"/>
          <w:i/>
          <w:sz w:val="20"/>
          <w:szCs w:val="20"/>
        </w:rPr>
        <w:t>Note.</w:t>
      </w:r>
      <w:r w:rsidRPr="001A1E20">
        <w:rPr>
          <w:rFonts w:ascii="Times New Roman" w:hAnsi="Times New Roman" w:cs="Times New Roman"/>
          <w:sz w:val="20"/>
          <w:szCs w:val="20"/>
        </w:rPr>
        <w:t xml:space="preserve"> CSTs = </w:t>
      </w:r>
      <w:r w:rsidRPr="001A1E20">
        <w:rPr>
          <w:rFonts w:ascii="Times New Roman" w:eastAsia="Times New Roman" w:hAnsi="Times New Roman" w:cs="Times New Roman"/>
          <w:sz w:val="20"/>
          <w:szCs w:val="20"/>
          <w:lang w:val="en-US"/>
        </w:rPr>
        <w:t>community state types</w:t>
      </w:r>
      <w:r w:rsidRPr="001A1E20">
        <w:rPr>
          <w:rFonts w:ascii="Times New Roman" w:eastAsia="Times New Roman" w:hAnsi="Times New Roman" w:cs="Times New Roman"/>
          <w:sz w:val="20"/>
          <w:szCs w:val="20"/>
        </w:rPr>
        <w:t xml:space="preserve">; </w:t>
      </w:r>
      <w:r w:rsidRPr="001A1E20">
        <w:rPr>
          <w:rFonts w:ascii="Times New Roman" w:hAnsi="Times New Roman" w:cs="Times New Roman"/>
          <w:sz w:val="20"/>
          <w:szCs w:val="20"/>
        </w:rPr>
        <w:t xml:space="preserve">DNA = deoxyribonucleic acid; GI = gastrointestinal; IBS = irritable bowel syndrome; miRNA = micro ribonucleic acid; NICU = neonatal intensive care unit; OTUs = </w:t>
      </w:r>
      <w:r w:rsidRPr="001A1E20">
        <w:rPr>
          <w:rFonts w:ascii="Times New Roman" w:eastAsia="Times New Roman" w:hAnsi="Times New Roman" w:cs="Times New Roman"/>
          <w:sz w:val="20"/>
          <w:szCs w:val="20"/>
          <w:lang w:val="en-US"/>
        </w:rPr>
        <w:t xml:space="preserve">operational taxonomic units; QIIME = Quantitative Insights </w:t>
      </w:r>
      <w:proofErr w:type="gramStart"/>
      <w:r w:rsidRPr="001A1E20">
        <w:rPr>
          <w:rFonts w:ascii="Times New Roman" w:eastAsia="Times New Roman" w:hAnsi="Times New Roman" w:cs="Times New Roman"/>
          <w:sz w:val="20"/>
          <w:szCs w:val="20"/>
          <w:lang w:val="en-US"/>
        </w:rPr>
        <w:t>Into</w:t>
      </w:r>
      <w:proofErr w:type="gramEnd"/>
      <w:r w:rsidRPr="001A1E20">
        <w:rPr>
          <w:rFonts w:ascii="Times New Roman" w:eastAsia="Times New Roman" w:hAnsi="Times New Roman" w:cs="Times New Roman"/>
          <w:sz w:val="20"/>
          <w:szCs w:val="20"/>
          <w:lang w:val="en-US"/>
        </w:rPr>
        <w:t xml:space="preserve"> Microbial Ecology software; </w:t>
      </w:r>
      <w:r w:rsidRPr="001A1E20">
        <w:rPr>
          <w:rFonts w:ascii="Times New Roman" w:hAnsi="Times New Roman" w:cs="Times New Roman"/>
          <w:sz w:val="20"/>
          <w:szCs w:val="20"/>
        </w:rPr>
        <w:t xml:space="preserve">rRNA = ribosomal ribonucleic acid; WA = </w:t>
      </w:r>
      <w:r w:rsidRPr="001A1E20">
        <w:rPr>
          <w:rFonts w:ascii="Times New Roman" w:eastAsia="Times New Roman" w:hAnsi="Times New Roman" w:cs="Times New Roman"/>
          <w:sz w:val="20"/>
          <w:szCs w:val="20"/>
          <w:lang w:val="en-US"/>
        </w:rPr>
        <w:t>water avoidance</w:t>
      </w:r>
      <w:r w:rsidRPr="001A1E20">
        <w:rPr>
          <w:rFonts w:ascii="Times New Roman" w:hAnsi="Times New Roman" w:cs="Times New Roman"/>
          <w:sz w:val="20"/>
          <w:szCs w:val="20"/>
        </w:rPr>
        <w:t>.</w:t>
      </w:r>
    </w:p>
    <w:p w14:paraId="70836622" w14:textId="1305EF9D" w:rsidR="001D7D94" w:rsidRDefault="001D7D94" w:rsidP="001D7D94">
      <w:pPr>
        <w:rPr>
          <w:rFonts w:ascii="Times New Roman" w:eastAsia="Times New Roman" w:hAnsi="Times New Roman" w:cs="Times New Roman"/>
          <w:sz w:val="24"/>
          <w:szCs w:val="24"/>
        </w:rPr>
      </w:pPr>
    </w:p>
    <w:sectPr w:rsidR="001D7D94" w:rsidSect="001D7D94">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B60A" w14:textId="77777777" w:rsidR="00B9326D" w:rsidRDefault="00B9326D" w:rsidP="00344C34">
      <w:pPr>
        <w:spacing w:line="240" w:lineRule="auto"/>
      </w:pPr>
      <w:r>
        <w:separator/>
      </w:r>
    </w:p>
  </w:endnote>
  <w:endnote w:type="continuationSeparator" w:id="0">
    <w:p w14:paraId="2B3834D7" w14:textId="77777777" w:rsidR="00B9326D" w:rsidRDefault="00B9326D" w:rsidP="00344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246A" w14:textId="77777777" w:rsidR="00B9326D" w:rsidRDefault="00B9326D" w:rsidP="00344C34">
      <w:pPr>
        <w:spacing w:line="240" w:lineRule="auto"/>
      </w:pPr>
      <w:r>
        <w:separator/>
      </w:r>
    </w:p>
  </w:footnote>
  <w:footnote w:type="continuationSeparator" w:id="0">
    <w:p w14:paraId="4CDC4D45" w14:textId="77777777" w:rsidR="00B9326D" w:rsidRDefault="00B9326D" w:rsidP="00344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7753205"/>
      <w:docPartObj>
        <w:docPartGallery w:val="Page Numbers (Top of Page)"/>
        <w:docPartUnique/>
      </w:docPartObj>
    </w:sdtPr>
    <w:sdtContent>
      <w:p w14:paraId="24D74D29" w14:textId="77777777" w:rsidR="001D7D94" w:rsidRDefault="001D7D94" w:rsidP="00AB4C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B7ED2A" w14:textId="77777777" w:rsidR="001D7D94" w:rsidRDefault="001D7D94" w:rsidP="00344C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88F9" w14:textId="77777777" w:rsidR="001D7D94" w:rsidRPr="00967C61" w:rsidRDefault="001D7D94" w:rsidP="00967C61">
    <w:pPr>
      <w:pStyle w:val="Header"/>
      <w:rPr>
        <w:rFonts w:ascii="Times New Roman" w:hAnsi="Times New Roman" w:cs="Times New Roman"/>
        <w:sz w:val="24"/>
        <w:szCs w:val="24"/>
      </w:rPr>
    </w:pPr>
    <w:r w:rsidRPr="004C20BC">
      <w:rPr>
        <w:rFonts w:ascii="Times New Roman" w:hAnsi="Times New Roman" w:cs="Times New Roman"/>
        <w:sz w:val="24"/>
        <w:szCs w:val="24"/>
      </w:rPr>
      <w:t xml:space="preserve">Considerations for Designing Microbiome Studies </w:t>
    </w:r>
    <w:r w:rsidRPr="004C20BC">
      <w:rPr>
        <w:rFonts w:ascii="Times New Roman" w:hAnsi="Times New Roman" w:cs="Times New Roman"/>
        <w:sz w:val="24"/>
        <w:szCs w:val="24"/>
      </w:rPr>
      <w:tab/>
    </w:r>
    <w:r w:rsidRPr="00743DB7">
      <w:rPr>
        <w:rFonts w:ascii="Times New Roman" w:hAnsi="Times New Roman" w:cs="Times New Roman"/>
        <w:sz w:val="24"/>
        <w:szCs w:val="24"/>
      </w:rPr>
      <w:fldChar w:fldCharType="begin"/>
    </w:r>
    <w:r w:rsidRPr="00743DB7">
      <w:rPr>
        <w:rFonts w:ascii="Times New Roman" w:hAnsi="Times New Roman" w:cs="Times New Roman"/>
        <w:sz w:val="24"/>
        <w:szCs w:val="24"/>
      </w:rPr>
      <w:instrText xml:space="preserve"> PAGE   \* MERGEFORMAT </w:instrText>
    </w:r>
    <w:r w:rsidRPr="00743DB7">
      <w:rPr>
        <w:rFonts w:ascii="Times New Roman" w:hAnsi="Times New Roman" w:cs="Times New Roman"/>
        <w:sz w:val="24"/>
        <w:szCs w:val="24"/>
      </w:rPr>
      <w:fldChar w:fldCharType="separate"/>
    </w:r>
    <w:r>
      <w:rPr>
        <w:rFonts w:ascii="Times New Roman" w:hAnsi="Times New Roman" w:cs="Times New Roman"/>
        <w:noProof/>
        <w:sz w:val="24"/>
        <w:szCs w:val="24"/>
      </w:rPr>
      <w:t>2</w:t>
    </w:r>
    <w:r w:rsidRPr="00743DB7">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80E"/>
    <w:multiLevelType w:val="multilevel"/>
    <w:tmpl w:val="66C63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BE5027"/>
    <w:multiLevelType w:val="hybridMultilevel"/>
    <w:tmpl w:val="51B4D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D542F"/>
    <w:multiLevelType w:val="hybridMultilevel"/>
    <w:tmpl w:val="AC00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366AF"/>
    <w:multiLevelType w:val="hybridMultilevel"/>
    <w:tmpl w:val="1A1A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64D33"/>
    <w:multiLevelType w:val="hybridMultilevel"/>
    <w:tmpl w:val="E61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VE" w:vendorID="64" w:dllVersion="6" w:nlCheck="1" w:checkStyle="0"/>
  <w:activeWritingStyle w:appName="MSWord" w:lang="en-US" w:vendorID="64" w:dllVersion="6" w:nlCheck="1" w:checkStyle="1"/>
  <w:activeWritingStyle w:appName="MSWord" w:lang="en"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VE" w:vendorID="64" w:dllVersion="0" w:nlCheck="1" w:checkStyle="0"/>
  <w:activeWritingStyle w:appName="MSWord" w:lang="es-V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2MTMxMjE2NzE0MLZQ0lEKTi0uzszPAykwrAUAqWEuf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v5zr0v92eeaswerarrxzftexfsad5ape50t&quot;&gt;Maki_Dissertation Reading Copy&lt;record-ids&gt;&lt;item&gt;1831&lt;/item&gt;&lt;item&gt;1887&lt;/item&gt;&lt;item&gt;1893&lt;/item&gt;&lt;item&gt;1900&lt;/item&gt;&lt;item&gt;1907&lt;/item&gt;&lt;item&gt;1922&lt;/item&gt;&lt;item&gt;1923&lt;/item&gt;&lt;item&gt;1954&lt;/item&gt;&lt;item&gt;1963&lt;/item&gt;&lt;item&gt;1967&lt;/item&gt;&lt;item&gt;1968&lt;/item&gt;&lt;item&gt;1971&lt;/item&gt;&lt;item&gt;1972&lt;/item&gt;&lt;item&gt;1973&lt;/item&gt;&lt;item&gt;1974&lt;/item&gt;&lt;item&gt;1977&lt;/item&gt;&lt;item&gt;1978&lt;/item&gt;&lt;item&gt;1979&lt;/item&gt;&lt;item&gt;1982&lt;/item&gt;&lt;item&gt;2030&lt;/item&gt;&lt;item&gt;2031&lt;/item&gt;&lt;item&gt;2032&lt;/item&gt;&lt;item&gt;2033&lt;/item&gt;&lt;item&gt;2035&lt;/item&gt;&lt;item&gt;2036&lt;/item&gt;&lt;item&gt;2037&lt;/item&gt;&lt;item&gt;2038&lt;/item&gt;&lt;item&gt;2041&lt;/item&gt;&lt;item&gt;2042&lt;/item&gt;&lt;item&gt;2043&lt;/item&gt;&lt;item&gt;2045&lt;/item&gt;&lt;item&gt;2046&lt;/item&gt;&lt;item&gt;2047&lt;/item&gt;&lt;item&gt;2048&lt;/item&gt;&lt;item&gt;2049&lt;/item&gt;&lt;item&gt;2050&lt;/item&gt;&lt;item&gt;2051&lt;/item&gt;&lt;item&gt;2052&lt;/item&gt;&lt;item&gt;2053&lt;/item&gt;&lt;item&gt;2054&lt;/item&gt;&lt;item&gt;2055&lt;/item&gt;&lt;item&gt;2057&lt;/item&gt;&lt;item&gt;2059&lt;/item&gt;&lt;item&gt;2060&lt;/item&gt;&lt;item&gt;2061&lt;/item&gt;&lt;item&gt;2062&lt;/item&gt;&lt;item&gt;2063&lt;/item&gt;&lt;item&gt;2064&lt;/item&gt;&lt;item&gt;2065&lt;/item&gt;&lt;item&gt;2066&lt;/item&gt;&lt;item&gt;2067&lt;/item&gt;&lt;item&gt;2068&lt;/item&gt;&lt;item&gt;2069&lt;/item&gt;&lt;item&gt;2070&lt;/item&gt;&lt;item&gt;2071&lt;/item&gt;&lt;item&gt;2072&lt;/item&gt;&lt;item&gt;2073&lt;/item&gt;&lt;item&gt;2074&lt;/item&gt;&lt;item&gt;2075&lt;/item&gt;&lt;item&gt;2076&lt;/item&gt;&lt;item&gt;2077&lt;/item&gt;&lt;item&gt;2078&lt;/item&gt;&lt;item&gt;2079&lt;/item&gt;&lt;item&gt;2080&lt;/item&gt;&lt;item&gt;2081&lt;/item&gt;&lt;item&gt;2082&lt;/item&gt;&lt;item&gt;2084&lt;/item&gt;&lt;item&gt;2085&lt;/item&gt;&lt;item&gt;2086&lt;/item&gt;&lt;item&gt;2087&lt;/item&gt;&lt;item&gt;2088&lt;/item&gt;&lt;item&gt;2089&lt;/item&gt;&lt;item&gt;2091&lt;/item&gt;&lt;item&gt;2092&lt;/item&gt;&lt;item&gt;2093&lt;/item&gt;&lt;item&gt;2094&lt;/item&gt;&lt;item&gt;2096&lt;/item&gt;&lt;item&gt;2097&lt;/item&gt;&lt;item&gt;2100&lt;/item&gt;&lt;item&gt;2101&lt;/item&gt;&lt;item&gt;2102&lt;/item&gt;&lt;item&gt;2105&lt;/item&gt;&lt;item&gt;2106&lt;/item&gt;&lt;item&gt;2108&lt;/item&gt;&lt;item&gt;2109&lt;/item&gt;&lt;item&gt;2110&lt;/item&gt;&lt;item&gt;2111&lt;/item&gt;&lt;item&gt;2112&lt;/item&gt;&lt;item&gt;2113&lt;/item&gt;&lt;item&gt;2114&lt;/item&gt;&lt;item&gt;2115&lt;/item&gt;&lt;item&gt;2116&lt;/item&gt;&lt;item&gt;2125&lt;/item&gt;&lt;item&gt;2126&lt;/item&gt;&lt;item&gt;2127&lt;/item&gt;&lt;item&gt;2128&lt;/item&gt;&lt;item&gt;2129&lt;/item&gt;&lt;item&gt;2130&lt;/item&gt;&lt;item&gt;2131&lt;/item&gt;&lt;item&gt;2132&lt;/item&gt;&lt;item&gt;2133&lt;/item&gt;&lt;item&gt;2134&lt;/item&gt;&lt;item&gt;2135&lt;/item&gt;&lt;item&gt;2137&lt;/item&gt;&lt;item&gt;2138&lt;/item&gt;&lt;item&gt;2139&lt;/item&gt;&lt;item&gt;2140&lt;/item&gt;&lt;item&gt;2143&lt;/item&gt;&lt;item&gt;2144&lt;/item&gt;&lt;item&gt;2151&lt;/item&gt;&lt;item&gt;2152&lt;/item&gt;&lt;item&gt;2154&lt;/item&gt;&lt;item&gt;2155&lt;/item&gt;&lt;item&gt;2156&lt;/item&gt;&lt;item&gt;2157&lt;/item&gt;&lt;item&gt;2158&lt;/item&gt;&lt;item&gt;2159&lt;/item&gt;&lt;item&gt;2164&lt;/item&gt;&lt;item&gt;2165&lt;/item&gt;&lt;item&gt;2166&lt;/item&gt;&lt;item&gt;2167&lt;/item&gt;&lt;item&gt;2168&lt;/item&gt;&lt;/record-ids&gt;&lt;/item&gt;&lt;/Libraries&gt;"/>
  </w:docVars>
  <w:rsids>
    <w:rsidRoot w:val="002C570B"/>
    <w:rsid w:val="00001A0E"/>
    <w:rsid w:val="00006DCD"/>
    <w:rsid w:val="000070F5"/>
    <w:rsid w:val="00021F99"/>
    <w:rsid w:val="0002372A"/>
    <w:rsid w:val="00027CC6"/>
    <w:rsid w:val="000407CA"/>
    <w:rsid w:val="000500DA"/>
    <w:rsid w:val="00053DE8"/>
    <w:rsid w:val="00055C7A"/>
    <w:rsid w:val="00057BCF"/>
    <w:rsid w:val="000612B1"/>
    <w:rsid w:val="000645CB"/>
    <w:rsid w:val="000801DC"/>
    <w:rsid w:val="00080CF0"/>
    <w:rsid w:val="00081253"/>
    <w:rsid w:val="00081BEF"/>
    <w:rsid w:val="00086856"/>
    <w:rsid w:val="000874BF"/>
    <w:rsid w:val="0008759C"/>
    <w:rsid w:val="00087A6E"/>
    <w:rsid w:val="00093A9F"/>
    <w:rsid w:val="000942B8"/>
    <w:rsid w:val="0009478A"/>
    <w:rsid w:val="000967C7"/>
    <w:rsid w:val="000A14CF"/>
    <w:rsid w:val="000A2E5B"/>
    <w:rsid w:val="000A59BA"/>
    <w:rsid w:val="000A76C1"/>
    <w:rsid w:val="000B2145"/>
    <w:rsid w:val="000C0D7E"/>
    <w:rsid w:val="000C176A"/>
    <w:rsid w:val="000C2C18"/>
    <w:rsid w:val="000C2D5B"/>
    <w:rsid w:val="000C58F4"/>
    <w:rsid w:val="000D0A6E"/>
    <w:rsid w:val="000D261C"/>
    <w:rsid w:val="000D4BF2"/>
    <w:rsid w:val="000D5AC7"/>
    <w:rsid w:val="000D771C"/>
    <w:rsid w:val="000E0C63"/>
    <w:rsid w:val="000F00F0"/>
    <w:rsid w:val="000F2082"/>
    <w:rsid w:val="000F5B79"/>
    <w:rsid w:val="0010704E"/>
    <w:rsid w:val="001114B1"/>
    <w:rsid w:val="0011289F"/>
    <w:rsid w:val="00116961"/>
    <w:rsid w:val="0011710C"/>
    <w:rsid w:val="00120136"/>
    <w:rsid w:val="0013046E"/>
    <w:rsid w:val="00132482"/>
    <w:rsid w:val="001360C4"/>
    <w:rsid w:val="00137C97"/>
    <w:rsid w:val="00137F78"/>
    <w:rsid w:val="0014031A"/>
    <w:rsid w:val="001444B8"/>
    <w:rsid w:val="001500AD"/>
    <w:rsid w:val="001514A0"/>
    <w:rsid w:val="001533A9"/>
    <w:rsid w:val="00160096"/>
    <w:rsid w:val="00162788"/>
    <w:rsid w:val="0017145A"/>
    <w:rsid w:val="0017249E"/>
    <w:rsid w:val="001758F7"/>
    <w:rsid w:val="00175CFF"/>
    <w:rsid w:val="00190057"/>
    <w:rsid w:val="001A4A96"/>
    <w:rsid w:val="001A757C"/>
    <w:rsid w:val="001B01AB"/>
    <w:rsid w:val="001B180B"/>
    <w:rsid w:val="001B1D8A"/>
    <w:rsid w:val="001B28B3"/>
    <w:rsid w:val="001B477D"/>
    <w:rsid w:val="001B5A41"/>
    <w:rsid w:val="001C04C4"/>
    <w:rsid w:val="001D7D94"/>
    <w:rsid w:val="001D7DB2"/>
    <w:rsid w:val="001E344E"/>
    <w:rsid w:val="001E61EE"/>
    <w:rsid w:val="001F07E2"/>
    <w:rsid w:val="001F4ACC"/>
    <w:rsid w:val="001F6648"/>
    <w:rsid w:val="002073B7"/>
    <w:rsid w:val="00210B86"/>
    <w:rsid w:val="002136C0"/>
    <w:rsid w:val="00213B28"/>
    <w:rsid w:val="002169D6"/>
    <w:rsid w:val="0022011E"/>
    <w:rsid w:val="002221D8"/>
    <w:rsid w:val="00222F6C"/>
    <w:rsid w:val="00225E56"/>
    <w:rsid w:val="002277F8"/>
    <w:rsid w:val="00242BC1"/>
    <w:rsid w:val="00253FE8"/>
    <w:rsid w:val="00255A23"/>
    <w:rsid w:val="00255EBB"/>
    <w:rsid w:val="00257AB6"/>
    <w:rsid w:val="00262F56"/>
    <w:rsid w:val="002659CA"/>
    <w:rsid w:val="00270B84"/>
    <w:rsid w:val="002763FA"/>
    <w:rsid w:val="002925CE"/>
    <w:rsid w:val="00292D09"/>
    <w:rsid w:val="002A3918"/>
    <w:rsid w:val="002C002E"/>
    <w:rsid w:val="002C0B36"/>
    <w:rsid w:val="002C2E01"/>
    <w:rsid w:val="002C570B"/>
    <w:rsid w:val="002D259C"/>
    <w:rsid w:val="002D70B9"/>
    <w:rsid w:val="002E5058"/>
    <w:rsid w:val="002F2D4C"/>
    <w:rsid w:val="002F54DF"/>
    <w:rsid w:val="002F765A"/>
    <w:rsid w:val="003003CA"/>
    <w:rsid w:val="00304119"/>
    <w:rsid w:val="00306656"/>
    <w:rsid w:val="003129C4"/>
    <w:rsid w:val="003130EA"/>
    <w:rsid w:val="00313B32"/>
    <w:rsid w:val="00320DD2"/>
    <w:rsid w:val="00322FC5"/>
    <w:rsid w:val="00325D48"/>
    <w:rsid w:val="00327052"/>
    <w:rsid w:val="00333758"/>
    <w:rsid w:val="00333E3A"/>
    <w:rsid w:val="00333E9D"/>
    <w:rsid w:val="003352C6"/>
    <w:rsid w:val="00336917"/>
    <w:rsid w:val="00336995"/>
    <w:rsid w:val="00344C34"/>
    <w:rsid w:val="003527C6"/>
    <w:rsid w:val="00360D7C"/>
    <w:rsid w:val="0037141A"/>
    <w:rsid w:val="00372DE9"/>
    <w:rsid w:val="00372F8F"/>
    <w:rsid w:val="00373D7E"/>
    <w:rsid w:val="00382BA1"/>
    <w:rsid w:val="0038749C"/>
    <w:rsid w:val="00392F4B"/>
    <w:rsid w:val="00397A35"/>
    <w:rsid w:val="003A04A8"/>
    <w:rsid w:val="003A1ADD"/>
    <w:rsid w:val="003A2866"/>
    <w:rsid w:val="003A4424"/>
    <w:rsid w:val="003A5878"/>
    <w:rsid w:val="003B2258"/>
    <w:rsid w:val="003B535F"/>
    <w:rsid w:val="003B6AE5"/>
    <w:rsid w:val="003B6FF4"/>
    <w:rsid w:val="003C156C"/>
    <w:rsid w:val="003C1DDC"/>
    <w:rsid w:val="003C2279"/>
    <w:rsid w:val="003C3DB7"/>
    <w:rsid w:val="003C6C04"/>
    <w:rsid w:val="003D43E0"/>
    <w:rsid w:val="003E1DCB"/>
    <w:rsid w:val="003E214F"/>
    <w:rsid w:val="003E6264"/>
    <w:rsid w:val="003E6AA4"/>
    <w:rsid w:val="003F14B1"/>
    <w:rsid w:val="003F59A6"/>
    <w:rsid w:val="003F5CFB"/>
    <w:rsid w:val="003F628E"/>
    <w:rsid w:val="00400302"/>
    <w:rsid w:val="004011E4"/>
    <w:rsid w:val="0040659F"/>
    <w:rsid w:val="00406880"/>
    <w:rsid w:val="00412644"/>
    <w:rsid w:val="0042046D"/>
    <w:rsid w:val="00422734"/>
    <w:rsid w:val="00427100"/>
    <w:rsid w:val="004300AF"/>
    <w:rsid w:val="00430293"/>
    <w:rsid w:val="00433143"/>
    <w:rsid w:val="00434601"/>
    <w:rsid w:val="00434F33"/>
    <w:rsid w:val="0046264C"/>
    <w:rsid w:val="00463059"/>
    <w:rsid w:val="0046377B"/>
    <w:rsid w:val="00464122"/>
    <w:rsid w:val="00471E27"/>
    <w:rsid w:val="00476ABF"/>
    <w:rsid w:val="004801DB"/>
    <w:rsid w:val="00486BE8"/>
    <w:rsid w:val="00491D74"/>
    <w:rsid w:val="00495716"/>
    <w:rsid w:val="004A5267"/>
    <w:rsid w:val="004A70D7"/>
    <w:rsid w:val="004C20BC"/>
    <w:rsid w:val="004C3138"/>
    <w:rsid w:val="004C3A8A"/>
    <w:rsid w:val="004C439F"/>
    <w:rsid w:val="004C5567"/>
    <w:rsid w:val="004C704F"/>
    <w:rsid w:val="004C7294"/>
    <w:rsid w:val="004D5876"/>
    <w:rsid w:val="004D5C26"/>
    <w:rsid w:val="004D5F4F"/>
    <w:rsid w:val="004D77B9"/>
    <w:rsid w:val="004E2184"/>
    <w:rsid w:val="004E304C"/>
    <w:rsid w:val="004F153A"/>
    <w:rsid w:val="004F2292"/>
    <w:rsid w:val="004F5132"/>
    <w:rsid w:val="004F52B4"/>
    <w:rsid w:val="00501A91"/>
    <w:rsid w:val="00504734"/>
    <w:rsid w:val="00510C37"/>
    <w:rsid w:val="00513EAA"/>
    <w:rsid w:val="0051480C"/>
    <w:rsid w:val="0051522D"/>
    <w:rsid w:val="00525172"/>
    <w:rsid w:val="00525CB7"/>
    <w:rsid w:val="00526F6C"/>
    <w:rsid w:val="00534DFC"/>
    <w:rsid w:val="0054104A"/>
    <w:rsid w:val="005428BA"/>
    <w:rsid w:val="00543ACB"/>
    <w:rsid w:val="00563A3F"/>
    <w:rsid w:val="00571F28"/>
    <w:rsid w:val="00573AF0"/>
    <w:rsid w:val="00581086"/>
    <w:rsid w:val="005845F2"/>
    <w:rsid w:val="0059029D"/>
    <w:rsid w:val="0059289C"/>
    <w:rsid w:val="00592DC3"/>
    <w:rsid w:val="00592EE6"/>
    <w:rsid w:val="005934EF"/>
    <w:rsid w:val="00595856"/>
    <w:rsid w:val="00595EC8"/>
    <w:rsid w:val="005A02F7"/>
    <w:rsid w:val="005A0705"/>
    <w:rsid w:val="005A0C99"/>
    <w:rsid w:val="005A1A57"/>
    <w:rsid w:val="005A3A49"/>
    <w:rsid w:val="005B06B6"/>
    <w:rsid w:val="005B0996"/>
    <w:rsid w:val="005B531A"/>
    <w:rsid w:val="005B5CE7"/>
    <w:rsid w:val="005C03E1"/>
    <w:rsid w:val="005C134F"/>
    <w:rsid w:val="005C160B"/>
    <w:rsid w:val="005D2226"/>
    <w:rsid w:val="005D23F5"/>
    <w:rsid w:val="005E01C0"/>
    <w:rsid w:val="005F4B4E"/>
    <w:rsid w:val="005F5671"/>
    <w:rsid w:val="005F703D"/>
    <w:rsid w:val="00605BD7"/>
    <w:rsid w:val="00605C38"/>
    <w:rsid w:val="00615EDA"/>
    <w:rsid w:val="00617847"/>
    <w:rsid w:val="00623B4E"/>
    <w:rsid w:val="0062573C"/>
    <w:rsid w:val="0062770B"/>
    <w:rsid w:val="006327AA"/>
    <w:rsid w:val="006344C3"/>
    <w:rsid w:val="00635383"/>
    <w:rsid w:val="00640766"/>
    <w:rsid w:val="0064319D"/>
    <w:rsid w:val="00643BFF"/>
    <w:rsid w:val="00644FEE"/>
    <w:rsid w:val="00646576"/>
    <w:rsid w:val="00646AAE"/>
    <w:rsid w:val="006505A7"/>
    <w:rsid w:val="00655956"/>
    <w:rsid w:val="006624B2"/>
    <w:rsid w:val="0066584B"/>
    <w:rsid w:val="00670CD6"/>
    <w:rsid w:val="006731BF"/>
    <w:rsid w:val="006813AC"/>
    <w:rsid w:val="00682FDD"/>
    <w:rsid w:val="00683CBD"/>
    <w:rsid w:val="00687977"/>
    <w:rsid w:val="00695CBD"/>
    <w:rsid w:val="006A3C0F"/>
    <w:rsid w:val="006A436F"/>
    <w:rsid w:val="006A7468"/>
    <w:rsid w:val="006B5F88"/>
    <w:rsid w:val="006C454D"/>
    <w:rsid w:val="006C459E"/>
    <w:rsid w:val="006D0F37"/>
    <w:rsid w:val="006D228F"/>
    <w:rsid w:val="006E20BA"/>
    <w:rsid w:val="006E42CD"/>
    <w:rsid w:val="006F06BD"/>
    <w:rsid w:val="006F7BB3"/>
    <w:rsid w:val="00710148"/>
    <w:rsid w:val="00712CCD"/>
    <w:rsid w:val="0071325B"/>
    <w:rsid w:val="0071327B"/>
    <w:rsid w:val="0071386A"/>
    <w:rsid w:val="00720820"/>
    <w:rsid w:val="00732454"/>
    <w:rsid w:val="007366B7"/>
    <w:rsid w:val="007371F8"/>
    <w:rsid w:val="00743DB7"/>
    <w:rsid w:val="00750AE2"/>
    <w:rsid w:val="00751545"/>
    <w:rsid w:val="007537AD"/>
    <w:rsid w:val="0075550A"/>
    <w:rsid w:val="00755809"/>
    <w:rsid w:val="00763AF8"/>
    <w:rsid w:val="00771E00"/>
    <w:rsid w:val="00776BAD"/>
    <w:rsid w:val="00777EE0"/>
    <w:rsid w:val="007802AF"/>
    <w:rsid w:val="00787D26"/>
    <w:rsid w:val="00792A57"/>
    <w:rsid w:val="007A02FB"/>
    <w:rsid w:val="007A292A"/>
    <w:rsid w:val="007A4622"/>
    <w:rsid w:val="007A646A"/>
    <w:rsid w:val="007A73E4"/>
    <w:rsid w:val="007B26BB"/>
    <w:rsid w:val="007B3367"/>
    <w:rsid w:val="007B79BB"/>
    <w:rsid w:val="007C0D87"/>
    <w:rsid w:val="007C243C"/>
    <w:rsid w:val="007C6197"/>
    <w:rsid w:val="007D13C4"/>
    <w:rsid w:val="007D6795"/>
    <w:rsid w:val="007D7024"/>
    <w:rsid w:val="007E1032"/>
    <w:rsid w:val="007E244E"/>
    <w:rsid w:val="007E53BF"/>
    <w:rsid w:val="007E5A0B"/>
    <w:rsid w:val="007F3037"/>
    <w:rsid w:val="008028F3"/>
    <w:rsid w:val="0081140B"/>
    <w:rsid w:val="00813516"/>
    <w:rsid w:val="00820374"/>
    <w:rsid w:val="00822167"/>
    <w:rsid w:val="00822C76"/>
    <w:rsid w:val="0082314C"/>
    <w:rsid w:val="00834032"/>
    <w:rsid w:val="00836C37"/>
    <w:rsid w:val="00841436"/>
    <w:rsid w:val="00843016"/>
    <w:rsid w:val="00843680"/>
    <w:rsid w:val="00851AE7"/>
    <w:rsid w:val="00851E1C"/>
    <w:rsid w:val="008533BF"/>
    <w:rsid w:val="00856818"/>
    <w:rsid w:val="008648D5"/>
    <w:rsid w:val="00867012"/>
    <w:rsid w:val="00871CDC"/>
    <w:rsid w:val="00871E85"/>
    <w:rsid w:val="00874022"/>
    <w:rsid w:val="00881E35"/>
    <w:rsid w:val="00885916"/>
    <w:rsid w:val="00886465"/>
    <w:rsid w:val="00891AE2"/>
    <w:rsid w:val="00891F22"/>
    <w:rsid w:val="008959AA"/>
    <w:rsid w:val="008A4606"/>
    <w:rsid w:val="008A575F"/>
    <w:rsid w:val="008B7056"/>
    <w:rsid w:val="008C40FD"/>
    <w:rsid w:val="008C4792"/>
    <w:rsid w:val="008D6060"/>
    <w:rsid w:val="008E14B9"/>
    <w:rsid w:val="008E2432"/>
    <w:rsid w:val="008E381C"/>
    <w:rsid w:val="008E7154"/>
    <w:rsid w:val="008F5338"/>
    <w:rsid w:val="008F5EFA"/>
    <w:rsid w:val="008F697C"/>
    <w:rsid w:val="00903C47"/>
    <w:rsid w:val="00910C00"/>
    <w:rsid w:val="00917191"/>
    <w:rsid w:val="0093236E"/>
    <w:rsid w:val="00932422"/>
    <w:rsid w:val="00935B64"/>
    <w:rsid w:val="00936EB1"/>
    <w:rsid w:val="00940543"/>
    <w:rsid w:val="00940803"/>
    <w:rsid w:val="009425B9"/>
    <w:rsid w:val="00942B67"/>
    <w:rsid w:val="00944A70"/>
    <w:rsid w:val="009452C1"/>
    <w:rsid w:val="00951D01"/>
    <w:rsid w:val="00954345"/>
    <w:rsid w:val="00955389"/>
    <w:rsid w:val="00961810"/>
    <w:rsid w:val="00963157"/>
    <w:rsid w:val="00967C61"/>
    <w:rsid w:val="00973EEA"/>
    <w:rsid w:val="00975418"/>
    <w:rsid w:val="009764E7"/>
    <w:rsid w:val="00980832"/>
    <w:rsid w:val="00985E56"/>
    <w:rsid w:val="00987BEF"/>
    <w:rsid w:val="009A02B0"/>
    <w:rsid w:val="009A0512"/>
    <w:rsid w:val="009B2A8E"/>
    <w:rsid w:val="009B4B6A"/>
    <w:rsid w:val="009B57A0"/>
    <w:rsid w:val="009B7167"/>
    <w:rsid w:val="009B7784"/>
    <w:rsid w:val="009C66EC"/>
    <w:rsid w:val="009D05A2"/>
    <w:rsid w:val="009D200C"/>
    <w:rsid w:val="009E05AD"/>
    <w:rsid w:val="009E108B"/>
    <w:rsid w:val="009F1A78"/>
    <w:rsid w:val="009F29C1"/>
    <w:rsid w:val="00A02E8A"/>
    <w:rsid w:val="00A03222"/>
    <w:rsid w:val="00A05BAF"/>
    <w:rsid w:val="00A07EC4"/>
    <w:rsid w:val="00A10468"/>
    <w:rsid w:val="00A13BC3"/>
    <w:rsid w:val="00A200BF"/>
    <w:rsid w:val="00A26C88"/>
    <w:rsid w:val="00A30872"/>
    <w:rsid w:val="00A32736"/>
    <w:rsid w:val="00A3357D"/>
    <w:rsid w:val="00A3487F"/>
    <w:rsid w:val="00A35D84"/>
    <w:rsid w:val="00A363DC"/>
    <w:rsid w:val="00A36E19"/>
    <w:rsid w:val="00A375DB"/>
    <w:rsid w:val="00A41794"/>
    <w:rsid w:val="00A53163"/>
    <w:rsid w:val="00A619C3"/>
    <w:rsid w:val="00A6484D"/>
    <w:rsid w:val="00A70AA9"/>
    <w:rsid w:val="00A711B7"/>
    <w:rsid w:val="00A85E68"/>
    <w:rsid w:val="00A87700"/>
    <w:rsid w:val="00A87CEB"/>
    <w:rsid w:val="00AA5416"/>
    <w:rsid w:val="00AB0DCA"/>
    <w:rsid w:val="00AB4CAB"/>
    <w:rsid w:val="00AC4A53"/>
    <w:rsid w:val="00AC75F2"/>
    <w:rsid w:val="00AD33D1"/>
    <w:rsid w:val="00AD37C1"/>
    <w:rsid w:val="00AD44E2"/>
    <w:rsid w:val="00AD593C"/>
    <w:rsid w:val="00AE4C99"/>
    <w:rsid w:val="00AE4ED4"/>
    <w:rsid w:val="00AE5C0B"/>
    <w:rsid w:val="00AF041F"/>
    <w:rsid w:val="00B00E6E"/>
    <w:rsid w:val="00B01B1F"/>
    <w:rsid w:val="00B01FB7"/>
    <w:rsid w:val="00B10312"/>
    <w:rsid w:val="00B115A4"/>
    <w:rsid w:val="00B120A6"/>
    <w:rsid w:val="00B12495"/>
    <w:rsid w:val="00B23B22"/>
    <w:rsid w:val="00B247AB"/>
    <w:rsid w:val="00B333F1"/>
    <w:rsid w:val="00B33893"/>
    <w:rsid w:val="00B37810"/>
    <w:rsid w:val="00B411C5"/>
    <w:rsid w:val="00B4459D"/>
    <w:rsid w:val="00B45198"/>
    <w:rsid w:val="00B53DD4"/>
    <w:rsid w:val="00B55E86"/>
    <w:rsid w:val="00B57733"/>
    <w:rsid w:val="00B578D5"/>
    <w:rsid w:val="00B608F7"/>
    <w:rsid w:val="00B65C56"/>
    <w:rsid w:val="00B66ECC"/>
    <w:rsid w:val="00B67021"/>
    <w:rsid w:val="00B73DBF"/>
    <w:rsid w:val="00B7699A"/>
    <w:rsid w:val="00B81560"/>
    <w:rsid w:val="00B81B24"/>
    <w:rsid w:val="00B837B1"/>
    <w:rsid w:val="00B85E76"/>
    <w:rsid w:val="00B87EF1"/>
    <w:rsid w:val="00B906DF"/>
    <w:rsid w:val="00B92853"/>
    <w:rsid w:val="00B9326D"/>
    <w:rsid w:val="00B962E6"/>
    <w:rsid w:val="00BA0FC3"/>
    <w:rsid w:val="00BA6524"/>
    <w:rsid w:val="00BB28DD"/>
    <w:rsid w:val="00BB44A5"/>
    <w:rsid w:val="00BB6D0C"/>
    <w:rsid w:val="00BB7AF3"/>
    <w:rsid w:val="00BC3732"/>
    <w:rsid w:val="00BD2561"/>
    <w:rsid w:val="00BD2FAD"/>
    <w:rsid w:val="00BE105A"/>
    <w:rsid w:val="00BF0230"/>
    <w:rsid w:val="00BF24F9"/>
    <w:rsid w:val="00BF398D"/>
    <w:rsid w:val="00BF7780"/>
    <w:rsid w:val="00C01665"/>
    <w:rsid w:val="00C0181C"/>
    <w:rsid w:val="00C01859"/>
    <w:rsid w:val="00C10EEC"/>
    <w:rsid w:val="00C12F3D"/>
    <w:rsid w:val="00C14227"/>
    <w:rsid w:val="00C22DC9"/>
    <w:rsid w:val="00C25FAC"/>
    <w:rsid w:val="00C32824"/>
    <w:rsid w:val="00C3495D"/>
    <w:rsid w:val="00C369E2"/>
    <w:rsid w:val="00C37628"/>
    <w:rsid w:val="00C503DD"/>
    <w:rsid w:val="00C529DB"/>
    <w:rsid w:val="00C54EE1"/>
    <w:rsid w:val="00C56649"/>
    <w:rsid w:val="00C5760F"/>
    <w:rsid w:val="00C60A4D"/>
    <w:rsid w:val="00C63F37"/>
    <w:rsid w:val="00C64002"/>
    <w:rsid w:val="00C65044"/>
    <w:rsid w:val="00C67821"/>
    <w:rsid w:val="00C67C7A"/>
    <w:rsid w:val="00C720DE"/>
    <w:rsid w:val="00C752B9"/>
    <w:rsid w:val="00C758C6"/>
    <w:rsid w:val="00C83734"/>
    <w:rsid w:val="00C83AF0"/>
    <w:rsid w:val="00C83B62"/>
    <w:rsid w:val="00C84FAB"/>
    <w:rsid w:val="00C9198E"/>
    <w:rsid w:val="00C91FE7"/>
    <w:rsid w:val="00C939DC"/>
    <w:rsid w:val="00C93CCD"/>
    <w:rsid w:val="00C97AF6"/>
    <w:rsid w:val="00CA0609"/>
    <w:rsid w:val="00CA3682"/>
    <w:rsid w:val="00CA4E31"/>
    <w:rsid w:val="00CA527D"/>
    <w:rsid w:val="00CB348A"/>
    <w:rsid w:val="00CB42C7"/>
    <w:rsid w:val="00CB6B96"/>
    <w:rsid w:val="00CC2553"/>
    <w:rsid w:val="00CC2ABD"/>
    <w:rsid w:val="00CD2796"/>
    <w:rsid w:val="00CD43F2"/>
    <w:rsid w:val="00CD543E"/>
    <w:rsid w:val="00CD63C1"/>
    <w:rsid w:val="00CE042B"/>
    <w:rsid w:val="00CE1395"/>
    <w:rsid w:val="00CE1616"/>
    <w:rsid w:val="00CE1ACC"/>
    <w:rsid w:val="00CE401D"/>
    <w:rsid w:val="00CE48AB"/>
    <w:rsid w:val="00CE4D38"/>
    <w:rsid w:val="00CF37B0"/>
    <w:rsid w:val="00D0049B"/>
    <w:rsid w:val="00D02C91"/>
    <w:rsid w:val="00D031A9"/>
    <w:rsid w:val="00D1050E"/>
    <w:rsid w:val="00D1261D"/>
    <w:rsid w:val="00D20A02"/>
    <w:rsid w:val="00D2172E"/>
    <w:rsid w:val="00D3719D"/>
    <w:rsid w:val="00D4423E"/>
    <w:rsid w:val="00D45DE4"/>
    <w:rsid w:val="00D57010"/>
    <w:rsid w:val="00D61FD4"/>
    <w:rsid w:val="00D62F1A"/>
    <w:rsid w:val="00D679DF"/>
    <w:rsid w:val="00D704A3"/>
    <w:rsid w:val="00D714E6"/>
    <w:rsid w:val="00D737DD"/>
    <w:rsid w:val="00D74101"/>
    <w:rsid w:val="00D74A66"/>
    <w:rsid w:val="00D74F05"/>
    <w:rsid w:val="00D7695A"/>
    <w:rsid w:val="00D77799"/>
    <w:rsid w:val="00D82F79"/>
    <w:rsid w:val="00D908E6"/>
    <w:rsid w:val="00DA0608"/>
    <w:rsid w:val="00DA447D"/>
    <w:rsid w:val="00DA4EEE"/>
    <w:rsid w:val="00DB1542"/>
    <w:rsid w:val="00DB35EA"/>
    <w:rsid w:val="00DB3B9B"/>
    <w:rsid w:val="00DC016B"/>
    <w:rsid w:val="00DC6960"/>
    <w:rsid w:val="00DD6EF6"/>
    <w:rsid w:val="00DE1A41"/>
    <w:rsid w:val="00DE4868"/>
    <w:rsid w:val="00DE4954"/>
    <w:rsid w:val="00DE5A84"/>
    <w:rsid w:val="00DE5BEC"/>
    <w:rsid w:val="00DF1936"/>
    <w:rsid w:val="00DF327D"/>
    <w:rsid w:val="00DF77B9"/>
    <w:rsid w:val="00E02AA3"/>
    <w:rsid w:val="00E12369"/>
    <w:rsid w:val="00E1498E"/>
    <w:rsid w:val="00E20752"/>
    <w:rsid w:val="00E2381E"/>
    <w:rsid w:val="00E274E0"/>
    <w:rsid w:val="00E322AA"/>
    <w:rsid w:val="00E41592"/>
    <w:rsid w:val="00E53735"/>
    <w:rsid w:val="00E54CDF"/>
    <w:rsid w:val="00E61F5A"/>
    <w:rsid w:val="00E63469"/>
    <w:rsid w:val="00E6347B"/>
    <w:rsid w:val="00E653BD"/>
    <w:rsid w:val="00E70777"/>
    <w:rsid w:val="00E73793"/>
    <w:rsid w:val="00E7646B"/>
    <w:rsid w:val="00E767AC"/>
    <w:rsid w:val="00E8153B"/>
    <w:rsid w:val="00E90186"/>
    <w:rsid w:val="00E97277"/>
    <w:rsid w:val="00EA34EA"/>
    <w:rsid w:val="00EA7D45"/>
    <w:rsid w:val="00EB2511"/>
    <w:rsid w:val="00EB56F2"/>
    <w:rsid w:val="00EB5F28"/>
    <w:rsid w:val="00EB7AFE"/>
    <w:rsid w:val="00EC2693"/>
    <w:rsid w:val="00EC7928"/>
    <w:rsid w:val="00ED7086"/>
    <w:rsid w:val="00EE1B36"/>
    <w:rsid w:val="00EE374E"/>
    <w:rsid w:val="00EE62F8"/>
    <w:rsid w:val="00EE7273"/>
    <w:rsid w:val="00EF2B6A"/>
    <w:rsid w:val="00F00D2E"/>
    <w:rsid w:val="00F029FB"/>
    <w:rsid w:val="00F06DD2"/>
    <w:rsid w:val="00F213CE"/>
    <w:rsid w:val="00F269D2"/>
    <w:rsid w:val="00F31AA1"/>
    <w:rsid w:val="00F36A6A"/>
    <w:rsid w:val="00F40593"/>
    <w:rsid w:val="00F40AFC"/>
    <w:rsid w:val="00F42DCC"/>
    <w:rsid w:val="00F43A30"/>
    <w:rsid w:val="00F4510D"/>
    <w:rsid w:val="00F453CC"/>
    <w:rsid w:val="00F45FDA"/>
    <w:rsid w:val="00F466A9"/>
    <w:rsid w:val="00F5126A"/>
    <w:rsid w:val="00F517D8"/>
    <w:rsid w:val="00F52202"/>
    <w:rsid w:val="00F56CA1"/>
    <w:rsid w:val="00F579D0"/>
    <w:rsid w:val="00F61017"/>
    <w:rsid w:val="00F616D7"/>
    <w:rsid w:val="00F64265"/>
    <w:rsid w:val="00F643A5"/>
    <w:rsid w:val="00F6692F"/>
    <w:rsid w:val="00F737B8"/>
    <w:rsid w:val="00F76DFA"/>
    <w:rsid w:val="00F8063B"/>
    <w:rsid w:val="00F81537"/>
    <w:rsid w:val="00F82234"/>
    <w:rsid w:val="00F86944"/>
    <w:rsid w:val="00F929E9"/>
    <w:rsid w:val="00F96144"/>
    <w:rsid w:val="00FA01FE"/>
    <w:rsid w:val="00FA1BB9"/>
    <w:rsid w:val="00FB10B0"/>
    <w:rsid w:val="00FB6D0D"/>
    <w:rsid w:val="00FB755A"/>
    <w:rsid w:val="00FC1CA9"/>
    <w:rsid w:val="00FC2781"/>
    <w:rsid w:val="00FD5611"/>
    <w:rsid w:val="00FD5C5F"/>
    <w:rsid w:val="00FD7BDA"/>
    <w:rsid w:val="00FE08B4"/>
    <w:rsid w:val="00FE0E38"/>
    <w:rsid w:val="00FE1793"/>
    <w:rsid w:val="00FE2F0D"/>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21FD0"/>
  <w15:docId w15:val="{7D561FBB-A95A-40F6-A8C7-10B0B9B2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70B9"/>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D70B9"/>
    <w:rPr>
      <w:rFonts w:ascii="Times New Roman" w:hAnsi="Times New Roman" w:cs="Times New Roman"/>
      <w:sz w:val="26"/>
      <w:szCs w:val="26"/>
    </w:rPr>
  </w:style>
  <w:style w:type="paragraph" w:styleId="Header">
    <w:name w:val="header"/>
    <w:basedOn w:val="Normal"/>
    <w:link w:val="HeaderChar"/>
    <w:uiPriority w:val="99"/>
    <w:unhideWhenUsed/>
    <w:rsid w:val="00344C34"/>
    <w:pPr>
      <w:tabs>
        <w:tab w:val="center" w:pos="4680"/>
        <w:tab w:val="right" w:pos="9360"/>
      </w:tabs>
      <w:spacing w:line="240" w:lineRule="auto"/>
    </w:pPr>
  </w:style>
  <w:style w:type="character" w:customStyle="1" w:styleId="HeaderChar">
    <w:name w:val="Header Char"/>
    <w:basedOn w:val="DefaultParagraphFont"/>
    <w:link w:val="Header"/>
    <w:uiPriority w:val="99"/>
    <w:rsid w:val="00344C34"/>
  </w:style>
  <w:style w:type="character" w:styleId="PageNumber">
    <w:name w:val="page number"/>
    <w:basedOn w:val="DefaultParagraphFont"/>
    <w:uiPriority w:val="99"/>
    <w:semiHidden/>
    <w:unhideWhenUsed/>
    <w:rsid w:val="00344C34"/>
  </w:style>
  <w:style w:type="paragraph" w:styleId="Footer">
    <w:name w:val="footer"/>
    <w:basedOn w:val="Normal"/>
    <w:link w:val="FooterChar"/>
    <w:uiPriority w:val="99"/>
    <w:unhideWhenUsed/>
    <w:rsid w:val="00344C34"/>
    <w:pPr>
      <w:tabs>
        <w:tab w:val="center" w:pos="4680"/>
        <w:tab w:val="right" w:pos="9360"/>
      </w:tabs>
      <w:spacing w:line="240" w:lineRule="auto"/>
    </w:pPr>
  </w:style>
  <w:style w:type="character" w:customStyle="1" w:styleId="FooterChar">
    <w:name w:val="Footer Char"/>
    <w:basedOn w:val="DefaultParagraphFont"/>
    <w:link w:val="Footer"/>
    <w:uiPriority w:val="99"/>
    <w:rsid w:val="00344C34"/>
  </w:style>
  <w:style w:type="paragraph" w:styleId="CommentSubject">
    <w:name w:val="annotation subject"/>
    <w:basedOn w:val="CommentText"/>
    <w:next w:val="CommentText"/>
    <w:link w:val="CommentSubjectChar"/>
    <w:uiPriority w:val="99"/>
    <w:semiHidden/>
    <w:unhideWhenUsed/>
    <w:rsid w:val="00683CBD"/>
    <w:rPr>
      <w:b/>
      <w:bCs/>
    </w:rPr>
  </w:style>
  <w:style w:type="character" w:customStyle="1" w:styleId="CommentSubjectChar">
    <w:name w:val="Comment Subject Char"/>
    <w:basedOn w:val="CommentTextChar"/>
    <w:link w:val="CommentSubject"/>
    <w:uiPriority w:val="99"/>
    <w:semiHidden/>
    <w:rsid w:val="00683CBD"/>
    <w:rPr>
      <w:b/>
      <w:bCs/>
      <w:sz w:val="20"/>
      <w:szCs w:val="20"/>
    </w:rPr>
  </w:style>
  <w:style w:type="character" w:customStyle="1" w:styleId="apple-style-span">
    <w:name w:val="apple-style-span"/>
    <w:basedOn w:val="DefaultParagraphFont"/>
    <w:rsid w:val="00683CBD"/>
  </w:style>
  <w:style w:type="paragraph" w:styleId="Revision">
    <w:name w:val="Revision"/>
    <w:hidden/>
    <w:uiPriority w:val="99"/>
    <w:semiHidden/>
    <w:rsid w:val="00B92853"/>
    <w:pPr>
      <w:spacing w:line="240" w:lineRule="auto"/>
    </w:pPr>
  </w:style>
  <w:style w:type="character" w:styleId="Hyperlink">
    <w:name w:val="Hyperlink"/>
    <w:basedOn w:val="DefaultParagraphFont"/>
    <w:uiPriority w:val="99"/>
    <w:unhideWhenUsed/>
    <w:rsid w:val="00B92853"/>
    <w:rPr>
      <w:color w:val="0000FF"/>
      <w:u w:val="single"/>
    </w:rPr>
  </w:style>
  <w:style w:type="character" w:styleId="FollowedHyperlink">
    <w:name w:val="FollowedHyperlink"/>
    <w:basedOn w:val="DefaultParagraphFont"/>
    <w:uiPriority w:val="99"/>
    <w:semiHidden/>
    <w:unhideWhenUsed/>
    <w:rsid w:val="00592EE6"/>
    <w:rPr>
      <w:color w:val="800080" w:themeColor="followedHyperlink"/>
      <w:u w:val="single"/>
    </w:rPr>
  </w:style>
  <w:style w:type="paragraph" w:customStyle="1" w:styleId="EndNoteBibliographyTitle">
    <w:name w:val="EndNote Bibliography Title"/>
    <w:basedOn w:val="Normal"/>
    <w:link w:val="EndNoteBibliographyTitleChar"/>
    <w:rsid w:val="00732454"/>
    <w:pPr>
      <w:jc w:val="center"/>
    </w:pPr>
    <w:rPr>
      <w:rFonts w:ascii="Times New Roman" w:hAnsi="Times New Roman" w:cs="Times New Roman"/>
      <w:sz w:val="24"/>
      <w:lang w:val="en-US"/>
    </w:rPr>
  </w:style>
  <w:style w:type="character" w:customStyle="1" w:styleId="EndNoteBibliographyTitleChar">
    <w:name w:val="EndNote Bibliography Title Char"/>
    <w:basedOn w:val="DefaultParagraphFont"/>
    <w:link w:val="EndNoteBibliographyTitle"/>
    <w:rsid w:val="00732454"/>
    <w:rPr>
      <w:rFonts w:ascii="Times New Roman" w:hAnsi="Times New Roman" w:cs="Times New Roman"/>
      <w:sz w:val="24"/>
      <w:lang w:val="en-US"/>
    </w:rPr>
  </w:style>
  <w:style w:type="paragraph" w:customStyle="1" w:styleId="EndNoteBibliography">
    <w:name w:val="EndNote Bibliography"/>
    <w:basedOn w:val="Normal"/>
    <w:link w:val="EndNoteBibliographyChar"/>
    <w:rsid w:val="00732454"/>
    <w:pPr>
      <w:spacing w:line="480" w:lineRule="auto"/>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732454"/>
    <w:rPr>
      <w:rFonts w:ascii="Times New Roman" w:hAnsi="Times New Roman" w:cs="Times New Roman"/>
      <w:sz w:val="24"/>
      <w:lang w:val="en-US"/>
    </w:rPr>
  </w:style>
  <w:style w:type="table" w:customStyle="1" w:styleId="TableGridLight1">
    <w:name w:val="Table Grid Light1"/>
    <w:basedOn w:val="TableNormal"/>
    <w:uiPriority w:val="40"/>
    <w:rsid w:val="003E214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3E21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E214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CA3682"/>
    <w:rPr>
      <w:i/>
      <w:iCs/>
    </w:rPr>
  </w:style>
  <w:style w:type="character" w:customStyle="1" w:styleId="UnresolvedMention1">
    <w:name w:val="Unresolved Mention1"/>
    <w:basedOn w:val="DefaultParagraphFont"/>
    <w:uiPriority w:val="99"/>
    <w:semiHidden/>
    <w:unhideWhenUsed/>
    <w:rsid w:val="00A87700"/>
    <w:rPr>
      <w:color w:val="808080"/>
      <w:shd w:val="clear" w:color="auto" w:fill="E6E6E6"/>
    </w:rPr>
  </w:style>
  <w:style w:type="character" w:customStyle="1" w:styleId="UnresolvedMention2">
    <w:name w:val="Unresolved Mention2"/>
    <w:basedOn w:val="DefaultParagraphFont"/>
    <w:uiPriority w:val="99"/>
    <w:semiHidden/>
    <w:unhideWhenUsed/>
    <w:rsid w:val="003B6FF4"/>
    <w:rPr>
      <w:color w:val="808080"/>
      <w:shd w:val="clear" w:color="auto" w:fill="E6E6E6"/>
    </w:rPr>
  </w:style>
  <w:style w:type="paragraph" w:styleId="ListParagraph">
    <w:name w:val="List Paragraph"/>
    <w:basedOn w:val="Normal"/>
    <w:uiPriority w:val="34"/>
    <w:qFormat/>
    <w:rsid w:val="000A59BA"/>
    <w:pPr>
      <w:ind w:left="720"/>
      <w:contextualSpacing/>
    </w:pPr>
  </w:style>
  <w:style w:type="character" w:styleId="LineNumber">
    <w:name w:val="line number"/>
    <w:basedOn w:val="DefaultParagraphFont"/>
    <w:uiPriority w:val="99"/>
    <w:semiHidden/>
    <w:unhideWhenUsed/>
    <w:rsid w:val="00B6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3430">
      <w:bodyDiv w:val="1"/>
      <w:marLeft w:val="0"/>
      <w:marRight w:val="0"/>
      <w:marTop w:val="0"/>
      <w:marBottom w:val="0"/>
      <w:divBdr>
        <w:top w:val="none" w:sz="0" w:space="0" w:color="auto"/>
        <w:left w:val="none" w:sz="0" w:space="0" w:color="auto"/>
        <w:bottom w:val="none" w:sz="0" w:space="0" w:color="auto"/>
        <w:right w:val="none" w:sz="0" w:space="0" w:color="auto"/>
      </w:divBdr>
    </w:div>
    <w:div w:id="186451108">
      <w:bodyDiv w:val="1"/>
      <w:marLeft w:val="0"/>
      <w:marRight w:val="0"/>
      <w:marTop w:val="0"/>
      <w:marBottom w:val="0"/>
      <w:divBdr>
        <w:top w:val="none" w:sz="0" w:space="0" w:color="auto"/>
        <w:left w:val="none" w:sz="0" w:space="0" w:color="auto"/>
        <w:bottom w:val="none" w:sz="0" w:space="0" w:color="auto"/>
        <w:right w:val="none" w:sz="0" w:space="0" w:color="auto"/>
      </w:divBdr>
    </w:div>
    <w:div w:id="283969143">
      <w:bodyDiv w:val="1"/>
      <w:marLeft w:val="0"/>
      <w:marRight w:val="0"/>
      <w:marTop w:val="0"/>
      <w:marBottom w:val="0"/>
      <w:divBdr>
        <w:top w:val="none" w:sz="0" w:space="0" w:color="auto"/>
        <w:left w:val="none" w:sz="0" w:space="0" w:color="auto"/>
        <w:bottom w:val="none" w:sz="0" w:space="0" w:color="auto"/>
        <w:right w:val="none" w:sz="0" w:space="0" w:color="auto"/>
      </w:divBdr>
    </w:div>
    <w:div w:id="442724291">
      <w:bodyDiv w:val="1"/>
      <w:marLeft w:val="0"/>
      <w:marRight w:val="0"/>
      <w:marTop w:val="0"/>
      <w:marBottom w:val="0"/>
      <w:divBdr>
        <w:top w:val="none" w:sz="0" w:space="0" w:color="auto"/>
        <w:left w:val="none" w:sz="0" w:space="0" w:color="auto"/>
        <w:bottom w:val="none" w:sz="0" w:space="0" w:color="auto"/>
        <w:right w:val="none" w:sz="0" w:space="0" w:color="auto"/>
      </w:divBdr>
    </w:div>
    <w:div w:id="513153148">
      <w:bodyDiv w:val="1"/>
      <w:marLeft w:val="0"/>
      <w:marRight w:val="0"/>
      <w:marTop w:val="0"/>
      <w:marBottom w:val="0"/>
      <w:divBdr>
        <w:top w:val="none" w:sz="0" w:space="0" w:color="auto"/>
        <w:left w:val="none" w:sz="0" w:space="0" w:color="auto"/>
        <w:bottom w:val="none" w:sz="0" w:space="0" w:color="auto"/>
        <w:right w:val="none" w:sz="0" w:space="0" w:color="auto"/>
      </w:divBdr>
    </w:div>
    <w:div w:id="558899433">
      <w:bodyDiv w:val="1"/>
      <w:marLeft w:val="0"/>
      <w:marRight w:val="0"/>
      <w:marTop w:val="0"/>
      <w:marBottom w:val="0"/>
      <w:divBdr>
        <w:top w:val="none" w:sz="0" w:space="0" w:color="auto"/>
        <w:left w:val="none" w:sz="0" w:space="0" w:color="auto"/>
        <w:bottom w:val="none" w:sz="0" w:space="0" w:color="auto"/>
        <w:right w:val="none" w:sz="0" w:space="0" w:color="auto"/>
      </w:divBdr>
    </w:div>
    <w:div w:id="948463578">
      <w:bodyDiv w:val="1"/>
      <w:marLeft w:val="0"/>
      <w:marRight w:val="0"/>
      <w:marTop w:val="0"/>
      <w:marBottom w:val="0"/>
      <w:divBdr>
        <w:top w:val="none" w:sz="0" w:space="0" w:color="auto"/>
        <w:left w:val="none" w:sz="0" w:space="0" w:color="auto"/>
        <w:bottom w:val="none" w:sz="0" w:space="0" w:color="auto"/>
        <w:right w:val="none" w:sz="0" w:space="0" w:color="auto"/>
      </w:divBdr>
    </w:div>
    <w:div w:id="1011686607">
      <w:bodyDiv w:val="1"/>
      <w:marLeft w:val="0"/>
      <w:marRight w:val="0"/>
      <w:marTop w:val="0"/>
      <w:marBottom w:val="0"/>
      <w:divBdr>
        <w:top w:val="none" w:sz="0" w:space="0" w:color="auto"/>
        <w:left w:val="none" w:sz="0" w:space="0" w:color="auto"/>
        <w:bottom w:val="none" w:sz="0" w:space="0" w:color="auto"/>
        <w:right w:val="none" w:sz="0" w:space="0" w:color="auto"/>
      </w:divBdr>
    </w:div>
    <w:div w:id="1131365969">
      <w:bodyDiv w:val="1"/>
      <w:marLeft w:val="0"/>
      <w:marRight w:val="0"/>
      <w:marTop w:val="0"/>
      <w:marBottom w:val="0"/>
      <w:divBdr>
        <w:top w:val="none" w:sz="0" w:space="0" w:color="auto"/>
        <w:left w:val="none" w:sz="0" w:space="0" w:color="auto"/>
        <w:bottom w:val="none" w:sz="0" w:space="0" w:color="auto"/>
        <w:right w:val="none" w:sz="0" w:space="0" w:color="auto"/>
      </w:divBdr>
    </w:div>
    <w:div w:id="1209226339">
      <w:bodyDiv w:val="1"/>
      <w:marLeft w:val="0"/>
      <w:marRight w:val="0"/>
      <w:marTop w:val="0"/>
      <w:marBottom w:val="0"/>
      <w:divBdr>
        <w:top w:val="none" w:sz="0" w:space="0" w:color="auto"/>
        <w:left w:val="none" w:sz="0" w:space="0" w:color="auto"/>
        <w:bottom w:val="none" w:sz="0" w:space="0" w:color="auto"/>
        <w:right w:val="none" w:sz="0" w:space="0" w:color="auto"/>
      </w:divBdr>
    </w:div>
    <w:div w:id="1334529108">
      <w:bodyDiv w:val="1"/>
      <w:marLeft w:val="0"/>
      <w:marRight w:val="0"/>
      <w:marTop w:val="0"/>
      <w:marBottom w:val="0"/>
      <w:divBdr>
        <w:top w:val="none" w:sz="0" w:space="0" w:color="auto"/>
        <w:left w:val="none" w:sz="0" w:space="0" w:color="auto"/>
        <w:bottom w:val="none" w:sz="0" w:space="0" w:color="auto"/>
        <w:right w:val="none" w:sz="0" w:space="0" w:color="auto"/>
      </w:divBdr>
    </w:div>
    <w:div w:id="1551190144">
      <w:bodyDiv w:val="1"/>
      <w:marLeft w:val="0"/>
      <w:marRight w:val="0"/>
      <w:marTop w:val="0"/>
      <w:marBottom w:val="0"/>
      <w:divBdr>
        <w:top w:val="none" w:sz="0" w:space="0" w:color="auto"/>
        <w:left w:val="none" w:sz="0" w:space="0" w:color="auto"/>
        <w:bottom w:val="none" w:sz="0" w:space="0" w:color="auto"/>
        <w:right w:val="none" w:sz="0" w:space="0" w:color="auto"/>
      </w:divBdr>
    </w:div>
    <w:div w:id="1655793235">
      <w:bodyDiv w:val="1"/>
      <w:marLeft w:val="0"/>
      <w:marRight w:val="0"/>
      <w:marTop w:val="0"/>
      <w:marBottom w:val="0"/>
      <w:divBdr>
        <w:top w:val="none" w:sz="0" w:space="0" w:color="auto"/>
        <w:left w:val="none" w:sz="0" w:space="0" w:color="auto"/>
        <w:bottom w:val="none" w:sz="0" w:space="0" w:color="auto"/>
        <w:right w:val="none" w:sz="0" w:space="0" w:color="auto"/>
      </w:divBdr>
    </w:div>
    <w:div w:id="1916433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rojects/gap/cgi-bin/study.cgi?study_id=phs000228.v4.p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006D-A4C0-5B4E-8B6A-70347B6D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13388</Words>
  <Characters>76312</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Grandfield, Kevin</dc:creator>
  <cp:lastModifiedBy>Durham, Katherine A</cp:lastModifiedBy>
  <cp:revision>3</cp:revision>
  <dcterms:created xsi:type="dcterms:W3CDTF">2019-03-15T16:10:00Z</dcterms:created>
  <dcterms:modified xsi:type="dcterms:W3CDTF">2019-03-15T16:17:00Z</dcterms:modified>
</cp:coreProperties>
</file>