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7D2615" w14:textId="64C8E724" w:rsidR="00B61B7A" w:rsidRPr="004B738F" w:rsidRDefault="00B61B7A" w:rsidP="00B61B7A">
      <w:pPr>
        <w:spacing w:line="480" w:lineRule="auto"/>
        <w:outlineLvl w:val="0"/>
        <w:rPr>
          <w:rFonts w:ascii="Times New Roman" w:hAnsi="Times New Roman"/>
          <w:b/>
        </w:rPr>
      </w:pPr>
      <w:bookmarkStart w:id="0" w:name="_Hlk485823496"/>
      <w:r w:rsidRPr="004B738F">
        <w:rPr>
          <w:rFonts w:ascii="Times New Roman" w:hAnsi="Times New Roman"/>
          <w:b/>
        </w:rPr>
        <w:t xml:space="preserve">The </w:t>
      </w:r>
      <w:r w:rsidR="00834742" w:rsidRPr="004B738F">
        <w:rPr>
          <w:rFonts w:ascii="Times New Roman" w:hAnsi="Times New Roman"/>
          <w:b/>
        </w:rPr>
        <w:t>greatest hits of all time: the histories of dominant genera in the fossil record</w:t>
      </w:r>
    </w:p>
    <w:bookmarkEnd w:id="0"/>
    <w:p w14:paraId="4B2AD4F6" w14:textId="77777777" w:rsidR="00B61B7A" w:rsidRPr="00C7158D" w:rsidRDefault="00B61B7A" w:rsidP="00B61B7A">
      <w:pPr>
        <w:spacing w:line="480" w:lineRule="auto"/>
        <w:rPr>
          <w:rFonts w:ascii="Times New Roman" w:hAnsi="Times New Roman"/>
          <w:szCs w:val="24"/>
        </w:rPr>
      </w:pPr>
    </w:p>
    <w:p w14:paraId="4538B955" w14:textId="77777777" w:rsidR="00B61B7A" w:rsidRPr="00C7158D" w:rsidRDefault="00B61B7A" w:rsidP="00B61B7A">
      <w:pPr>
        <w:spacing w:line="480" w:lineRule="auto"/>
        <w:outlineLvl w:val="0"/>
        <w:rPr>
          <w:rFonts w:ascii="Times New Roman" w:hAnsi="Times New Roman"/>
          <w:szCs w:val="24"/>
        </w:rPr>
      </w:pPr>
      <w:r w:rsidRPr="00C7158D">
        <w:rPr>
          <w:rFonts w:ascii="Times New Roman" w:hAnsi="Times New Roman"/>
          <w:szCs w:val="24"/>
        </w:rPr>
        <w:t>Roy E. Plotnick</w:t>
      </w:r>
    </w:p>
    <w:p w14:paraId="2C2AD529" w14:textId="77777777" w:rsidR="00B61B7A" w:rsidRPr="00C7158D" w:rsidRDefault="00B61B7A" w:rsidP="00B61B7A">
      <w:pPr>
        <w:spacing w:line="480" w:lineRule="auto"/>
        <w:rPr>
          <w:rFonts w:ascii="Times New Roman" w:hAnsi="Times New Roman"/>
          <w:szCs w:val="24"/>
        </w:rPr>
      </w:pPr>
      <w:r>
        <w:rPr>
          <w:rFonts w:ascii="Times New Roman" w:hAnsi="Times New Roman"/>
          <w:szCs w:val="24"/>
        </w:rPr>
        <w:t xml:space="preserve"> P</w:t>
      </w:r>
      <w:r w:rsidRPr="00C7158D">
        <w:rPr>
          <w:rFonts w:ascii="Times New Roman" w:hAnsi="Times New Roman"/>
          <w:szCs w:val="24"/>
        </w:rPr>
        <w:t>eter Wagner</w:t>
      </w:r>
    </w:p>
    <w:p w14:paraId="0240533A" w14:textId="77777777" w:rsidR="00B61B7A" w:rsidRPr="00C7158D" w:rsidRDefault="00B61B7A" w:rsidP="00B61B7A">
      <w:pPr>
        <w:spacing w:line="480" w:lineRule="auto"/>
        <w:rPr>
          <w:rFonts w:ascii="Times New Roman" w:hAnsi="Times New Roman"/>
          <w:szCs w:val="24"/>
        </w:rPr>
      </w:pPr>
      <w:r>
        <w:rPr>
          <w:rFonts w:ascii="Times New Roman" w:hAnsi="Times New Roman"/>
          <w:szCs w:val="24"/>
        </w:rPr>
        <w:t>RRH: GREATEST HITS OF THE FOSSIL RECORD</w:t>
      </w:r>
    </w:p>
    <w:p w14:paraId="78C57690" w14:textId="77777777" w:rsidR="00B61B7A" w:rsidRPr="004B738F" w:rsidRDefault="00B61B7A" w:rsidP="00B61B7A">
      <w:pPr>
        <w:spacing w:after="160" w:line="480" w:lineRule="auto"/>
        <w:rPr>
          <w:rFonts w:ascii="Times New Roman" w:hAnsi="Times New Roman"/>
          <w:szCs w:val="24"/>
        </w:rPr>
      </w:pPr>
      <w:r w:rsidRPr="004B738F">
        <w:rPr>
          <w:rFonts w:ascii="Times New Roman" w:hAnsi="Times New Roman"/>
          <w:szCs w:val="24"/>
        </w:rPr>
        <w:t xml:space="preserve">LRH: </w:t>
      </w:r>
      <w:r>
        <w:rPr>
          <w:rFonts w:ascii="Times New Roman" w:hAnsi="Times New Roman"/>
          <w:szCs w:val="24"/>
        </w:rPr>
        <w:t>ROY E. PLOTNICK AND PETER WAGNER</w:t>
      </w:r>
      <w:r w:rsidRPr="004B738F">
        <w:rPr>
          <w:rFonts w:ascii="Times New Roman" w:hAnsi="Times New Roman"/>
          <w:szCs w:val="24"/>
        </w:rPr>
        <w:br w:type="page"/>
      </w:r>
    </w:p>
    <w:p w14:paraId="4A626FBF" w14:textId="77777777" w:rsidR="00B61B7A" w:rsidRDefault="00B61B7A" w:rsidP="00B61B7A">
      <w:pPr>
        <w:spacing w:line="480" w:lineRule="auto"/>
        <w:outlineLvl w:val="0"/>
        <w:rPr>
          <w:rFonts w:ascii="Times New Roman" w:hAnsi="Times New Roman"/>
          <w:szCs w:val="24"/>
        </w:rPr>
      </w:pPr>
      <w:r w:rsidRPr="004B738F">
        <w:rPr>
          <w:rFonts w:ascii="Times New Roman" w:hAnsi="Times New Roman"/>
          <w:i/>
          <w:szCs w:val="24"/>
        </w:rPr>
        <w:lastRenderedPageBreak/>
        <w:t>Abstract</w:t>
      </w:r>
      <w:r>
        <w:rPr>
          <w:rFonts w:ascii="Times New Roman" w:hAnsi="Times New Roman"/>
          <w:i/>
          <w:szCs w:val="24"/>
        </w:rPr>
        <w:t>.</w:t>
      </w:r>
      <w:r>
        <w:rPr>
          <w:rFonts w:ascii="Times New Roman" w:hAnsi="Times New Roman"/>
          <w:i/>
          <w:szCs w:val="24"/>
          <w:rtl/>
        </w:rPr>
        <w:t>—</w:t>
      </w:r>
      <w:r>
        <w:rPr>
          <w:rFonts w:ascii="Times New Roman" w:hAnsi="Times New Roman"/>
          <w:i/>
          <w:szCs w:val="24"/>
        </w:rPr>
        <w:t xml:space="preserve"> </w:t>
      </w:r>
      <w:r w:rsidRPr="00C7158D">
        <w:rPr>
          <w:rFonts w:ascii="Times New Roman" w:hAnsi="Times New Roman"/>
          <w:szCs w:val="24"/>
        </w:rPr>
        <w:t xml:space="preserve">Certain taxa are </w:t>
      </w:r>
      <w:r>
        <w:rPr>
          <w:rFonts w:ascii="Times New Roman" w:hAnsi="Times New Roman"/>
          <w:szCs w:val="24"/>
        </w:rPr>
        <w:t xml:space="preserve">noticeably </w:t>
      </w:r>
      <w:r w:rsidRPr="00C7158D">
        <w:rPr>
          <w:rFonts w:ascii="Times New Roman" w:hAnsi="Times New Roman"/>
          <w:szCs w:val="24"/>
        </w:rPr>
        <w:t>common</w:t>
      </w:r>
      <w:r>
        <w:rPr>
          <w:rFonts w:ascii="Times New Roman" w:hAnsi="Times New Roman"/>
          <w:szCs w:val="24"/>
        </w:rPr>
        <w:t xml:space="preserve"> within collections, </w:t>
      </w:r>
      <w:r w:rsidRPr="00C7158D">
        <w:rPr>
          <w:rFonts w:ascii="Times New Roman" w:hAnsi="Times New Roman"/>
          <w:szCs w:val="24"/>
        </w:rPr>
        <w:t>widely distributed</w:t>
      </w:r>
      <w:r>
        <w:rPr>
          <w:rFonts w:ascii="Times New Roman" w:hAnsi="Times New Roman"/>
          <w:szCs w:val="24"/>
        </w:rPr>
        <w:t>, and frequently long-lived</w:t>
      </w:r>
      <w:r w:rsidRPr="00C7158D">
        <w:rPr>
          <w:rFonts w:ascii="Times New Roman" w:hAnsi="Times New Roman"/>
          <w:szCs w:val="24"/>
        </w:rPr>
        <w:t>. We have exami</w:t>
      </w:r>
      <w:r>
        <w:rPr>
          <w:rFonts w:ascii="Times New Roman" w:hAnsi="Times New Roman"/>
          <w:szCs w:val="24"/>
        </w:rPr>
        <w:t>ned these</w:t>
      </w:r>
      <w:r w:rsidRPr="00C7158D">
        <w:rPr>
          <w:rFonts w:ascii="Times New Roman" w:hAnsi="Times New Roman"/>
          <w:szCs w:val="24"/>
        </w:rPr>
        <w:t xml:space="preserve"> </w:t>
      </w:r>
      <w:r>
        <w:rPr>
          <w:rFonts w:ascii="Times New Roman" w:hAnsi="Times New Roman"/>
          <w:szCs w:val="24"/>
        </w:rPr>
        <w:t>dominant genera as compared to rarer</w:t>
      </w:r>
      <w:r w:rsidRPr="00C7158D">
        <w:rPr>
          <w:rFonts w:ascii="Times New Roman" w:hAnsi="Times New Roman"/>
          <w:szCs w:val="24"/>
        </w:rPr>
        <w:t xml:space="preserve"> genera, with a focus on their temporal histories. Using occurrence data from the Paleobiology Database, we determined which genera belonging to six </w:t>
      </w:r>
      <w:r>
        <w:rPr>
          <w:rFonts w:ascii="Times New Roman" w:hAnsi="Times New Roman"/>
          <w:szCs w:val="24"/>
        </w:rPr>
        <w:t xml:space="preserve">target groups ranked among the </w:t>
      </w:r>
      <w:r w:rsidRPr="00C7158D">
        <w:rPr>
          <w:rFonts w:ascii="Times New Roman" w:hAnsi="Times New Roman"/>
          <w:szCs w:val="24"/>
        </w:rPr>
        <w:t xml:space="preserve">most common within each of 49 temporal bins based on occurrences. The turnover among </w:t>
      </w:r>
      <w:r>
        <w:rPr>
          <w:rFonts w:ascii="Times New Roman" w:hAnsi="Times New Roman"/>
          <w:szCs w:val="24"/>
        </w:rPr>
        <w:t>these dominant taxa</w:t>
      </w:r>
      <w:r w:rsidRPr="00C7158D">
        <w:rPr>
          <w:rFonts w:ascii="Times New Roman" w:hAnsi="Times New Roman"/>
          <w:szCs w:val="24"/>
        </w:rPr>
        <w:t xml:space="preserve"> from bin-to-bin was then determined for each of these groups and all six groups pooled. Although </w:t>
      </w:r>
      <w:r>
        <w:rPr>
          <w:rFonts w:ascii="Times New Roman" w:hAnsi="Times New Roman"/>
          <w:szCs w:val="24"/>
        </w:rPr>
        <w:t>dominant</w:t>
      </w:r>
      <w:r w:rsidRPr="00C7158D">
        <w:rPr>
          <w:rFonts w:ascii="Times New Roman" w:hAnsi="Times New Roman"/>
          <w:szCs w:val="24"/>
        </w:rPr>
        <w:t xml:space="preserve"> genera are only a small fraction of all genera</w:t>
      </w:r>
      <w:r>
        <w:rPr>
          <w:rFonts w:ascii="Times New Roman" w:hAnsi="Times New Roman"/>
          <w:szCs w:val="24"/>
        </w:rPr>
        <w:t xml:space="preserve">, </w:t>
      </w:r>
      <w:r w:rsidRPr="00C7158D">
        <w:rPr>
          <w:rFonts w:ascii="Times New Roman" w:hAnsi="Times New Roman"/>
          <w:szCs w:val="24"/>
        </w:rPr>
        <w:t xml:space="preserve">the patterns of turnover mimic those seen in much larger compilations of total biodiversity. We also found that differences in patterns of turnover at the top ranks among </w:t>
      </w:r>
      <w:r>
        <w:rPr>
          <w:rFonts w:ascii="Times New Roman" w:hAnsi="Times New Roman"/>
          <w:szCs w:val="24"/>
        </w:rPr>
        <w:t xml:space="preserve">the higher </w:t>
      </w:r>
      <w:r w:rsidRPr="00C7158D">
        <w:rPr>
          <w:rFonts w:ascii="Times New Roman" w:hAnsi="Times New Roman"/>
          <w:szCs w:val="24"/>
        </w:rPr>
        <w:t>taxa reflect previously documented compariso</w:t>
      </w:r>
      <w:r>
        <w:rPr>
          <w:rFonts w:ascii="Times New Roman" w:hAnsi="Times New Roman"/>
          <w:szCs w:val="24"/>
        </w:rPr>
        <w:t xml:space="preserve">n of overall turnover among these classes. </w:t>
      </w:r>
      <w:r w:rsidRPr="004B7976">
        <w:rPr>
          <w:rFonts w:ascii="Times New Roman" w:hAnsi="Times New Roman"/>
          <w:szCs w:val="24"/>
        </w:rPr>
        <w:t xml:space="preserve">Both </w:t>
      </w:r>
      <w:r>
        <w:rPr>
          <w:rFonts w:ascii="Times New Roman" w:hAnsi="Times New Roman"/>
          <w:szCs w:val="24"/>
        </w:rPr>
        <w:t>dominant and non-dominant genera</w:t>
      </w:r>
      <w:r w:rsidRPr="00C7158D">
        <w:rPr>
          <w:rFonts w:ascii="Times New Roman" w:hAnsi="Times New Roman"/>
          <w:szCs w:val="24"/>
        </w:rPr>
        <w:t xml:space="preserve"> exhibit on average symmetrical patterns</w:t>
      </w:r>
      <w:r>
        <w:rPr>
          <w:rFonts w:ascii="Times New Roman" w:hAnsi="Times New Roman"/>
          <w:szCs w:val="24"/>
        </w:rPr>
        <w:t xml:space="preserve"> of r</w:t>
      </w:r>
      <w:r w:rsidRPr="00C7158D">
        <w:rPr>
          <w:rFonts w:ascii="Times New Roman" w:hAnsi="Times New Roman"/>
          <w:szCs w:val="24"/>
        </w:rPr>
        <w:t xml:space="preserve">ise and fall between first and last appearances. </w:t>
      </w:r>
      <w:r>
        <w:rPr>
          <w:rFonts w:ascii="Times New Roman" w:hAnsi="Times New Roman"/>
          <w:szCs w:val="24"/>
        </w:rPr>
        <w:t xml:space="preserve">Dominant </w:t>
      </w:r>
      <w:r w:rsidRPr="00C7158D">
        <w:rPr>
          <w:rFonts w:ascii="Times New Roman" w:hAnsi="Times New Roman"/>
          <w:szCs w:val="24"/>
        </w:rPr>
        <w:t xml:space="preserve">genera rarely begin </w:t>
      </w:r>
      <w:r>
        <w:rPr>
          <w:rFonts w:ascii="Times New Roman" w:hAnsi="Times New Roman"/>
          <w:szCs w:val="24"/>
        </w:rPr>
        <w:t>at high ranks</w:t>
      </w:r>
      <w:r w:rsidRPr="00C7158D">
        <w:rPr>
          <w:rFonts w:ascii="Times New Roman" w:hAnsi="Times New Roman"/>
          <w:szCs w:val="24"/>
        </w:rPr>
        <w:t xml:space="preserve">, but nevertheless tend to be more common when they first appear than </w:t>
      </w:r>
      <w:r>
        <w:rPr>
          <w:rFonts w:ascii="Times New Roman" w:hAnsi="Times New Roman"/>
          <w:szCs w:val="24"/>
        </w:rPr>
        <w:t xml:space="preserve">non-dominant </w:t>
      </w:r>
      <w:r w:rsidRPr="00C7158D">
        <w:rPr>
          <w:rFonts w:ascii="Times New Roman" w:hAnsi="Times New Roman"/>
          <w:szCs w:val="24"/>
        </w:rPr>
        <w:t>genera</w:t>
      </w:r>
      <w:r>
        <w:rPr>
          <w:rFonts w:ascii="Times New Roman" w:hAnsi="Times New Roman"/>
          <w:szCs w:val="24"/>
        </w:rPr>
        <w:t xml:space="preserve">. </w:t>
      </w:r>
      <w:r w:rsidRPr="00C7158D">
        <w:rPr>
          <w:rFonts w:ascii="Times New Roman" w:hAnsi="Times New Roman"/>
          <w:szCs w:val="24"/>
        </w:rPr>
        <w:t>Moreover,</w:t>
      </w:r>
      <w:r>
        <w:rPr>
          <w:rFonts w:ascii="Times New Roman" w:hAnsi="Times New Roman"/>
          <w:szCs w:val="24"/>
        </w:rPr>
        <w:t xml:space="preserve"> dominant </w:t>
      </w:r>
      <w:r w:rsidRPr="00C7158D">
        <w:rPr>
          <w:rFonts w:ascii="Times New Roman" w:hAnsi="Times New Roman"/>
          <w:szCs w:val="24"/>
        </w:rPr>
        <w:t xml:space="preserve">genera rarely are in the Top 20 when they last appear, but still typically occupy more localities than </w:t>
      </w:r>
      <w:r>
        <w:rPr>
          <w:rFonts w:ascii="Times New Roman" w:hAnsi="Times New Roman"/>
          <w:szCs w:val="24"/>
        </w:rPr>
        <w:t>non-dominant</w:t>
      </w:r>
      <w:r w:rsidRPr="00C7158D">
        <w:rPr>
          <w:rFonts w:ascii="Times New Roman" w:hAnsi="Times New Roman"/>
          <w:szCs w:val="24"/>
        </w:rPr>
        <w:t xml:space="preserve"> genera occupy in their last interval. The mechanism(s) that produce </w:t>
      </w:r>
      <w:r>
        <w:rPr>
          <w:rFonts w:ascii="Times New Roman" w:hAnsi="Times New Roman"/>
          <w:szCs w:val="24"/>
        </w:rPr>
        <w:t>dominant</w:t>
      </w:r>
      <w:r w:rsidRPr="00C7158D">
        <w:rPr>
          <w:rFonts w:ascii="Times New Roman" w:hAnsi="Times New Roman"/>
          <w:szCs w:val="24"/>
        </w:rPr>
        <w:t xml:space="preserve"> g</w:t>
      </w:r>
      <w:r>
        <w:rPr>
          <w:rFonts w:ascii="Times New Roman" w:hAnsi="Times New Roman"/>
          <w:szCs w:val="24"/>
        </w:rPr>
        <w:t>enera remain unclear. N</w:t>
      </w:r>
      <w:r w:rsidRPr="00C7158D">
        <w:rPr>
          <w:rFonts w:ascii="Times New Roman" w:hAnsi="Times New Roman"/>
          <w:szCs w:val="24"/>
        </w:rPr>
        <w:t xml:space="preserve">early half of </w:t>
      </w:r>
      <w:r>
        <w:rPr>
          <w:rFonts w:ascii="Times New Roman" w:hAnsi="Times New Roman"/>
          <w:szCs w:val="24"/>
        </w:rPr>
        <w:t>dominant</w:t>
      </w:r>
      <w:r w:rsidRPr="00C7158D">
        <w:rPr>
          <w:rFonts w:ascii="Times New Roman" w:hAnsi="Times New Roman"/>
          <w:szCs w:val="24"/>
        </w:rPr>
        <w:t xml:space="preserve"> genera are the type genus of a family or subfamily. This is consistent with a simple model of morphological and phylogenetic diversification </w:t>
      </w:r>
      <w:r>
        <w:rPr>
          <w:rFonts w:ascii="Times New Roman" w:hAnsi="Times New Roman"/>
          <w:szCs w:val="24"/>
        </w:rPr>
        <w:t xml:space="preserve">and sampling. </w:t>
      </w:r>
    </w:p>
    <w:p w14:paraId="3D65BF7D" w14:textId="7E828E4B" w:rsidR="00B61B7A" w:rsidRPr="00834742" w:rsidRDefault="00B61B7A" w:rsidP="00B61B7A">
      <w:pPr>
        <w:spacing w:line="480" w:lineRule="auto"/>
        <w:outlineLvl w:val="0"/>
        <w:rPr>
          <w:rFonts w:ascii="Times New Roman" w:hAnsi="Times New Roman"/>
          <w:szCs w:val="24"/>
        </w:rPr>
      </w:pPr>
      <w:r w:rsidRPr="00627C16">
        <w:rPr>
          <w:rFonts w:ascii="Times New Roman" w:hAnsi="Times New Roman"/>
          <w:i/>
          <w:szCs w:val="24"/>
        </w:rPr>
        <w:t>Roy E. Plotnick</w:t>
      </w:r>
      <w:r>
        <w:rPr>
          <w:rFonts w:ascii="Times New Roman" w:hAnsi="Times New Roman"/>
          <w:i/>
          <w:szCs w:val="24"/>
        </w:rPr>
        <w:t>,</w:t>
      </w:r>
      <w:r w:rsidRPr="00627C16">
        <w:rPr>
          <w:rFonts w:ascii="Times New Roman" w:hAnsi="Times New Roman"/>
          <w:i/>
          <w:szCs w:val="24"/>
        </w:rPr>
        <w:t xml:space="preserve"> Earth and Environmental Sciences, University of Illinois at Chicago, 845 W.  Taylor St., Chicago, IL 60607 </w:t>
      </w:r>
      <w:r>
        <w:rPr>
          <w:rFonts w:ascii="Times New Roman" w:hAnsi="Times New Roman"/>
          <w:i/>
          <w:szCs w:val="24"/>
        </w:rPr>
        <w:t>U.S.A.,E</w:t>
      </w:r>
      <w:r w:rsidRPr="00627C16">
        <w:rPr>
          <w:rFonts w:ascii="Times New Roman" w:hAnsi="Times New Roman"/>
          <w:i/>
          <w:szCs w:val="24"/>
        </w:rPr>
        <w:t xml:space="preserve">-mail: </w:t>
      </w:r>
      <w:hyperlink r:id="rId8" w:tgtFrame="_blank" w:history="1">
        <w:r w:rsidRPr="00627C16">
          <w:rPr>
            <w:rStyle w:val="Hyperlink"/>
            <w:rFonts w:ascii="Times New Roman" w:hAnsi="Times New Roman"/>
            <w:i/>
            <w:szCs w:val="24"/>
          </w:rPr>
          <w:t>plotnick@uic.edu</w:t>
        </w:r>
      </w:hyperlink>
      <w:r w:rsidRPr="00627C16">
        <w:rPr>
          <w:rFonts w:ascii="Times New Roman" w:hAnsi="Times New Roman"/>
          <w:i/>
          <w:szCs w:val="24"/>
        </w:rPr>
        <w:t xml:space="preserve"> </w:t>
      </w:r>
      <w:r>
        <w:rPr>
          <w:rFonts w:ascii="Times New Roman" w:hAnsi="Times New Roman"/>
          <w:i/>
          <w:szCs w:val="24"/>
        </w:rPr>
        <w:t xml:space="preserve">and </w:t>
      </w:r>
      <w:r w:rsidRPr="00627C16">
        <w:rPr>
          <w:rFonts w:ascii="Times New Roman" w:hAnsi="Times New Roman"/>
          <w:i/>
          <w:szCs w:val="24"/>
        </w:rPr>
        <w:t>Peter Wagner Earth and Atmospheric Sciences &amp; School of Biological Sciences, University of Nebraska–Lincoln BESY 214, Lincoln, Nebraska, 68588-0340</w:t>
      </w:r>
      <w:r>
        <w:rPr>
          <w:rFonts w:ascii="Times New Roman" w:hAnsi="Times New Roman"/>
          <w:i/>
          <w:szCs w:val="24"/>
        </w:rPr>
        <w:t>, U.S.A.</w:t>
      </w:r>
      <w:r w:rsidRPr="00627C16">
        <w:rPr>
          <w:rFonts w:ascii="Times New Roman" w:hAnsi="Times New Roman"/>
          <w:i/>
          <w:szCs w:val="24"/>
        </w:rPr>
        <w:t xml:space="preserve"> </w:t>
      </w:r>
      <w:r>
        <w:rPr>
          <w:rFonts w:ascii="Times New Roman" w:hAnsi="Times New Roman"/>
          <w:i/>
          <w:szCs w:val="24"/>
        </w:rPr>
        <w:t>E-</w:t>
      </w:r>
      <w:r w:rsidRPr="00627C16">
        <w:rPr>
          <w:rFonts w:ascii="Times New Roman" w:hAnsi="Times New Roman"/>
          <w:i/>
          <w:szCs w:val="24"/>
        </w:rPr>
        <w:t>mail: peterjwagner@unl.edu</w:t>
      </w:r>
      <w:r w:rsidRPr="00627C16">
        <w:rPr>
          <w:rFonts w:ascii="Times New Roman" w:hAnsi="Times New Roman"/>
          <w:i/>
          <w:szCs w:val="24"/>
        </w:rPr>
        <w:br/>
      </w:r>
      <w:r w:rsidR="00834742">
        <w:t xml:space="preserve">Data available from the Dryad Digital Repository: </w:t>
      </w:r>
      <w:hyperlink r:id="rId9" w:history="1">
        <w:r w:rsidR="00834742">
          <w:rPr>
            <w:rStyle w:val="Hyperlink"/>
          </w:rPr>
          <w:t>https://doi.org/10.5061/dryad.8gd1653</w:t>
        </w:r>
      </w:hyperlink>
      <w:r w:rsidR="00834742">
        <w:t>.</w:t>
      </w:r>
    </w:p>
    <w:p w14:paraId="10CAB5E3" w14:textId="77777777" w:rsidR="00FF08E6" w:rsidRPr="00C7158D" w:rsidRDefault="00FF08E6" w:rsidP="008A66AD">
      <w:pPr>
        <w:spacing w:line="480" w:lineRule="auto"/>
        <w:jc w:val="center"/>
        <w:rPr>
          <w:rFonts w:ascii="Times New Roman" w:hAnsi="Times New Roman"/>
          <w:b/>
          <w:szCs w:val="24"/>
        </w:rPr>
      </w:pPr>
    </w:p>
    <w:p w14:paraId="4BB08394" w14:textId="77777777" w:rsidR="00FF08E6" w:rsidRPr="00503E2D" w:rsidRDefault="00FF08E6" w:rsidP="008A66AD">
      <w:pPr>
        <w:spacing w:line="480" w:lineRule="auto"/>
        <w:jc w:val="center"/>
        <w:rPr>
          <w:rFonts w:ascii="Times New Roman" w:hAnsi="Times New Roman"/>
          <w:b/>
          <w:szCs w:val="24"/>
        </w:rPr>
      </w:pPr>
      <w:r w:rsidRPr="00503E2D">
        <w:rPr>
          <w:rFonts w:ascii="Times New Roman" w:hAnsi="Times New Roman"/>
          <w:b/>
          <w:szCs w:val="24"/>
        </w:rPr>
        <w:lastRenderedPageBreak/>
        <w:t>Introduction</w:t>
      </w:r>
    </w:p>
    <w:p w14:paraId="4DB4B4DC" w14:textId="04ED455F" w:rsidR="00F97946" w:rsidRDefault="00FF08E6" w:rsidP="008A66AD">
      <w:pPr>
        <w:spacing w:line="480" w:lineRule="auto"/>
        <w:ind w:firstLine="360"/>
        <w:rPr>
          <w:rFonts w:ascii="Times New Roman" w:hAnsi="Times New Roman"/>
        </w:rPr>
      </w:pPr>
      <w:r w:rsidRPr="00503E2D">
        <w:rPr>
          <w:rFonts w:ascii="Times New Roman" w:hAnsi="Times New Roman"/>
          <w:szCs w:val="24"/>
        </w:rPr>
        <w:t xml:space="preserve"> </w:t>
      </w:r>
      <w:r w:rsidRPr="002346AE">
        <w:rPr>
          <w:rFonts w:ascii="Times New Roman" w:hAnsi="Times New Roman"/>
        </w:rPr>
        <w:t>A ubiquitous pattern in living and fossil data is the tendency for a small proportion of taxa to be abundant and for the overwhelming majority of taxa to be rare (</w:t>
      </w:r>
      <w:r w:rsidR="00C96371">
        <w:rPr>
          <w:rFonts w:ascii="Times New Roman" w:hAnsi="Times New Roman"/>
        </w:rPr>
        <w:fldChar w:fldCharType="begin"/>
      </w:r>
      <w:r w:rsidR="00C96371">
        <w:rPr>
          <w:rFonts w:ascii="Times New Roman" w:hAnsi="Times New Roman"/>
        </w:rPr>
        <w:instrText xml:space="preserve"> ADDIN EN.CITE &lt;EndNote&gt;&lt;Cite&gt;&lt;Author&gt;Gaston&lt;/Author&gt;&lt;Year&gt;2010&lt;/Year&gt;&lt;RecNum&gt;63&lt;/RecNum&gt;&lt;DisplayText&gt;Gaston 2010&lt;/DisplayText&gt;&lt;record&gt;&lt;rec-number&gt;63&lt;/rec-number&gt;&lt;foreign-keys&gt;&lt;key app="EN" db-id="r2savzrxwddstne9dvmp0wderfxdtarefrzr" timestamp="1509135553"&gt;63&lt;/key&gt;&lt;/foreign-keys&gt;&lt;ref-type name="Journal Article"&gt;17&lt;/ref-type&gt;&lt;contributors&gt;&lt;authors&gt;&lt;author&gt;Gaston, Kevin J.&lt;/author&gt;&lt;/authors&gt;&lt;/contributors&gt;&lt;titles&gt;&lt;title&gt;Valuing common species&lt;/title&gt;&lt;secondary-title&gt;Science&lt;/secondary-title&gt;&lt;/titles&gt;&lt;periodical&gt;&lt;full-title&gt;Science&lt;/full-title&gt;&lt;/periodical&gt;&lt;pages&gt;154-155&lt;/pages&gt;&lt;volume&gt;327&lt;/volume&gt;&lt;number&gt;5962&lt;/number&gt;&lt;section&gt;154&lt;/section&gt;&lt;dates&gt;&lt;year&gt;2010&lt;/year&gt;&lt;/dates&gt;&lt;urls&gt;&lt;related-urls&gt;&lt;url&gt;http://science.sciencemag.org/content/sci/327/5962/154.full.pdf&lt;/url&gt;&lt;/related-urls&gt;&lt;/urls&gt;&lt;electronic-resource-num&gt;10.1126/science.1182818&lt;/electronic-resource-num&gt;&lt;/record&gt;&lt;/Cite&gt;&lt;/EndNote&gt;</w:instrText>
      </w:r>
      <w:r w:rsidR="00C96371">
        <w:rPr>
          <w:rFonts w:ascii="Times New Roman" w:hAnsi="Times New Roman"/>
        </w:rPr>
        <w:fldChar w:fldCharType="separate"/>
      </w:r>
      <w:r w:rsidR="00C96371">
        <w:rPr>
          <w:rFonts w:ascii="Times New Roman" w:hAnsi="Times New Roman"/>
          <w:noProof/>
        </w:rPr>
        <w:t>Gaston 2010</w:t>
      </w:r>
      <w:r w:rsidR="00C96371">
        <w:rPr>
          <w:rFonts w:ascii="Times New Roman" w:hAnsi="Times New Roman"/>
        </w:rPr>
        <w:fldChar w:fldCharType="end"/>
      </w:r>
      <w:r w:rsidRPr="002346AE">
        <w:rPr>
          <w:rFonts w:ascii="Times New Roman" w:hAnsi="Times New Roman"/>
        </w:rPr>
        <w:t xml:space="preserve">; </w:t>
      </w:r>
      <w:r w:rsidR="00C96371">
        <w:fldChar w:fldCharType="begin">
          <w:fldData xml:space="preserve">PEVuZE5vdGU+PENpdGU+PEF1dGhvcj50ZXIgU3RlZWdlPC9BdXRob3I+PFllYXI+MjAxMzwvWWVh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</w:fldData>
        </w:fldChar>
      </w:r>
      <w:r w:rsidR="00C96371">
        <w:instrText xml:space="preserve"> ADDIN EN.CITE </w:instrText>
      </w:r>
      <w:r w:rsidR="00C96371">
        <w:fldChar w:fldCharType="begin">
          <w:fldData xml:space="preserve">PEVuZE5vdGU+PENpdGU+PEF1dGhvcj50ZXIgU3RlZWdlPC9BdXRob3I+PFllYXI+MjAxMzwvWWVh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</w:fldData>
        </w:fldChar>
      </w:r>
      <w:r w:rsidR="00C96371">
        <w:instrText xml:space="preserve"> ADDIN EN.CITE.DATA </w:instrText>
      </w:r>
      <w:r w:rsidR="00C96371">
        <w:fldChar w:fldCharType="end"/>
      </w:r>
      <w:r w:rsidR="00C96371">
        <w:fldChar w:fldCharType="separate"/>
      </w:r>
      <w:r w:rsidR="00C96371">
        <w:rPr>
          <w:noProof/>
        </w:rPr>
        <w:t>ter Steege et al. 2013</w:t>
      </w:r>
      <w:r w:rsidR="00C96371">
        <w:fldChar w:fldCharType="end"/>
      </w:r>
      <w:r w:rsidRPr="002346AE">
        <w:t xml:space="preserve">; </w:t>
      </w:r>
      <w:r w:rsidR="00C96371">
        <w:rPr>
          <w:rFonts w:ascii="Times New Roman" w:hAnsi="Times New Roman"/>
        </w:rPr>
        <w:fldChar w:fldCharType="begin">
          <w:fldData xml:space="preserve">PEVuZE5vdGU+PENpdGU+PEF1dGhvcj5SZWRkaW48L0F1dGhvcj48WWVhcj4yMDE1PC9ZZWFyPjxS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=
</w:fldData>
        </w:fldChar>
      </w:r>
      <w:r w:rsidR="00EA54AA">
        <w:rPr>
          <w:rFonts w:ascii="Times New Roman" w:hAnsi="Times New Roman"/>
        </w:rPr>
        <w:instrText xml:space="preserve"> ADDIN EN.CITE </w:instrText>
      </w:r>
      <w:r w:rsidR="00EA54AA">
        <w:rPr>
          <w:rFonts w:ascii="Times New Roman" w:hAnsi="Times New Roman"/>
        </w:rPr>
        <w:fldChar w:fldCharType="begin">
          <w:fldData xml:space="preserve">PEVuZE5vdGU+PENpdGU+PEF1dGhvcj5SZWRkaW48L0F1dGhvcj48WWVhcj4yMDE1PC9ZZWFyPjxS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=
</w:fldData>
        </w:fldChar>
      </w:r>
      <w:r w:rsidR="00EA54AA">
        <w:rPr>
          <w:rFonts w:ascii="Times New Roman" w:hAnsi="Times New Roman"/>
        </w:rPr>
        <w:instrText xml:space="preserve"> ADDIN EN.CITE.DATA </w:instrText>
      </w:r>
      <w:r w:rsidR="00EA54AA">
        <w:rPr>
          <w:rFonts w:ascii="Times New Roman" w:hAnsi="Times New Roman"/>
        </w:rPr>
      </w:r>
      <w:r w:rsidR="00EA54AA">
        <w:rPr>
          <w:rFonts w:ascii="Times New Roman" w:hAnsi="Times New Roman"/>
        </w:rPr>
        <w:fldChar w:fldCharType="end"/>
      </w:r>
      <w:r w:rsidR="00C96371">
        <w:rPr>
          <w:rFonts w:ascii="Times New Roman" w:hAnsi="Times New Roman"/>
        </w:rPr>
      </w:r>
      <w:r w:rsidR="00C96371">
        <w:rPr>
          <w:rFonts w:ascii="Times New Roman" w:hAnsi="Times New Roman"/>
        </w:rPr>
        <w:fldChar w:fldCharType="separate"/>
      </w:r>
      <w:r w:rsidR="00C96371">
        <w:rPr>
          <w:rFonts w:ascii="Times New Roman" w:hAnsi="Times New Roman"/>
          <w:noProof/>
        </w:rPr>
        <w:t>Reddin et al. 2015</w:t>
      </w:r>
      <w:r w:rsidR="00C96371">
        <w:rPr>
          <w:rFonts w:ascii="Times New Roman" w:hAnsi="Times New Roman"/>
        </w:rPr>
        <w:fldChar w:fldCharType="end"/>
      </w:r>
      <w:r w:rsidRPr="002346AE">
        <w:rPr>
          <w:rFonts w:ascii="Times New Roman" w:hAnsi="Times New Roman"/>
        </w:rPr>
        <w:t xml:space="preserve">; </w:t>
      </w:r>
      <w:r w:rsidR="00C96371">
        <w:rPr>
          <w:rFonts w:ascii="Times New Roman" w:hAnsi="Times New Roman"/>
        </w:rPr>
        <w:fldChar w:fldCharType="begin"/>
      </w:r>
      <w:r w:rsidR="00C96371">
        <w:rPr>
          <w:rFonts w:ascii="Times New Roman" w:hAnsi="Times New Roman"/>
        </w:rPr>
        <w:instrText xml:space="preserve"> ADDIN EN.CITE &lt;EndNote&gt;&lt;Cite&gt;&lt;Author&gt;Hannisdal&lt;/Author&gt;&lt;Year&gt;2017&lt;/Year&gt;&lt;RecNum&gt;75&lt;/RecNum&gt;&lt;DisplayText&gt;Hannisdal et al. 2017&lt;/DisplayText&gt;&lt;record&gt;&lt;rec-number&gt;75&lt;/rec-number&gt;&lt;foreign-keys&gt;&lt;key app="EN" db-id="r2savzrxwddstne9dvmp0wderfxdtarefrzr" timestamp="1509137644"&gt;75&lt;/key&gt;&lt;/foreign-keys&gt;&lt;ref-type name="Journal Article"&gt;17&lt;/ref-type&gt;&lt;contributors&gt;&lt;authors&gt;&lt;author&gt;Hannisdal, Bjarte&lt;/author&gt;&lt;author&gt;Haaga, Kristian Agasøster&lt;/author&gt;&lt;author&gt;Reitan, Trond&lt;/author&gt;&lt;author&gt;Diego, David&lt;/author&gt;&lt;author&gt;Liow, Lee Hsiang&lt;/author&gt;&lt;/authors&gt;&lt;/contributors&gt;&lt;titles&gt;&lt;title&gt;Common species link global ecosystems to climate change: dynamical evidence in the planktonic fossil record&lt;/title&gt;&lt;secondary-title&gt;Proceedings of the Royal Society B: Biological Sciences&lt;/secondary-title&gt;&lt;/titles&gt;&lt;periodical&gt;&lt;full-title&gt;Proceedings of the Royal Society B: Biological Sciences&lt;/full-title&gt;&lt;/periodical&gt;&lt;volume&gt;284&lt;/volume&gt;&lt;number&gt;1858&lt;/number&gt;&lt;edition&gt;2016/03/15&lt;/edition&gt;&lt;dates&gt;&lt;year&gt;2017&lt;/year&gt;&lt;pub-dates&gt;&lt;date&gt;2017/08/11&lt;/date&gt;&lt;/pub-dates&gt;&lt;/dates&gt;&lt;urls&gt;&lt;related-urls&gt;&lt;url&gt;http://rspb.royalsocietypublishing.org/content/royprsb/284/1858/20170722.full.pdf&lt;/url&gt;&lt;url&gt;http://dx.doi.org/10.1101/043729&lt;/url&gt;&lt;/related-urls&gt;&lt;/urls&gt;&lt;electronic-resource-num&gt;10.1098/rspb.2017.0722&lt;/electronic-resource-num&gt;&lt;/record&gt;&lt;/Cite&gt;&lt;/EndNote&gt;</w:instrText>
      </w:r>
      <w:r w:rsidR="00C96371">
        <w:rPr>
          <w:rFonts w:ascii="Times New Roman" w:hAnsi="Times New Roman"/>
        </w:rPr>
        <w:fldChar w:fldCharType="separate"/>
      </w:r>
      <w:r w:rsidR="00C96371">
        <w:rPr>
          <w:rFonts w:ascii="Times New Roman" w:hAnsi="Times New Roman"/>
          <w:noProof/>
        </w:rPr>
        <w:t>Hannisdal et al. 2017</w:t>
      </w:r>
      <w:r w:rsidR="00C96371">
        <w:rPr>
          <w:rFonts w:ascii="Times New Roman" w:hAnsi="Times New Roman"/>
        </w:rPr>
        <w:fldChar w:fldCharType="end"/>
      </w:r>
      <w:r w:rsidRPr="002346AE">
        <w:rPr>
          <w:rFonts w:ascii="Times New Roman" w:hAnsi="Times New Roman"/>
        </w:rPr>
        <w:t>).</w:t>
      </w:r>
      <w:r w:rsidRPr="00503E2D">
        <w:rPr>
          <w:rFonts w:ascii="Times New Roman" w:hAnsi="Times New Roman"/>
        </w:rPr>
        <w:t xml:space="preserve"> </w:t>
      </w:r>
      <w:r w:rsidRPr="00503E2D">
        <w:rPr>
          <w:rFonts w:ascii="Times New Roman" w:hAnsi="Times New Roman"/>
          <w:szCs w:val="24"/>
        </w:rPr>
        <w:t xml:space="preserve">McGill </w:t>
      </w:r>
      <w:r w:rsidRPr="00503E2D">
        <w:rPr>
          <w:rFonts w:ascii="Times New Roman" w:hAnsi="Times New Roman"/>
          <w:noProof/>
          <w:szCs w:val="24"/>
        </w:rPr>
        <w:t>(</w:t>
      </w:r>
      <w:r w:rsidR="00C96371">
        <w:rPr>
          <w:rFonts w:ascii="Times New Roman" w:hAnsi="Times New Roman"/>
          <w:noProof/>
          <w:szCs w:val="24"/>
        </w:rPr>
        <w:fldChar w:fldCharType="begin"/>
      </w:r>
      <w:r w:rsidR="00C96371">
        <w:rPr>
          <w:rFonts w:ascii="Times New Roman" w:hAnsi="Times New Roman"/>
          <w:noProof/>
          <w:szCs w:val="24"/>
        </w:rPr>
        <w:instrText xml:space="preserve"> ADDIN EN.CITE &lt;EndNote&gt;&lt;Cite ExcludeAuth="1"&gt;&lt;Author&gt;McGill&lt;/Author&gt;&lt;Year&gt;2006&lt;/Year&gt;&lt;RecNum&gt;22&lt;/RecNum&gt;&lt;DisplayText&gt;2006&lt;/DisplayText&gt;&lt;record&gt;&lt;rec-number&gt;22&lt;/rec-number&gt;&lt;foreign-keys&gt;&lt;key app="EN" db-id="r2savzrxwddstne9dvmp0wderfxdtarefrzr" timestamp="1493841983"&gt;22&lt;/key&gt;&lt;/foreign-keys&gt;&lt;ref-type name="Journal Article"&gt;17&lt;/ref-type&gt;&lt;contributors&gt;&lt;authors&gt;&lt;author&gt;McGill, Brian J.&lt;/author&gt;&lt;/authors&gt;&lt;/contributors&gt;&lt;titles&gt;&lt;title&gt;A renaissance in the study of abundance&lt;/title&gt;&lt;secondary-title&gt;Science&lt;/secondary-title&gt;&lt;/titles&gt;&lt;periodical&gt;&lt;full-title&gt;Science&lt;/full-title&gt;&lt;/periodical&gt;&lt;pages&gt;770-772&lt;/pages&gt;&lt;volume&gt;314&lt;/volume&gt;&lt;number&gt;5800&lt;/number&gt;&lt;section&gt;770&lt;/section&gt;&lt;dates&gt;&lt;year&gt;2006&lt;/year&gt;&lt;pub-dates&gt;&lt;date&gt;2006/11/03&lt;/date&gt;&lt;/pub-dates&gt;&lt;/dates&gt;&lt;urls&gt;&lt;related-urls&gt;&lt;url&gt;http://www.sciencemag.org/content/314/5800/770.short&lt;/url&gt;&lt;url&gt;http://www.sciencemag.org/content/314/5800/770.full.pdf&lt;/url&gt;&lt;/related-urls&gt;&lt;/urls&gt;&lt;electronic-resource-num&gt;10.1126/science.1134920&lt;/electronic-resource-num&gt;&lt;/record&gt;&lt;/Cite&gt;&lt;/EndNote&gt;</w:instrText>
      </w:r>
      <w:r w:rsidR="00C96371">
        <w:rPr>
          <w:rFonts w:ascii="Times New Roman" w:hAnsi="Times New Roman"/>
          <w:noProof/>
          <w:szCs w:val="24"/>
        </w:rPr>
        <w:fldChar w:fldCharType="separate"/>
      </w:r>
      <w:r w:rsidR="00C96371">
        <w:rPr>
          <w:rFonts w:ascii="Times New Roman" w:hAnsi="Times New Roman"/>
          <w:noProof/>
          <w:szCs w:val="24"/>
        </w:rPr>
        <w:t>2006</w:t>
      </w:r>
      <w:r w:rsidR="00C96371">
        <w:rPr>
          <w:rFonts w:ascii="Times New Roman" w:hAnsi="Times New Roman"/>
          <w:noProof/>
          <w:szCs w:val="24"/>
        </w:rPr>
        <w:fldChar w:fldCharType="end"/>
      </w:r>
      <w:r w:rsidRPr="00503E2D">
        <w:rPr>
          <w:rFonts w:ascii="Times New Roman" w:hAnsi="Times New Roman"/>
          <w:noProof/>
          <w:szCs w:val="24"/>
        </w:rPr>
        <w:t>)</w:t>
      </w:r>
      <w:r w:rsidRPr="00503E2D">
        <w:rPr>
          <w:rFonts w:ascii="Times New Roman" w:hAnsi="Times New Roman"/>
          <w:szCs w:val="24"/>
        </w:rPr>
        <w:t xml:space="preserve"> goes so far as to suggest that this </w:t>
      </w:r>
      <w:r>
        <w:rPr>
          <w:rFonts w:ascii="Times New Roman" w:hAnsi="Times New Roman"/>
          <w:szCs w:val="24"/>
        </w:rPr>
        <w:t xml:space="preserve">is </w:t>
      </w:r>
      <w:r w:rsidRPr="00503E2D">
        <w:rPr>
          <w:rFonts w:ascii="Times New Roman" w:hAnsi="Times New Roman"/>
          <w:szCs w:val="24"/>
        </w:rPr>
        <w:t xml:space="preserve">one of the few universal patterns in ecology. </w:t>
      </w:r>
      <w:r>
        <w:rPr>
          <w:rFonts w:ascii="Times New Roman" w:hAnsi="Times New Roman"/>
          <w:szCs w:val="24"/>
        </w:rPr>
        <w:t>As pointed out by Gaston (</w:t>
      </w:r>
      <w:r w:rsidR="00C96371">
        <w:rPr>
          <w:rFonts w:ascii="Times New Roman" w:hAnsi="Times New Roman"/>
        </w:rPr>
        <w:fldChar w:fldCharType="begin"/>
      </w:r>
      <w:r w:rsidR="00C96371">
        <w:rPr>
          <w:rFonts w:ascii="Times New Roman" w:hAnsi="Times New Roman"/>
        </w:rPr>
        <w:instrText xml:space="preserve"> ADDIN EN.CITE &lt;EndNote&gt;&lt;Cite ExcludeAuth="1"&gt;&lt;Author&gt;Gaston&lt;/Author&gt;&lt;Year&gt;2010&lt;/Year&gt;&lt;RecNum&gt;63&lt;/RecNum&gt;&lt;DisplayText&gt;2010&lt;/DisplayText&gt;&lt;record&gt;&lt;rec-number&gt;63&lt;/rec-number&gt;&lt;foreign-keys&gt;&lt;key app="EN" db-id="r2savzrxwddstne9dvmp0wderfxdtarefrzr" timestamp="1509135553"&gt;63&lt;/key&gt;&lt;/foreign-keys&gt;&lt;ref-type name="Journal Article"&gt;17&lt;/ref-type&gt;&lt;contributors&gt;&lt;authors&gt;&lt;author&gt;Gaston, Kevin J.&lt;/author&gt;&lt;/authors&gt;&lt;/contributors&gt;&lt;titles&gt;&lt;title&gt;Valuing common species&lt;/title&gt;&lt;secondary-title&gt;Science&lt;/secondary-title&gt;&lt;/titles&gt;&lt;periodical&gt;&lt;full-title&gt;Science&lt;/full-title&gt;&lt;/periodical&gt;&lt;pages&gt;154-155&lt;/pages&gt;&lt;volume&gt;327&lt;/volume&gt;&lt;number&gt;5962&lt;/number&gt;&lt;section&gt;154&lt;/section&gt;&lt;dates&gt;&lt;year&gt;2010&lt;/year&gt;&lt;/dates&gt;&lt;urls&gt;&lt;related-urls&gt;&lt;url&gt;http://science.sciencemag.org/content/sci/327/5962/154.full.pdf&lt;/url&gt;&lt;/related-urls&gt;&lt;/urls&gt;&lt;electronic-resource-num&gt;10.1126/science.1182818&lt;/electronic-resource-num&gt;&lt;/record&gt;&lt;/Cite&gt;&lt;/EndNote&gt;</w:instrText>
      </w:r>
      <w:r w:rsidR="00C96371">
        <w:rPr>
          <w:rFonts w:ascii="Times New Roman" w:hAnsi="Times New Roman"/>
        </w:rPr>
        <w:fldChar w:fldCharType="separate"/>
      </w:r>
      <w:r w:rsidR="00C96371">
        <w:rPr>
          <w:rFonts w:ascii="Times New Roman" w:hAnsi="Times New Roman"/>
          <w:noProof/>
        </w:rPr>
        <w:t>2010</w:t>
      </w:r>
      <w:r w:rsidR="00C96371">
        <w:rPr>
          <w:rFonts w:ascii="Times New Roman" w:hAnsi="Times New Roman"/>
        </w:rPr>
        <w:fldChar w:fldCharType="end"/>
      </w:r>
      <w:r>
        <w:rPr>
          <w:rFonts w:ascii="Times New Roman" w:hAnsi="Times New Roman"/>
          <w:szCs w:val="24"/>
        </w:rPr>
        <w:t xml:space="preserve">), </w:t>
      </w:r>
      <w:r w:rsidR="005F0BA9">
        <w:rPr>
          <w:rFonts w:ascii="Times New Roman" w:hAnsi="Times New Roman"/>
          <w:szCs w:val="24"/>
        </w:rPr>
        <w:t xml:space="preserve">although </w:t>
      </w:r>
      <w:r>
        <w:rPr>
          <w:rFonts w:ascii="Times New Roman" w:hAnsi="Times New Roman"/>
          <w:szCs w:val="24"/>
        </w:rPr>
        <w:t xml:space="preserve">abundant species comprise only a small fraction of the total richness in a community, </w:t>
      </w:r>
      <w:r w:rsidR="005F0BA9">
        <w:rPr>
          <w:rFonts w:ascii="Times New Roman" w:hAnsi="Times New Roman"/>
          <w:szCs w:val="24"/>
        </w:rPr>
        <w:t xml:space="preserve">they </w:t>
      </w:r>
      <w:r>
        <w:rPr>
          <w:rFonts w:ascii="Times New Roman" w:hAnsi="Times New Roman"/>
          <w:szCs w:val="24"/>
        </w:rPr>
        <w:t xml:space="preserve">are dominant components of both terrestrial and marine ecosystems, in terms of both biomass and energy. Dominant species </w:t>
      </w:r>
      <w:r w:rsidR="005F7FB4">
        <w:rPr>
          <w:rFonts w:ascii="Times New Roman" w:hAnsi="Times New Roman"/>
          <w:szCs w:val="24"/>
        </w:rPr>
        <w:t xml:space="preserve">within communities </w:t>
      </w:r>
      <w:r>
        <w:rPr>
          <w:rFonts w:ascii="Times New Roman" w:hAnsi="Times New Roman"/>
          <w:szCs w:val="24"/>
        </w:rPr>
        <w:t xml:space="preserve">thus greatly impact ecosystem function and potentially the survival of non-dominant species. In addition, there is a close relationship between global abundance and geographic distribution; widespread species also tend to be globally </w:t>
      </w:r>
      <w:r w:rsidR="00B5355E">
        <w:rPr>
          <w:rFonts w:ascii="Times New Roman" w:hAnsi="Times New Roman"/>
          <w:szCs w:val="24"/>
        </w:rPr>
        <w:t xml:space="preserve">and locally </w:t>
      </w:r>
      <w:r>
        <w:rPr>
          <w:rFonts w:ascii="Times New Roman" w:hAnsi="Times New Roman"/>
          <w:szCs w:val="24"/>
        </w:rPr>
        <w:t>abundant</w:t>
      </w:r>
      <w:r w:rsidR="00B5355E">
        <w:rPr>
          <w:rFonts w:ascii="Times New Roman" w:hAnsi="Times New Roman"/>
          <w:szCs w:val="24"/>
        </w:rPr>
        <w:t xml:space="preserve"> (</w:t>
      </w:r>
      <w:r w:rsidR="00B05FFA">
        <w:rPr>
          <w:rFonts w:ascii="Times New Roman" w:hAnsi="Times New Roman"/>
          <w:szCs w:val="24"/>
        </w:rPr>
        <w:fldChar w:fldCharType="begin"/>
      </w:r>
      <w:r w:rsidR="00EA54AA">
        <w:rPr>
          <w:rFonts w:ascii="Times New Roman" w:hAnsi="Times New Roman"/>
          <w:szCs w:val="24"/>
        </w:rPr>
        <w:instrText xml:space="preserve"> ADDIN EN.CITE &lt;EndNote&gt;&lt;Cite&gt;&lt;Author&gt;Steenweg&lt;/Author&gt;&lt;Year&gt;2018&lt;/Year&gt;&lt;RecNum&gt;25242&lt;/RecNum&gt;&lt;DisplayText&gt;Steenweg et al. 2018&lt;/DisplayText&gt;&lt;record&gt;&lt;rec-number&gt;25242&lt;/rec-number&gt;&lt;foreign-keys&gt;&lt;key app="EN" db-id="wz00v599a2zpv4etvzgv2e93052sszxwve5v" timestamp="1516142654"&gt;25242&lt;/key&gt;&lt;/foreign-keys&gt;&lt;ref-type name="Journal Article"&gt;17&lt;/ref-type&gt;&lt;contributors&gt;&lt;authors&gt;&lt;author&gt;Steenweg, Robin&lt;/author&gt;&lt;author&gt;Hebblewhite, Mark&lt;/author&gt;&lt;author&gt;Whittington, Jesse&lt;/author&gt;&lt;author&gt;Lukacs, Paul&lt;/author&gt;&lt;author&gt;McKelvey, Kevin&lt;/author&gt;&lt;/authors&gt;&lt;/contributors&gt;&lt;titles&gt;&lt;title&gt;Sampling scales define occupancy and underlying occupancy–abundance relationships in animals&lt;/title&gt;&lt;secondary-title&gt;Ecology&lt;/secondary-title&gt;&lt;/titles&gt;&lt;periodical&gt;&lt;full-title&gt;Ecology&lt;/full-title&gt;&lt;/periodical&gt;&lt;pages&gt;172-183&lt;/pages&gt;&lt;volume&gt;99&lt;/volume&gt;&lt;number&gt;1&lt;/number&gt;&lt;keywords&gt;&lt;keyword&gt;abundance–occupancy&lt;/keyword&gt;&lt;keyword&gt;distribution–abundance&lt;/keyword&gt;&lt;keyword&gt;large mammals&lt;/keyword&gt;&lt;keyword&gt;mobile organisms&lt;/keyword&gt;&lt;keyword&gt;occupancy models&lt;/keyword&gt;&lt;keyword&gt;sampling&lt;/keyword&gt;&lt;keyword&gt;scale&lt;/keyword&gt;&lt;/keywords&gt;&lt;dates&gt;&lt;year&gt;2018&lt;/year&gt;&lt;/dates&gt;&lt;isbn&gt;1939-9170&lt;/isbn&gt;&lt;urls&gt;&lt;related-urls&gt;&lt;url&gt;http://dx.doi.org/10.1002/ecy.2054&lt;/url&gt;&lt;/related-urls&gt;&lt;/urls&gt;&lt;electronic-resource-num&gt;10.1002/ecy.2054&lt;/electronic-resource-num&gt;&lt;/record&gt;&lt;/Cite&gt;&lt;/EndNote&gt;</w:instrText>
      </w:r>
      <w:r w:rsidR="00B05FFA">
        <w:rPr>
          <w:rFonts w:ascii="Times New Roman" w:hAnsi="Times New Roman"/>
          <w:szCs w:val="24"/>
        </w:rPr>
        <w:fldChar w:fldCharType="separate"/>
      </w:r>
      <w:r w:rsidR="00B05FFA">
        <w:rPr>
          <w:rFonts w:ascii="Times New Roman" w:hAnsi="Times New Roman"/>
          <w:noProof/>
          <w:szCs w:val="24"/>
        </w:rPr>
        <w:t>Steenweg et al. 2018</w:t>
      </w:r>
      <w:r w:rsidR="00B05FFA">
        <w:rPr>
          <w:rFonts w:ascii="Times New Roman" w:hAnsi="Times New Roman"/>
          <w:szCs w:val="24"/>
        </w:rPr>
        <w:fldChar w:fldCharType="end"/>
      </w:r>
      <w:r w:rsidR="00B5355E">
        <w:rPr>
          <w:rFonts w:ascii="Times New Roman" w:hAnsi="Times New Roman"/>
          <w:szCs w:val="24"/>
        </w:rPr>
        <w:t>)</w:t>
      </w:r>
      <w:r>
        <w:rPr>
          <w:rFonts w:ascii="Times New Roman" w:hAnsi="Times New Roman"/>
          <w:szCs w:val="24"/>
        </w:rPr>
        <w:t>, although the association between local abundance and range is weaker (</w:t>
      </w:r>
      <w:r w:rsidR="00270930">
        <w:rPr>
          <w:rFonts w:ascii="Times New Roman" w:hAnsi="Times New Roman"/>
          <w:szCs w:val="24"/>
        </w:rPr>
        <w:fldChar w:fldCharType="begin"/>
      </w:r>
      <w:r w:rsidR="00EA54AA">
        <w:rPr>
          <w:rFonts w:ascii="Times New Roman" w:hAnsi="Times New Roman"/>
          <w:szCs w:val="24"/>
        </w:rPr>
        <w:instrText xml:space="preserve"> ADDIN EN.CITE &lt;EndNote&gt;&lt;Cite&gt;&lt;Author&gt;Bell&lt;/Author&gt;&lt;Year&gt;2001&lt;/Year&gt;&lt;RecNum&gt;25001&lt;/RecNum&gt;&lt;DisplayText&gt;Bell 2001&lt;/DisplayText&gt;&lt;record&gt;&lt;rec-number&gt;25001&lt;/rec-number&gt;&lt;foreign-keys&gt;&lt;key app="EN" db-id="wz00v599a2zpv4etvzgv2e93052sszxwve5v" timestamp="1503081341"&gt;25001&lt;/key&gt;&lt;/foreign-keys&gt;&lt;ref-type name="Journal Article"&gt;17&lt;/ref-type&gt;&lt;contributors&gt;&lt;authors&gt;&lt;author&gt;Bell, Graham&lt;/author&gt;&lt;/authors&gt;&lt;/contributors&gt;&lt;titles&gt;&lt;title&gt;Neutral Macroecology&lt;/title&gt;&lt;secondary-title&gt;Science&lt;/secondary-title&gt;&lt;/titles&gt;&lt;periodical&gt;&lt;full-title&gt;Science&lt;/full-title&gt;&lt;/periodical&gt;&lt;pages&gt;2413-2418&lt;/pages&gt;&lt;volume&gt;293&lt;/volume&gt;&lt;number&gt;5539&lt;/number&gt;&lt;dates&gt;&lt;year&gt;2001&lt;/year&gt;&lt;/dates&gt;&lt;urls&gt;&lt;/urls&gt;&lt;electronic-resource-num&gt;10.1126/science.293.5539.2413&lt;/electronic-resource-num&gt;&lt;/record&gt;&lt;/Cite&gt;&lt;/EndNote&gt;</w:instrText>
      </w:r>
      <w:r w:rsidR="00270930">
        <w:rPr>
          <w:rFonts w:ascii="Times New Roman" w:hAnsi="Times New Roman"/>
          <w:szCs w:val="24"/>
        </w:rPr>
        <w:fldChar w:fldCharType="separate"/>
      </w:r>
      <w:r w:rsidR="00270930">
        <w:rPr>
          <w:rFonts w:ascii="Times New Roman" w:hAnsi="Times New Roman"/>
          <w:noProof/>
          <w:szCs w:val="24"/>
        </w:rPr>
        <w:t>Bell 2001</w:t>
      </w:r>
      <w:r w:rsidR="00270930">
        <w:rPr>
          <w:rFonts w:ascii="Times New Roman" w:hAnsi="Times New Roman"/>
          <w:szCs w:val="24"/>
        </w:rPr>
        <w:fldChar w:fldCharType="end"/>
      </w:r>
      <w:r>
        <w:rPr>
          <w:rFonts w:ascii="Times New Roman" w:hAnsi="Times New Roman"/>
          <w:szCs w:val="24"/>
        </w:rPr>
        <w:t xml:space="preserve">; </w:t>
      </w:r>
      <w:r w:rsidR="00C96371">
        <w:rPr>
          <w:rFonts w:ascii="Times New Roman" w:hAnsi="Times New Roman"/>
          <w:szCs w:val="24"/>
        </w:rPr>
        <w:fldChar w:fldCharType="begin"/>
      </w:r>
      <w:r w:rsidR="00C96371">
        <w:rPr>
          <w:rFonts w:ascii="Times New Roman" w:hAnsi="Times New Roman"/>
          <w:szCs w:val="24"/>
        </w:rPr>
        <w:instrText xml:space="preserve"> ADDIN EN.CITE &lt;EndNote&gt;&lt;Cite&gt;&lt;Author&gt;Hannisdal&lt;/Author&gt;&lt;Year&gt;2017&lt;/Year&gt;&lt;RecNum&gt;75&lt;/RecNum&gt;&lt;DisplayText&gt;Hannisdal et al. 2017&lt;/DisplayText&gt;&lt;record&gt;&lt;rec-number&gt;75&lt;/rec-number&gt;&lt;foreign-keys&gt;&lt;key app="EN" db-id="r2savzrxwddstne9dvmp0wderfxdtarefrzr" timestamp="1509137644"&gt;75&lt;/key&gt;&lt;/foreign-keys&gt;&lt;ref-type name="Journal Article"&gt;17&lt;/ref-type&gt;&lt;contributors&gt;&lt;authors&gt;&lt;author&gt;Hannisdal, Bjarte&lt;/author&gt;&lt;author&gt;Haaga, Kristian Agasøster&lt;/author&gt;&lt;author&gt;Reitan, Trond&lt;/author&gt;&lt;author&gt;Diego, David&lt;/author&gt;&lt;author&gt;Liow, Lee Hsiang&lt;/author&gt;&lt;/authors&gt;&lt;/contributors&gt;&lt;titles&gt;&lt;title&gt;Common species link global ecosystems to climate change: dynamical evidence in the planktonic fossil record&lt;/title&gt;&lt;secondary-title&gt;Proceedings of the Royal Society B: Biological Sciences&lt;/secondary-title&gt;&lt;/titles&gt;&lt;periodical&gt;&lt;full-title&gt;Proceedings of the Royal Society B: Biological Sciences&lt;/full-title&gt;&lt;/periodical&gt;&lt;volume&gt;284&lt;/volume&gt;&lt;number&gt;1858&lt;/number&gt;&lt;edition&gt;2016/03/15&lt;/edition&gt;&lt;dates&gt;&lt;year&gt;2017&lt;/year&gt;&lt;pub-dates&gt;&lt;date&gt;2017/08/11&lt;/date&gt;&lt;/pub-dates&gt;&lt;/dates&gt;&lt;urls&gt;&lt;related-urls&gt;&lt;url&gt;http://rspb.royalsocietypublishing.org/content/royprsb/284/1858/20170722.full.pdf&lt;/url&gt;&lt;url&gt;http://dx.doi.org/10.1101/043729&lt;/url&gt;&lt;/related-urls&gt;&lt;/urls&gt;&lt;electronic-resource-num&gt;10.1098/rspb.2017.0722&lt;/electronic-resource-num&gt;&lt;/record&gt;&lt;/Cite&gt;&lt;/EndNote&gt;</w:instrText>
      </w:r>
      <w:r w:rsidR="00C96371">
        <w:rPr>
          <w:rFonts w:ascii="Times New Roman" w:hAnsi="Times New Roman"/>
          <w:szCs w:val="24"/>
        </w:rPr>
        <w:fldChar w:fldCharType="separate"/>
      </w:r>
      <w:r w:rsidR="00C96371">
        <w:rPr>
          <w:rFonts w:ascii="Times New Roman" w:hAnsi="Times New Roman"/>
          <w:noProof/>
          <w:szCs w:val="24"/>
        </w:rPr>
        <w:t>Hannisdal et al. 2017</w:t>
      </w:r>
      <w:r w:rsidR="00C96371">
        <w:rPr>
          <w:rFonts w:ascii="Times New Roman" w:hAnsi="Times New Roman"/>
          <w:szCs w:val="24"/>
        </w:rPr>
        <w:fldChar w:fldCharType="end"/>
      </w:r>
      <w:r>
        <w:rPr>
          <w:rFonts w:ascii="Times New Roman" w:hAnsi="Times New Roman"/>
          <w:szCs w:val="24"/>
        </w:rPr>
        <w:t xml:space="preserve">). </w:t>
      </w:r>
      <w:r w:rsidR="00C96371">
        <w:rPr>
          <w:rFonts w:ascii="Times New Roman" w:hAnsi="Times New Roman"/>
          <w:szCs w:val="24"/>
        </w:rPr>
        <w:t>Gaston (</w:t>
      </w:r>
      <w:r w:rsidR="00C96371">
        <w:rPr>
          <w:rFonts w:ascii="Times New Roman" w:hAnsi="Times New Roman"/>
        </w:rPr>
        <w:fldChar w:fldCharType="begin"/>
      </w:r>
      <w:r w:rsidR="00C96371">
        <w:rPr>
          <w:rFonts w:ascii="Times New Roman" w:hAnsi="Times New Roman"/>
        </w:rPr>
        <w:instrText xml:space="preserve"> ADDIN EN.CITE &lt;EndNote&gt;&lt;Cite ExcludeAuth="1"&gt;&lt;Author&gt;Gaston&lt;/Author&gt;&lt;Year&gt;2010&lt;/Year&gt;&lt;RecNum&gt;63&lt;/RecNum&gt;&lt;DisplayText&gt;2010&lt;/DisplayText&gt;&lt;record&gt;&lt;rec-number&gt;63&lt;/rec-number&gt;&lt;foreign-keys&gt;&lt;key app="EN" db-id="r2savzrxwddstne9dvmp0wderfxdtarefrzr" timestamp="1509135553"&gt;63&lt;/key&gt;&lt;/foreign-keys&gt;&lt;ref-type name="Journal Article"&gt;17&lt;/ref-type&gt;&lt;contributors&gt;&lt;authors&gt;&lt;author&gt;Gaston, Kevin J.&lt;/author&gt;&lt;/authors&gt;&lt;/contributors&gt;&lt;titles&gt;&lt;title&gt;Valuing common species&lt;/title&gt;&lt;secondary-title&gt;Science&lt;/secondary-title&gt;&lt;/titles&gt;&lt;periodical&gt;&lt;full-title&gt;Science&lt;/full-title&gt;&lt;/periodical&gt;&lt;pages&gt;154-155&lt;/pages&gt;&lt;volume&gt;327&lt;/volume&gt;&lt;number&gt;5962&lt;/number&gt;&lt;section&gt;154&lt;/section&gt;&lt;dates&gt;&lt;year&gt;2010&lt;/year&gt;&lt;/dates&gt;&lt;urls&gt;&lt;related-urls&gt;&lt;url&gt;http://science.sciencemag.org/content/sci/327/5962/154.full.pdf&lt;/url&gt;&lt;/related-urls&gt;&lt;/urls&gt;&lt;electronic-resource-num&gt;10.1126/science.1182818&lt;/electronic-resource-num&gt;&lt;/record&gt;&lt;/Cite&gt;&lt;/EndNote&gt;</w:instrText>
      </w:r>
      <w:r w:rsidR="00C96371">
        <w:rPr>
          <w:rFonts w:ascii="Times New Roman" w:hAnsi="Times New Roman"/>
        </w:rPr>
        <w:fldChar w:fldCharType="separate"/>
      </w:r>
      <w:r w:rsidR="00C96371">
        <w:rPr>
          <w:rFonts w:ascii="Times New Roman" w:hAnsi="Times New Roman"/>
          <w:noProof/>
        </w:rPr>
        <w:t>2010</w:t>
      </w:r>
      <w:r w:rsidR="00C96371">
        <w:rPr>
          <w:rFonts w:ascii="Times New Roman" w:hAnsi="Times New Roman"/>
        </w:rPr>
        <w:fldChar w:fldCharType="end"/>
      </w:r>
      <w:r w:rsidR="00C96371">
        <w:rPr>
          <w:rFonts w:ascii="Times New Roman" w:hAnsi="Times New Roman"/>
          <w:szCs w:val="24"/>
        </w:rPr>
        <w:t>)</w:t>
      </w:r>
      <w:r>
        <w:rPr>
          <w:rFonts w:ascii="Times New Roman" w:hAnsi="Times New Roman"/>
          <w:szCs w:val="24"/>
        </w:rPr>
        <w:t xml:space="preserve"> referred to species that were both abundant and widespread as </w:t>
      </w:r>
      <w:r w:rsidRPr="004933C4">
        <w:rPr>
          <w:rFonts w:ascii="Times New Roman" w:hAnsi="Times New Roman"/>
          <w:i/>
          <w:szCs w:val="24"/>
        </w:rPr>
        <w:t>naturally common</w:t>
      </w:r>
      <w:r w:rsidR="00F230EE">
        <w:rPr>
          <w:rFonts w:ascii="Times New Roman" w:hAnsi="Times New Roman"/>
          <w:szCs w:val="24"/>
        </w:rPr>
        <w:t xml:space="preserve">. </w:t>
      </w:r>
      <w:r>
        <w:rPr>
          <w:rFonts w:ascii="Times New Roman" w:hAnsi="Times New Roman"/>
          <w:szCs w:val="24"/>
        </w:rPr>
        <w:t>Widespread species, since they are frequently recorded, also tend to drive patterns in species richness (</w:t>
      </w:r>
      <w:r w:rsidR="00C96371">
        <w:rPr>
          <w:rFonts w:ascii="Times New Roman" w:hAnsi="Times New Roman"/>
          <w:szCs w:val="24"/>
        </w:rPr>
        <w:fldChar w:fldCharType="begin">
          <w:fldData xml:space="preserve">PEVuZE5vdGU+PENpdGU+PEF1dGhvcj5SZWRkaW48L0F1dGhvcj48WWVhcj4yMDE1PC9ZZWFyPjxS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=
</w:fldData>
        </w:fldChar>
      </w:r>
      <w:r w:rsidR="00EA54AA">
        <w:rPr>
          <w:rFonts w:ascii="Times New Roman" w:hAnsi="Times New Roman"/>
          <w:szCs w:val="24"/>
        </w:rPr>
        <w:instrText xml:space="preserve"> ADDIN EN.CITE </w:instrText>
      </w:r>
      <w:r w:rsidR="00EA54AA">
        <w:rPr>
          <w:rFonts w:ascii="Times New Roman" w:hAnsi="Times New Roman"/>
          <w:szCs w:val="24"/>
        </w:rPr>
        <w:fldChar w:fldCharType="begin">
          <w:fldData xml:space="preserve">PEVuZE5vdGU+PENpdGU+PEF1dGhvcj5SZWRkaW48L0F1dGhvcj48WWVhcj4yMDE1PC9ZZWFyPjxS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=
</w:fldData>
        </w:fldChar>
      </w:r>
      <w:r w:rsidR="00EA54AA">
        <w:rPr>
          <w:rFonts w:ascii="Times New Roman" w:hAnsi="Times New Roman"/>
          <w:szCs w:val="24"/>
        </w:rPr>
        <w:instrText xml:space="preserve"> ADDIN EN.CITE.DATA </w:instrText>
      </w:r>
      <w:r w:rsidR="00EA54AA">
        <w:rPr>
          <w:rFonts w:ascii="Times New Roman" w:hAnsi="Times New Roman"/>
          <w:szCs w:val="24"/>
        </w:rPr>
      </w:r>
      <w:r w:rsidR="00EA54AA">
        <w:rPr>
          <w:rFonts w:ascii="Times New Roman" w:hAnsi="Times New Roman"/>
          <w:szCs w:val="24"/>
        </w:rPr>
        <w:fldChar w:fldCharType="end"/>
      </w:r>
      <w:r w:rsidR="00C96371">
        <w:rPr>
          <w:rFonts w:ascii="Times New Roman" w:hAnsi="Times New Roman"/>
          <w:szCs w:val="24"/>
        </w:rPr>
      </w:r>
      <w:r w:rsidR="00C96371">
        <w:rPr>
          <w:rFonts w:ascii="Times New Roman" w:hAnsi="Times New Roman"/>
          <w:szCs w:val="24"/>
        </w:rPr>
        <w:fldChar w:fldCharType="separate"/>
      </w:r>
      <w:r w:rsidR="00C96371">
        <w:rPr>
          <w:rFonts w:ascii="Times New Roman" w:hAnsi="Times New Roman"/>
          <w:noProof/>
          <w:szCs w:val="24"/>
        </w:rPr>
        <w:t>Reddin et al. 2015</w:t>
      </w:r>
      <w:r w:rsidR="00C96371">
        <w:rPr>
          <w:rFonts w:ascii="Times New Roman" w:hAnsi="Times New Roman"/>
          <w:szCs w:val="24"/>
        </w:rPr>
        <w:fldChar w:fldCharType="end"/>
      </w:r>
      <w:r>
        <w:rPr>
          <w:rFonts w:ascii="Times New Roman" w:hAnsi="Times New Roman"/>
          <w:szCs w:val="24"/>
        </w:rPr>
        <w:t xml:space="preserve">). </w:t>
      </w:r>
      <w:r>
        <w:rPr>
          <w:rFonts w:ascii="Times New Roman" w:hAnsi="Times New Roman"/>
        </w:rPr>
        <w:t>How prevalent a taxon is in within a larger metacommunity probably has large effects on local community construction rules (</w:t>
      </w:r>
      <w:r w:rsidR="001805DB">
        <w:rPr>
          <w:rFonts w:ascii="Times New Roman" w:hAnsi="Times New Roman"/>
          <w:noProof/>
        </w:rPr>
        <w:fldChar w:fldCharType="begin"/>
      </w:r>
      <w:r w:rsidR="001805DB">
        <w:rPr>
          <w:rFonts w:ascii="Times New Roman" w:hAnsi="Times New Roman"/>
          <w:noProof/>
        </w:rPr>
        <w:instrText xml:space="preserve"> ADDIN EN.CITE &lt;EndNote&gt;&lt;Cite&gt;&lt;Author&gt;Hubbell&lt;/Author&gt;&lt;Year&gt;1997&lt;/Year&gt;&lt;RecNum&gt;14&lt;/RecNum&gt;&lt;DisplayText&gt;Hubbell 1997&lt;/DisplayText&gt;&lt;record&gt;&lt;rec-number&gt;14&lt;/rec-number&gt;&lt;foreign-keys&gt;&lt;key app="EN" db-id="r2savzrxwddstne9dvmp0wderfxdtarefrzr" timestamp="1493841983"&gt;14&lt;/key&gt;&lt;/foreign-keys&gt;&lt;ref-type name="Journal Article"&gt;17&lt;/ref-type&gt;&lt;contributors&gt;&lt;authors&gt;&lt;author&gt;Stephen P. Hubbell&lt;/author&gt;&lt;/authors&gt;&lt;/contributors&gt;&lt;titles&gt;&lt;title&gt;A unified theory of biogeography and relative species abundance and its application to tropical rain forests and coral reefs&lt;/title&gt;&lt;secondary-title&gt;Coral Reefs&lt;/secondary-title&gt;&lt;/titles&gt;&lt;periodical&gt;&lt;full-title&gt;Coral Reefs&lt;/full-title&gt;&lt;/periodical&gt;&lt;pages&gt;S9 - S21&lt;/pages&gt;&lt;volume&gt;16 Supplemental&lt;/volume&gt;&lt;section&gt;S9&lt;/section&gt;&lt;dates&gt;&lt;year&gt;1997&lt;/year&gt;&lt;pub-dates&gt;&lt;date&gt;&lt;style face="normal" font="default" size="100%"&gt;1997&lt;/style&gt;&lt;style face="normal" font="default" size="12"&gt;/&lt;/style&gt;&lt;style face="normal" font="default" size="100%"&gt;06&lt;/style&gt;&lt;/date&gt;&lt;/pub-dates&gt;&lt;/dates&gt;&lt;urls&gt;&lt;/urls&gt;&lt;/record&gt;&lt;/Cite&gt;&lt;/EndNote&gt;</w:instrText>
      </w:r>
      <w:r w:rsidR="001805DB">
        <w:rPr>
          <w:rFonts w:ascii="Times New Roman" w:hAnsi="Times New Roman"/>
          <w:noProof/>
        </w:rPr>
        <w:fldChar w:fldCharType="separate"/>
      </w:r>
      <w:r w:rsidR="001805DB">
        <w:rPr>
          <w:rFonts w:ascii="Times New Roman" w:hAnsi="Times New Roman"/>
          <w:noProof/>
        </w:rPr>
        <w:t>Hubbell 1997</w:t>
      </w:r>
      <w:r w:rsidR="001805DB">
        <w:rPr>
          <w:rFonts w:ascii="Times New Roman" w:hAnsi="Times New Roman"/>
          <w:noProof/>
        </w:rPr>
        <w:fldChar w:fldCharType="end"/>
      </w:r>
      <w:r>
        <w:rPr>
          <w:rFonts w:ascii="Times New Roman" w:hAnsi="Times New Roman"/>
        </w:rPr>
        <w:t>) and might affect expected extinction risk (</w:t>
      </w:r>
      <w:r w:rsidR="00685B4D">
        <w:rPr>
          <w:rFonts w:ascii="Times New Roman" w:hAnsi="Times New Roman"/>
          <w:noProof/>
        </w:rPr>
        <w:fldChar w:fldCharType="begin">
          <w:fldData xml:space="preserve">PEVuZE5vdGU+PENpdGU+PEF1dGhvcj5Tb2xvdzwvQXV0aG9yPjxZZWFyPjE5OTM8L1llYXI+PFJl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</w:fldData>
        </w:fldChar>
      </w:r>
      <w:r w:rsidR="00685B4D">
        <w:rPr>
          <w:rFonts w:ascii="Times New Roman" w:hAnsi="Times New Roman"/>
          <w:noProof/>
        </w:rPr>
        <w:instrText xml:space="preserve"> ADDIN EN.CITE </w:instrText>
      </w:r>
      <w:r w:rsidR="00685B4D">
        <w:rPr>
          <w:rFonts w:ascii="Times New Roman" w:hAnsi="Times New Roman"/>
          <w:noProof/>
        </w:rPr>
        <w:fldChar w:fldCharType="begin">
          <w:fldData xml:space="preserve">PEVuZE5vdGU+PENpdGU+PEF1dGhvcj5Tb2xvdzwvQXV0aG9yPjxZZWFyPjE5OTM8L1llYXI+PFJl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</w:fldData>
        </w:fldChar>
      </w:r>
      <w:r w:rsidR="00685B4D">
        <w:rPr>
          <w:rFonts w:ascii="Times New Roman" w:hAnsi="Times New Roman"/>
          <w:noProof/>
        </w:rPr>
        <w:instrText xml:space="preserve"> ADDIN EN.CITE.DATA </w:instrText>
      </w:r>
      <w:r w:rsidR="00685B4D">
        <w:rPr>
          <w:rFonts w:ascii="Times New Roman" w:hAnsi="Times New Roman"/>
          <w:noProof/>
        </w:rPr>
      </w:r>
      <w:r w:rsidR="00685B4D">
        <w:rPr>
          <w:rFonts w:ascii="Times New Roman" w:hAnsi="Times New Roman"/>
          <w:noProof/>
        </w:rPr>
        <w:fldChar w:fldCharType="end"/>
      </w:r>
      <w:r w:rsidR="00685B4D">
        <w:rPr>
          <w:rFonts w:ascii="Times New Roman" w:hAnsi="Times New Roman"/>
          <w:noProof/>
        </w:rPr>
      </w:r>
      <w:r w:rsidR="00685B4D">
        <w:rPr>
          <w:rFonts w:ascii="Times New Roman" w:hAnsi="Times New Roman"/>
          <w:noProof/>
        </w:rPr>
        <w:fldChar w:fldCharType="separate"/>
      </w:r>
      <w:r w:rsidR="00685B4D">
        <w:rPr>
          <w:rFonts w:ascii="Times New Roman" w:hAnsi="Times New Roman"/>
          <w:noProof/>
        </w:rPr>
        <w:t>Solow 1993, 2005</w:t>
      </w:r>
      <w:r w:rsidR="00685B4D">
        <w:rPr>
          <w:rFonts w:ascii="Times New Roman" w:hAnsi="Times New Roman"/>
          <w:noProof/>
        </w:rPr>
        <w:fldChar w:fldCharType="end"/>
      </w:r>
      <w:r>
        <w:rPr>
          <w:rFonts w:ascii="Times New Roman" w:hAnsi="Times New Roman"/>
        </w:rPr>
        <w:t>) or speciation potential (</w:t>
      </w:r>
      <w:r w:rsidR="006B4F10">
        <w:rPr>
          <w:rFonts w:ascii="Times New Roman" w:hAnsi="Times New Roman"/>
          <w:noProof/>
        </w:rPr>
        <w:fldChar w:fldCharType="begin"/>
      </w:r>
      <w:r w:rsidR="006B4F10">
        <w:rPr>
          <w:rFonts w:ascii="Times New Roman" w:hAnsi="Times New Roman"/>
          <w:noProof/>
        </w:rPr>
        <w:instrText xml:space="preserve"> ADDIN EN.CITE &lt;EndNote&gt;&lt;Cite&gt;&lt;Author&gt;Etienne&lt;/Author&gt;&lt;Year&gt;2007&lt;/Year&gt;&lt;RecNum&gt;9&lt;/RecNum&gt;&lt;DisplayText&gt;Etienne 2007&lt;/DisplayText&gt;&lt;record&gt;&lt;rec-number&gt;9&lt;/rec-number&gt;&lt;foreign-keys&gt;&lt;key app="EN" db-id="r2savzrxwddstne9dvmp0wderfxdtarefrzr" timestamp="1493841983"&gt;9&lt;/key&gt;&lt;/foreign-keys&gt;&lt;ref-type name="Journal Article"&gt;17&lt;/ref-type&gt;&lt;contributors&gt;&lt;authors&gt;&lt;author&gt;Etienne, Rampal S.&lt;/author&gt;&lt;/authors&gt;&lt;/contributors&gt;&lt;titles&gt;&lt;title&gt;A neutral sampling formula for multiple samples and an ‘exact’ test of neutrality&lt;/title&gt;&lt;secondary-title&gt;Ecology Letters&lt;/secondary-title&gt;&lt;/titles&gt;&lt;periodical&gt;&lt;full-title&gt;Ecology Letters&lt;/full-title&gt;&lt;/periodical&gt;&lt;pages&gt;608-618&lt;/pages&gt;&lt;volume&gt;10&lt;/volume&gt;&lt;number&gt;7&lt;/number&gt;&lt;edition&gt;2007/07/01&lt;/edition&gt;&lt;section&gt;608&lt;/section&gt;&lt;keywords&gt;&lt;keyword&gt;Biodiversity&lt;/keyword&gt;&lt;keyword&gt;dispersal limitation&lt;/keyword&gt;&lt;keyword&gt;Ewens sampling formula&lt;/keyword&gt;&lt;keyword&gt;likelihood&lt;/keyword&gt;&lt;keyword&gt;metacommunity&lt;/keyword&gt;&lt;keyword&gt;neutral model&lt;/keyword&gt;&lt;keyword&gt;niche differentiation&lt;/keyword&gt;&lt;keyword&gt;sequential construction&lt;/keyword&gt;&lt;keyword&gt;species abundance distribution&lt;/keyword&gt;&lt;/keywords&gt;&lt;dates&gt;&lt;year&gt;2007&lt;/year&gt;&lt;pub-dates&gt;&lt;date&gt;2007/07/01&lt;/date&gt;&lt;/pub-dates&gt;&lt;/dates&gt;&lt;publisher&gt;Blackwell Publishing Ltd&lt;/publisher&gt;&lt;isbn&gt;1461-0248&lt;/isbn&gt;&lt;urls&gt;&lt;related-urls&gt;&lt;url&gt;http://dx.doi.org/10.1111/j.1461-0248.2007.01052.x&lt;/url&gt;&lt;/related-urls&gt;&lt;/urls&gt;&lt;electronic-resource-num&gt;10.1111/j.1461-0248.2007.01052.x&lt;/electronic-resource-num&gt;&lt;/record&gt;&lt;/Cite&gt;&lt;/EndNote&gt;</w:instrText>
      </w:r>
      <w:r w:rsidR="006B4F10">
        <w:rPr>
          <w:rFonts w:ascii="Times New Roman" w:hAnsi="Times New Roman"/>
          <w:noProof/>
        </w:rPr>
        <w:fldChar w:fldCharType="separate"/>
      </w:r>
      <w:r w:rsidR="006B4F10">
        <w:rPr>
          <w:rFonts w:ascii="Times New Roman" w:hAnsi="Times New Roman"/>
          <w:noProof/>
        </w:rPr>
        <w:t>Etienne 2007</w:t>
      </w:r>
      <w:r w:rsidR="006B4F10">
        <w:rPr>
          <w:rFonts w:ascii="Times New Roman" w:hAnsi="Times New Roman"/>
          <w:noProof/>
        </w:rPr>
        <w:fldChar w:fldCharType="end"/>
      </w:r>
      <w:r>
        <w:rPr>
          <w:rFonts w:ascii="Times New Roman" w:hAnsi="Times New Roman"/>
        </w:rPr>
        <w:t>), and the potential for frequent ecological impact (</w:t>
      </w:r>
      <w:r w:rsidR="00C96371">
        <w:rPr>
          <w:rFonts w:ascii="Times New Roman" w:hAnsi="Times New Roman"/>
          <w:noProof/>
        </w:rPr>
        <w:fldChar w:fldCharType="begin">
          <w:fldData xml:space="preserve">PEVuZE5vdGU+PENpdGU+PEF1dGhvcj50ZXIgU3RlZWdlPC9BdXRob3I+PFllYXI+MjAxMzwvWWVh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</w:fldData>
        </w:fldChar>
      </w:r>
      <w:r w:rsidR="00C96371">
        <w:rPr>
          <w:rFonts w:ascii="Times New Roman" w:hAnsi="Times New Roman"/>
          <w:noProof/>
        </w:rPr>
        <w:instrText xml:space="preserve"> ADDIN EN.CITE </w:instrText>
      </w:r>
      <w:r w:rsidR="00C96371">
        <w:rPr>
          <w:rFonts w:ascii="Times New Roman" w:hAnsi="Times New Roman"/>
          <w:noProof/>
        </w:rPr>
        <w:fldChar w:fldCharType="begin">
          <w:fldData xml:space="preserve">PEVuZE5vdGU+PENpdGU+PEF1dGhvcj50ZXIgU3RlZWdlPC9BdXRob3I+PFllYXI+MjAxMzwvWWVh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</w:fldData>
        </w:fldChar>
      </w:r>
      <w:r w:rsidR="00C96371">
        <w:rPr>
          <w:rFonts w:ascii="Times New Roman" w:hAnsi="Times New Roman"/>
          <w:noProof/>
        </w:rPr>
        <w:instrText xml:space="preserve"> ADDIN EN.CITE.DATA </w:instrText>
      </w:r>
      <w:r w:rsidR="00C96371">
        <w:rPr>
          <w:rFonts w:ascii="Times New Roman" w:hAnsi="Times New Roman"/>
          <w:noProof/>
        </w:rPr>
      </w:r>
      <w:r w:rsidR="00C96371">
        <w:rPr>
          <w:rFonts w:ascii="Times New Roman" w:hAnsi="Times New Roman"/>
          <w:noProof/>
        </w:rPr>
        <w:fldChar w:fldCharType="end"/>
      </w:r>
      <w:r w:rsidR="00C96371">
        <w:rPr>
          <w:rFonts w:ascii="Times New Roman" w:hAnsi="Times New Roman"/>
          <w:noProof/>
        </w:rPr>
      </w:r>
      <w:r w:rsidR="00C96371">
        <w:rPr>
          <w:rFonts w:ascii="Times New Roman" w:hAnsi="Times New Roman"/>
          <w:noProof/>
        </w:rPr>
        <w:fldChar w:fldCharType="separate"/>
      </w:r>
      <w:r w:rsidR="00C96371">
        <w:rPr>
          <w:rFonts w:ascii="Times New Roman" w:hAnsi="Times New Roman"/>
          <w:noProof/>
        </w:rPr>
        <w:t>ter Steege et al. 2013</w:t>
      </w:r>
      <w:r w:rsidR="00C96371">
        <w:rPr>
          <w:rFonts w:ascii="Times New Roman" w:hAnsi="Times New Roman"/>
          <w:noProof/>
        </w:rPr>
        <w:fldChar w:fldCharType="end"/>
      </w:r>
      <w:r w:rsidR="00F97946">
        <w:rPr>
          <w:rFonts w:ascii="Times New Roman" w:hAnsi="Times New Roman"/>
        </w:rPr>
        <w:t xml:space="preserve">). </w:t>
      </w:r>
    </w:p>
    <w:p w14:paraId="288B2B93" w14:textId="332C8F50" w:rsidR="00FF08E6" w:rsidRDefault="00A10C22" w:rsidP="008A66AD">
      <w:pPr>
        <w:spacing w:line="480" w:lineRule="auto"/>
        <w:ind w:firstLine="360"/>
        <w:rPr>
          <w:rFonts w:ascii="Times New Roman" w:hAnsi="Times New Roman"/>
          <w:szCs w:val="24"/>
        </w:rPr>
      </w:pPr>
      <w:r>
        <w:rPr>
          <w:rFonts w:ascii="Times New Roman" w:hAnsi="Times New Roman"/>
          <w:szCs w:val="24"/>
        </w:rPr>
        <w:t xml:space="preserve">Ecologists are just beginning to address </w:t>
      </w:r>
      <w:r w:rsidR="00FF08E6">
        <w:rPr>
          <w:rFonts w:ascii="Times New Roman" w:hAnsi="Times New Roman"/>
          <w:szCs w:val="24"/>
        </w:rPr>
        <w:t>whether common species are fundamentally different from rare species. Reddin et al. (</w:t>
      </w:r>
      <w:r w:rsidR="00C96371">
        <w:rPr>
          <w:rFonts w:ascii="Times New Roman" w:hAnsi="Times New Roman"/>
          <w:szCs w:val="24"/>
        </w:rPr>
        <w:fldChar w:fldCharType="begin">
          <w:fldData xml:space="preserve">PEVuZE5vdGU+PENpdGUgRXhjbHVkZUF1dGg9IjEiPjxBdXRob3I+UmVkZGluPC9BdXRob3I+PFll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==
</w:fldData>
        </w:fldChar>
      </w:r>
      <w:r w:rsidR="00EA54AA">
        <w:rPr>
          <w:rFonts w:ascii="Times New Roman" w:hAnsi="Times New Roman"/>
          <w:szCs w:val="24"/>
        </w:rPr>
        <w:instrText xml:space="preserve"> ADDIN EN.CITE </w:instrText>
      </w:r>
      <w:r w:rsidR="00EA54AA">
        <w:rPr>
          <w:rFonts w:ascii="Times New Roman" w:hAnsi="Times New Roman"/>
          <w:szCs w:val="24"/>
        </w:rPr>
        <w:fldChar w:fldCharType="begin">
          <w:fldData xml:space="preserve">PEVuZE5vdGU+PENpdGUgRXhjbHVkZUF1dGg9IjEiPjxBdXRob3I+UmVkZGluPC9BdXRob3I+PFll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==
</w:fldData>
        </w:fldChar>
      </w:r>
      <w:r w:rsidR="00EA54AA">
        <w:rPr>
          <w:rFonts w:ascii="Times New Roman" w:hAnsi="Times New Roman"/>
          <w:szCs w:val="24"/>
        </w:rPr>
        <w:instrText xml:space="preserve"> ADDIN EN.CITE.DATA </w:instrText>
      </w:r>
      <w:r w:rsidR="00EA54AA">
        <w:rPr>
          <w:rFonts w:ascii="Times New Roman" w:hAnsi="Times New Roman"/>
          <w:szCs w:val="24"/>
        </w:rPr>
      </w:r>
      <w:r w:rsidR="00EA54AA">
        <w:rPr>
          <w:rFonts w:ascii="Times New Roman" w:hAnsi="Times New Roman"/>
          <w:szCs w:val="24"/>
        </w:rPr>
        <w:fldChar w:fldCharType="end"/>
      </w:r>
      <w:r w:rsidR="00C96371">
        <w:rPr>
          <w:rFonts w:ascii="Times New Roman" w:hAnsi="Times New Roman"/>
          <w:szCs w:val="24"/>
        </w:rPr>
      </w:r>
      <w:r w:rsidR="00C96371">
        <w:rPr>
          <w:rFonts w:ascii="Times New Roman" w:hAnsi="Times New Roman"/>
          <w:szCs w:val="24"/>
        </w:rPr>
        <w:fldChar w:fldCharType="separate"/>
      </w:r>
      <w:r w:rsidR="00C96371">
        <w:rPr>
          <w:rFonts w:ascii="Times New Roman" w:hAnsi="Times New Roman"/>
          <w:noProof/>
          <w:szCs w:val="24"/>
        </w:rPr>
        <w:t>2015</w:t>
      </w:r>
      <w:r w:rsidR="00C96371">
        <w:rPr>
          <w:rFonts w:ascii="Times New Roman" w:hAnsi="Times New Roman"/>
          <w:szCs w:val="24"/>
        </w:rPr>
        <w:fldChar w:fldCharType="end"/>
      </w:r>
      <w:r w:rsidR="00FF08E6">
        <w:rPr>
          <w:rFonts w:ascii="Times New Roman" w:hAnsi="Times New Roman"/>
          <w:szCs w:val="24"/>
        </w:rPr>
        <w:t xml:space="preserve">) suggest that common species may be ecological generalists, with their distribution controlled by relatively few and simple environmental variables. In contrast, they expect that rare species would be specialists responding to idiosyncratic environmental variables. In a study comparing spatial patterns of species richness </w:t>
      </w:r>
      <w:r w:rsidR="00FF08E6">
        <w:rPr>
          <w:rFonts w:ascii="Times New Roman" w:hAnsi="Times New Roman"/>
          <w:szCs w:val="24"/>
        </w:rPr>
        <w:lastRenderedPageBreak/>
        <w:t>variations within and among three higher taxa (</w:t>
      </w:r>
      <w:r w:rsidR="00FF08E6" w:rsidRPr="00E2380A">
        <w:rPr>
          <w:rFonts w:ascii="Times New Roman" w:hAnsi="Times New Roman"/>
          <w:szCs w:val="24"/>
        </w:rPr>
        <w:t>intertidal macroalgae, mollusks and crustaceans</w:t>
      </w:r>
      <w:r w:rsidR="00FF08E6">
        <w:rPr>
          <w:rFonts w:ascii="Times New Roman" w:hAnsi="Times New Roman"/>
          <w:szCs w:val="24"/>
        </w:rPr>
        <w:t xml:space="preserve"> in the United Kingdom), they </w:t>
      </w:r>
      <w:r w:rsidR="000B1076">
        <w:rPr>
          <w:rFonts w:ascii="Times New Roman" w:hAnsi="Times New Roman"/>
          <w:szCs w:val="24"/>
        </w:rPr>
        <w:t xml:space="preserve">find </w:t>
      </w:r>
      <w:r w:rsidR="00FF08E6">
        <w:rPr>
          <w:rFonts w:ascii="Times New Roman" w:hAnsi="Times New Roman"/>
          <w:szCs w:val="24"/>
        </w:rPr>
        <w:t xml:space="preserve">that the common species among all the three groups </w:t>
      </w:r>
      <w:r w:rsidR="000B1076">
        <w:rPr>
          <w:rFonts w:ascii="Times New Roman" w:hAnsi="Times New Roman"/>
          <w:szCs w:val="24"/>
        </w:rPr>
        <w:t xml:space="preserve">have </w:t>
      </w:r>
      <w:r w:rsidR="00FF08E6">
        <w:rPr>
          <w:rFonts w:ascii="Times New Roman" w:hAnsi="Times New Roman"/>
          <w:szCs w:val="24"/>
        </w:rPr>
        <w:t xml:space="preserve">similar richness patterns, whereas rare species </w:t>
      </w:r>
      <w:r w:rsidR="00093474">
        <w:rPr>
          <w:rFonts w:ascii="Times New Roman" w:hAnsi="Times New Roman"/>
          <w:szCs w:val="24"/>
        </w:rPr>
        <w:t xml:space="preserve">do </w:t>
      </w:r>
      <w:r w:rsidR="00FF08E6">
        <w:rPr>
          <w:rFonts w:ascii="Times New Roman" w:hAnsi="Times New Roman"/>
          <w:szCs w:val="24"/>
        </w:rPr>
        <w:t>not, supporting the idea that common and rare species distributions have different controls.</w:t>
      </w:r>
    </w:p>
    <w:p w14:paraId="4D381A72" w14:textId="1358DE2B" w:rsidR="00910CED" w:rsidRDefault="00F97946" w:rsidP="00910CED">
      <w:pPr>
        <w:spacing w:line="480" w:lineRule="auto"/>
        <w:ind w:firstLine="360"/>
        <w:rPr>
          <w:rFonts w:ascii="Times New Roman" w:hAnsi="Times New Roman"/>
        </w:rPr>
      </w:pPr>
      <w:r>
        <w:rPr>
          <w:rFonts w:ascii="Times New Roman" w:hAnsi="Times New Roman"/>
        </w:rPr>
        <w:t>Widespread and abundant taxa, if they also possess fossilizable hard parts, should also dominate the fossil record (</w:t>
      </w:r>
      <w:r w:rsidR="00D4045F">
        <w:rPr>
          <w:rFonts w:ascii="Times New Roman" w:hAnsi="Times New Roman"/>
        </w:rPr>
        <w:fldChar w:fldCharType="begin"/>
      </w:r>
      <w:r w:rsidR="00EA54AA">
        <w:rPr>
          <w:rFonts w:ascii="Times New Roman" w:hAnsi="Times New Roman"/>
        </w:rPr>
        <w:instrText xml:space="preserve"> ADDIN EN.CITE &lt;EndNote&gt;&lt;Cite&gt;&lt;Author&gt;Hull&lt;/Author&gt;&lt;Year&gt;2015&lt;/Year&gt;&lt;RecNum&gt;19141&lt;/RecNum&gt;&lt;DisplayText&gt;Hull et al. 2015&lt;/DisplayText&gt;&lt;record&gt;&lt;rec-number&gt;19141&lt;/rec-number&gt;&lt;foreign-keys&gt;&lt;key app="EN" db-id="wz00v599a2zpv4etvzgv2e93052sszxwve5v" timestamp="1465486209"&gt;19141&lt;/key&gt;&lt;/foreign-keys&gt;&lt;ref-type name="Journal Article"&gt;17&lt;/ref-type&gt;&lt;contributors&gt;&lt;authors&gt;&lt;author&gt;Hull, Pincelli M.&lt;/author&gt;&lt;author&gt;Darroch, Simon A. F.&lt;/author&gt;&lt;author&gt;Erwin, Douglas H.&lt;/author&gt;&lt;/authors&gt;&lt;/contributors&gt;&lt;titles&gt;&lt;title&gt;Rarity in mass extinctions and the future of ecosystems&lt;/title&gt;&lt;secondary-title&gt;Nature&lt;/secondary-title&gt;&lt;/titles&gt;&lt;periodical&gt;&lt;full-title&gt;Nature&lt;/full-title&gt;&lt;/periodical&gt;&lt;pages&gt;345-351&lt;/pages&gt;&lt;volume&gt;528&lt;/volume&gt;&lt;number&gt;7582&lt;/number&gt;&lt;dates&gt;&lt;year&gt;2015&lt;/year&gt;&lt;/dates&gt;&lt;publisher&gt;Nature Publishing Group, a division of Macmillan Publishers Limited. All Rights Reserved.&lt;/publisher&gt;&lt;isbn&gt;0028-0836&lt;/isbn&gt;&lt;work-type&gt;Review&lt;/work-type&gt;&lt;urls&gt;&lt;related-urls&gt;&lt;url&gt;http://dx.doi.org/10.1038/nature16160&lt;/url&gt;&lt;/related-urls&gt;&lt;/urls&gt;&lt;electronic-resource-num&gt;10.1038/nature16160&lt;/electronic-resource-num&gt;&lt;/record&gt;&lt;/Cite&gt;&lt;/EndNote&gt;</w:instrText>
      </w:r>
      <w:r w:rsidR="00D4045F">
        <w:rPr>
          <w:rFonts w:ascii="Times New Roman" w:hAnsi="Times New Roman"/>
        </w:rPr>
        <w:fldChar w:fldCharType="separate"/>
      </w:r>
      <w:r w:rsidR="00D4045F">
        <w:rPr>
          <w:rFonts w:ascii="Times New Roman" w:hAnsi="Times New Roman"/>
          <w:noProof/>
        </w:rPr>
        <w:t>Hull et al. 2015</w:t>
      </w:r>
      <w:r w:rsidR="00D4045F">
        <w:rPr>
          <w:rFonts w:ascii="Times New Roman" w:hAnsi="Times New Roman"/>
        </w:rPr>
        <w:fldChar w:fldCharType="end"/>
      </w:r>
      <w:r>
        <w:rPr>
          <w:rFonts w:ascii="Times New Roman" w:hAnsi="Times New Roman"/>
        </w:rPr>
        <w:t>)</w:t>
      </w:r>
      <w:r w:rsidR="00F230EE">
        <w:rPr>
          <w:rFonts w:ascii="Times New Roman" w:hAnsi="Times New Roman"/>
        </w:rPr>
        <w:t xml:space="preserve">. </w:t>
      </w:r>
      <w:r w:rsidR="00313171">
        <w:rPr>
          <w:rFonts w:ascii="Times New Roman" w:hAnsi="Times New Roman"/>
        </w:rPr>
        <w:t>Plotnick and Wagner (</w:t>
      </w:r>
      <w:r w:rsidR="00313171">
        <w:rPr>
          <w:rFonts w:ascii="Times New Roman" w:hAnsi="Times New Roman"/>
          <w:noProof/>
        </w:rPr>
        <w:fldChar w:fldCharType="begin"/>
      </w:r>
      <w:r w:rsidR="00313171">
        <w:rPr>
          <w:rFonts w:ascii="Times New Roman" w:hAnsi="Times New Roman"/>
          <w:noProof/>
        </w:rPr>
        <w:instrText xml:space="preserve"> ADDIN EN.CITE &lt;EndNote&gt;&lt;Cite ExcludeAuth="1"&gt;&lt;Author&gt;Plotnick&lt;/Author&gt;&lt;Year&gt;2006&lt;/Year&gt;&lt;RecNum&gt;23&lt;/RecNum&gt;&lt;DisplayText&gt;2006&lt;/DisplayText&gt;&lt;record&gt;&lt;rec-number&gt;23&lt;/rec-number&gt;&lt;foreign-keys&gt;&lt;key app="EN" db-id="r2savzrxwddstne9dvmp0wderfxdtarefrzr" timestamp="1493841983"&gt;23&lt;/key&gt;&lt;/foreign-keys&gt;&lt;ref-type name="Journal Article"&gt;17&lt;/ref-type&gt;&lt;contributors&gt;&lt;authors&gt;&lt;author&gt;Roy E. Plotnick&lt;/author&gt;&lt;author&gt;Peter J. Wagner&lt;/author&gt;&lt;/authors&gt;&lt;/contributors&gt;&lt;titles&gt;&lt;title&gt;Round up the usual suspects: common genera in the fossil record and the nature of wastebasket taxa&lt;/title&gt;&lt;secondary-title&gt;Paleobiology&lt;/secondary-title&gt;&lt;/titles&gt;&lt;periodical&gt;&lt;full-title&gt;Paleobiology&lt;/full-title&gt;&lt;/periodical&gt;&lt;pages&gt;126 - 146&lt;/pages&gt;&lt;volume&gt;32&lt;/volume&gt;&lt;number&gt;1&lt;/number&gt;&lt;edition&gt;2006/01/01&lt;/edition&gt;&lt;section&gt;126&lt;/section&gt;&lt;dates&gt;&lt;year&gt;2006&lt;/year&gt;&lt;pub-dates&gt;&lt;date&gt;2006/01/01&lt;/date&gt;&lt;/pub-dates&gt;&lt;/dates&gt;&lt;urls&gt;&lt;/urls&gt;&lt;electronic-resource-num&gt;10.1666/04056.1&lt;/electronic-resource-num&gt;&lt;/record&gt;&lt;/Cite&gt;&lt;/EndNote&gt;</w:instrText>
      </w:r>
      <w:r w:rsidR="00313171">
        <w:rPr>
          <w:rFonts w:ascii="Times New Roman" w:hAnsi="Times New Roman"/>
          <w:noProof/>
        </w:rPr>
        <w:fldChar w:fldCharType="separate"/>
      </w:r>
      <w:r w:rsidR="00313171">
        <w:rPr>
          <w:rFonts w:ascii="Times New Roman" w:hAnsi="Times New Roman"/>
          <w:noProof/>
        </w:rPr>
        <w:t>2006</w:t>
      </w:r>
      <w:r w:rsidR="00313171">
        <w:rPr>
          <w:rFonts w:ascii="Times New Roman" w:hAnsi="Times New Roman"/>
          <w:noProof/>
        </w:rPr>
        <w:fldChar w:fldCharType="end"/>
      </w:r>
      <w:r w:rsidR="00313171">
        <w:rPr>
          <w:rFonts w:ascii="Times New Roman" w:hAnsi="Times New Roman"/>
        </w:rPr>
        <w:t xml:space="preserve">) show that the ten most commonly occurring genera within gastropods, bivalves and brachiopods average about 13% of the occurrences for those taxonomic groups despite representing only about 0.6% of all genera. Within these three groups, the 100 most commonly occurring genera account for about 50% of all occurrences. Accordingly, the vast majority of genera occur in few or only one fossiliferous locality. Thus, occurrences of genera across communities and even metacommunities mimic common patterns of abundances of species within communities. </w:t>
      </w:r>
      <w:r w:rsidR="00FF08E6">
        <w:rPr>
          <w:rFonts w:ascii="Times New Roman" w:hAnsi="Times New Roman"/>
          <w:szCs w:val="24"/>
        </w:rPr>
        <w:t>Jablonski and Hunt (2006) determine that geographic range and species survivorship in Cretaceous mollusks was significantly rank correlated; more widespread species a</w:t>
      </w:r>
      <w:r w:rsidR="005D3778">
        <w:rPr>
          <w:rFonts w:ascii="Times New Roman" w:hAnsi="Times New Roman"/>
          <w:szCs w:val="24"/>
        </w:rPr>
        <w:t xml:space="preserve">re longer lived. More recently. </w:t>
      </w:r>
      <w:r w:rsidR="00FF08E6">
        <w:rPr>
          <w:rFonts w:ascii="Times New Roman" w:hAnsi="Times New Roman"/>
          <w:szCs w:val="24"/>
        </w:rPr>
        <w:t>Hannisdal et al. (</w:t>
      </w:r>
      <w:r w:rsidR="00C96371">
        <w:rPr>
          <w:rFonts w:ascii="Times New Roman" w:hAnsi="Times New Roman"/>
          <w:szCs w:val="24"/>
        </w:rPr>
        <w:fldChar w:fldCharType="begin"/>
      </w:r>
      <w:r w:rsidR="00C96371">
        <w:rPr>
          <w:rFonts w:ascii="Times New Roman" w:hAnsi="Times New Roman"/>
          <w:szCs w:val="24"/>
        </w:rPr>
        <w:instrText xml:space="preserve"> ADDIN EN.CITE &lt;EndNote&gt;&lt;Cite ExcludeAuth="1"&gt;&lt;Author&gt;Hannisdal&lt;/Author&gt;&lt;Year&gt;2017&lt;/Year&gt;&lt;RecNum&gt;75&lt;/RecNum&gt;&lt;DisplayText&gt;2017&lt;/DisplayText&gt;&lt;record&gt;&lt;rec-number&gt;75&lt;/rec-number&gt;&lt;foreign-keys&gt;&lt;key app="EN" db-id="r2savzrxwddstne9dvmp0wderfxdtarefrzr" timestamp="1509137644"&gt;75&lt;/key&gt;&lt;/foreign-keys&gt;&lt;ref-type name="Journal Article"&gt;17&lt;/ref-type&gt;&lt;contributors&gt;&lt;authors&gt;&lt;author&gt;Hannisdal, Bjarte&lt;/author&gt;&lt;author&gt;Haaga, Kristian Agasøster&lt;/author&gt;&lt;author&gt;Reitan, Trond&lt;/author&gt;&lt;author&gt;Diego, David&lt;/author&gt;&lt;author&gt;Liow, Lee Hsiang&lt;/author&gt;&lt;/authors&gt;&lt;/contributors&gt;&lt;titles&gt;&lt;title&gt;Common species link global ecosystems to climate change: dynamical evidence in the planktonic fossil record&lt;/title&gt;&lt;secondary-title&gt;Proceedings of the Royal Society B: Biological Sciences&lt;/secondary-title&gt;&lt;/titles&gt;&lt;periodical&gt;&lt;full-title&gt;Proceedings of the Royal Society B: Biological Sciences&lt;/full-title&gt;&lt;/periodical&gt;&lt;volume&gt;284&lt;/volume&gt;&lt;number&gt;1858&lt;/number&gt;&lt;edition&gt;2016/03/15&lt;/edition&gt;&lt;dates&gt;&lt;year&gt;2017&lt;/year&gt;&lt;pub-dates&gt;&lt;date&gt;2017/08/11&lt;/date&gt;&lt;/pub-dates&gt;&lt;/dates&gt;&lt;urls&gt;&lt;related-urls&gt;&lt;url&gt;http://rspb.royalsocietypublishing.org/content/royprsb/284/1858/20170722.full.pdf&lt;/url&gt;&lt;url&gt;http://dx.doi.org/10.1101/043729&lt;/url&gt;&lt;/related-urls&gt;&lt;/urls&gt;&lt;electronic-resource-num&gt;10.1098/rspb.2017.0722&lt;/electronic-resource-num&gt;&lt;/record&gt;&lt;/Cite&gt;&lt;/EndNote&gt;</w:instrText>
      </w:r>
      <w:r w:rsidR="00C96371">
        <w:rPr>
          <w:rFonts w:ascii="Times New Roman" w:hAnsi="Times New Roman"/>
          <w:szCs w:val="24"/>
        </w:rPr>
        <w:fldChar w:fldCharType="separate"/>
      </w:r>
      <w:r w:rsidR="00C96371">
        <w:rPr>
          <w:rFonts w:ascii="Times New Roman" w:hAnsi="Times New Roman"/>
          <w:noProof/>
          <w:szCs w:val="24"/>
        </w:rPr>
        <w:t>2017</w:t>
      </w:r>
      <w:r w:rsidR="00C96371">
        <w:rPr>
          <w:rFonts w:ascii="Times New Roman" w:hAnsi="Times New Roman"/>
          <w:szCs w:val="24"/>
        </w:rPr>
        <w:fldChar w:fldCharType="end"/>
      </w:r>
      <w:r w:rsidR="00FF08E6">
        <w:rPr>
          <w:rFonts w:ascii="Times New Roman" w:hAnsi="Times New Roman"/>
          <w:szCs w:val="24"/>
        </w:rPr>
        <w:t xml:space="preserve">) point out that common species make up the majority of the fossil record. They suggest that changes in commonness, as documented by planktonic foraminifera, may be thus be more useful than shifts in richness as metrics of ecosystem responses to environmental change. </w:t>
      </w:r>
      <w:r w:rsidR="005D3778">
        <w:rPr>
          <w:rFonts w:ascii="Times New Roman" w:hAnsi="Times New Roman"/>
        </w:rPr>
        <w:t>Hull et al. (</w:t>
      </w:r>
      <w:r w:rsidR="00D4045F">
        <w:rPr>
          <w:rFonts w:ascii="Times New Roman" w:hAnsi="Times New Roman"/>
        </w:rPr>
        <w:fldChar w:fldCharType="begin"/>
      </w:r>
      <w:r w:rsidR="00EA54AA">
        <w:rPr>
          <w:rFonts w:ascii="Times New Roman" w:hAnsi="Times New Roman"/>
        </w:rPr>
        <w:instrText xml:space="preserve"> ADDIN EN.CITE &lt;EndNote&gt;&lt;Cite ExcludeAuth="1"&gt;&lt;Author&gt;Hull&lt;/Author&gt;&lt;Year&gt;2015&lt;/Year&gt;&lt;RecNum&gt;19141&lt;/RecNum&gt;&lt;DisplayText&gt;2015&lt;/DisplayText&gt;&lt;record&gt;&lt;rec-number&gt;19141&lt;/rec-number&gt;&lt;foreign-keys&gt;&lt;key app="EN" db-id="wz00v599a2zpv4etvzgv2e93052sszxwve5v" timestamp="1465486209"&gt;19141&lt;/key&gt;&lt;/foreign-keys&gt;&lt;ref-type name="Journal Article"&gt;17&lt;/ref-type&gt;&lt;contributors&gt;&lt;authors&gt;&lt;author&gt;Hull, Pincelli M.&lt;/author&gt;&lt;author&gt;Darroch, Simon A. F.&lt;/author&gt;&lt;author&gt;Erwin, Douglas H.&lt;/author&gt;&lt;/authors&gt;&lt;/contributors&gt;&lt;titles&gt;&lt;title&gt;Rarity in mass extinctions and the future of ecosystems&lt;/title&gt;&lt;secondary-title&gt;Nature&lt;/secondary-title&gt;&lt;/titles&gt;&lt;periodical&gt;&lt;full-title&gt;Nature&lt;/full-title&gt;&lt;/periodical&gt;&lt;pages&gt;345-351&lt;/pages&gt;&lt;volume&gt;528&lt;/volume&gt;&lt;number&gt;7582&lt;/number&gt;&lt;dates&gt;&lt;year&gt;2015&lt;/year&gt;&lt;/dates&gt;&lt;publisher&gt;Nature Publishing Group, a division of Macmillan Publishers Limited. All Rights Reserved.&lt;/publisher&gt;&lt;isbn&gt;0028-0836&lt;/isbn&gt;&lt;work-type&gt;Review&lt;/work-type&gt;&lt;urls&gt;&lt;related-urls&gt;&lt;url&gt;http://dx.doi.org/10.1038/nature16160&lt;/url&gt;&lt;/related-urls&gt;&lt;/urls&gt;&lt;electronic-resource-num&gt;10.1038/nature16160&lt;/electronic-resource-num&gt;&lt;/record&gt;&lt;/Cite&gt;&lt;/EndNote&gt;</w:instrText>
      </w:r>
      <w:r w:rsidR="00D4045F">
        <w:rPr>
          <w:rFonts w:ascii="Times New Roman" w:hAnsi="Times New Roman"/>
        </w:rPr>
        <w:fldChar w:fldCharType="separate"/>
      </w:r>
      <w:r w:rsidR="00D4045F">
        <w:rPr>
          <w:rFonts w:ascii="Times New Roman" w:hAnsi="Times New Roman"/>
          <w:noProof/>
        </w:rPr>
        <w:t>2015</w:t>
      </w:r>
      <w:r w:rsidR="00D4045F">
        <w:rPr>
          <w:rFonts w:ascii="Times New Roman" w:hAnsi="Times New Roman"/>
        </w:rPr>
        <w:fldChar w:fldCharType="end"/>
      </w:r>
      <w:r w:rsidR="005D3778">
        <w:rPr>
          <w:rFonts w:ascii="Times New Roman" w:hAnsi="Times New Roman"/>
        </w:rPr>
        <w:t xml:space="preserve">) propose that rarity of formerly abundant taxa </w:t>
      </w:r>
      <w:r>
        <w:rPr>
          <w:rFonts w:ascii="Times New Roman" w:hAnsi="Times New Roman"/>
        </w:rPr>
        <w:t xml:space="preserve">is </w:t>
      </w:r>
      <w:r w:rsidR="005D3778">
        <w:rPr>
          <w:rFonts w:ascii="Times New Roman" w:hAnsi="Times New Roman"/>
        </w:rPr>
        <w:t>characteristic of mass extinctions. Similarly, because</w:t>
      </w:r>
      <w:r w:rsidR="00FF08E6">
        <w:rPr>
          <w:rFonts w:ascii="Times New Roman" w:hAnsi="Times New Roman"/>
        </w:rPr>
        <w:t xml:space="preserve"> mass extinctions result in major reorganizations of ecosystems (</w:t>
      </w:r>
      <w:r w:rsidR="006A5C5B">
        <w:rPr>
          <w:rFonts w:ascii="Times New Roman" w:hAnsi="Times New Roman"/>
          <w:noProof/>
        </w:rPr>
        <w:fldChar w:fldCharType="begin"/>
      </w:r>
      <w:r w:rsidR="00EA54AA">
        <w:rPr>
          <w:rFonts w:ascii="Times New Roman" w:hAnsi="Times New Roman"/>
          <w:noProof/>
        </w:rPr>
        <w:instrText xml:space="preserve"> ADDIN EN.CITE &lt;EndNote&gt;&lt;Cite&gt;&lt;Author&gt;Droser&lt;/Author&gt;&lt;Year&gt;1997&lt;/Year&gt;&lt;RecNum&gt;21301&lt;/RecNum&gt;&lt;DisplayText&gt;Droser et al. 1997&lt;/DisplayText&gt;&lt;record&gt;&lt;rec-number&gt;21301&lt;/rec-number&gt;&lt;foreign-keys&gt;&lt;key app="EN" db-id="wz00v599a2zpv4etvzgv2e93052sszxwve5v" timestamp="1471273244"&gt;21301&lt;/key&gt;&lt;/foreign-keys&gt;&lt;ref-type name="Journal Article"&gt;17&lt;/ref-type&gt;&lt;contributors&gt;&lt;authors&gt;&lt;author&gt;Droser, M. L.&lt;/author&gt;&lt;author&gt;Bottjer, D. J.&lt;/author&gt;&lt;author&gt;Sheehan, P. M.&lt;/author&gt;&lt;/authors&gt;&lt;/contributors&gt;&lt;titles&gt;&lt;title&gt;Evaluating the ecological architecture of major events in the Phanerozoic history of marine invertebrate life&lt;/title&gt;&lt;secondary-title&gt;Geology&lt;/secondary-title&gt;&lt;/titles&gt;&lt;periodical&gt;&lt;full-title&gt;Geology&lt;/full-title&gt;&lt;/periodical&gt;&lt;pages&gt;167-170&lt;/pages&gt;&lt;volume&gt;25&lt;/volume&gt;&lt;number&gt;2&lt;/number&gt;&lt;dates&gt;&lt;year&gt;1997&lt;/year&gt;&lt;pub-dates&gt;&lt;date&gt;Feb&lt;/date&gt;&lt;/pub-dates&gt;&lt;/dates&gt;&lt;accession-num&gt;ISI:A1997WG66300018&lt;/accession-num&gt;&lt;urls&gt;&lt;related-urls&gt;&lt;url&gt;&amp;lt;Go to ISI&amp;gt;://A1997WG66300018&lt;/url&gt;&lt;/related-urls&gt;&lt;/urls&gt;&lt;/record&gt;&lt;/Cite&gt;&lt;/EndNote&gt;</w:instrText>
      </w:r>
      <w:r w:rsidR="006A5C5B">
        <w:rPr>
          <w:rFonts w:ascii="Times New Roman" w:hAnsi="Times New Roman"/>
          <w:noProof/>
        </w:rPr>
        <w:fldChar w:fldCharType="separate"/>
      </w:r>
      <w:r w:rsidR="006A5C5B" w:rsidRPr="00A04AA4">
        <w:rPr>
          <w:rFonts w:ascii="Times New Roman" w:hAnsi="Times New Roman"/>
          <w:noProof/>
          <w:lang w:val="da-DK"/>
        </w:rPr>
        <w:t>Droser et al. 1997</w:t>
      </w:r>
      <w:r w:rsidR="006A5C5B">
        <w:rPr>
          <w:rFonts w:ascii="Times New Roman" w:hAnsi="Times New Roman"/>
          <w:noProof/>
        </w:rPr>
        <w:fldChar w:fldCharType="end"/>
      </w:r>
      <w:r w:rsidR="00FF08E6" w:rsidRPr="00A04AA4">
        <w:rPr>
          <w:rFonts w:ascii="Times New Roman" w:hAnsi="Times New Roman"/>
          <w:lang w:val="da-DK"/>
        </w:rPr>
        <w:t xml:space="preserve">; </w:t>
      </w:r>
      <w:r w:rsidR="006A5C5B">
        <w:rPr>
          <w:rFonts w:ascii="Times New Roman" w:hAnsi="Times New Roman"/>
          <w:noProof/>
        </w:rPr>
        <w:fldChar w:fldCharType="begin"/>
      </w:r>
      <w:r w:rsidR="006A5C5B" w:rsidRPr="00A04AA4">
        <w:rPr>
          <w:rFonts w:ascii="Times New Roman" w:hAnsi="Times New Roman"/>
          <w:noProof/>
          <w:lang w:val="da-DK"/>
        </w:rPr>
        <w:instrText xml:space="preserve"> ADDIN EN.CITE &lt;EndNote&gt;&lt;Cite&gt;&lt;Author&gt;Droser&lt;/Author&gt;&lt;Year&gt;2000&lt;/Year&gt;&lt;RecNum&gt;8&lt;/RecNum&gt;&lt;DisplayText&gt;Droser et al. 2000&lt;/DisplayText&gt;&lt;record&gt;&lt;rec-number&gt;8&lt;/rec-number&gt;&lt;foreign-keys&gt;&lt;key app="EN" db-id="r2savzrxwddstne9dvmp0wderfxdtarefrzr" timestamp="1493841983"&gt;8&lt;/key&gt;&lt;/foreign-keys&gt;&lt;ref-type name="Journal Article"&gt;17&lt;/ref-type&gt;&lt;contributors&gt;&lt;authors&gt;&lt;author&gt;Droser, Mary L</w:instrText>
      </w:r>
      <w:r w:rsidR="006A5C5B" w:rsidRPr="00FB2C9B">
        <w:rPr>
          <w:rFonts w:ascii="Times New Roman" w:hAnsi="Times New Roman"/>
          <w:noProof/>
          <w:lang w:val="da-DK"/>
        </w:rPr>
        <w:instrText>.&lt;/author&gt;&lt;author&gt;Bottjer, David J.&lt;/author&gt;&lt;author&gt;Sheehan, Peter M.&lt;/author&gt;&lt;author&gt;McGhee, George R.&lt;/author&gt;&lt;/authors&gt;&lt;/contributors&gt;&lt;titles&gt;&lt;title&gt;Decoupling of taxonomic and ecologic severity of Phanerozoic marine mass extinctions&lt;/title&gt;&lt;secondary-title&gt;Geology&lt;/secondary-title&gt;&lt;/titles&gt;&lt;periodical&gt;&lt;full-title&gt;Geology&lt;/full-title&gt;&lt;/periodical&gt;&lt;pages&gt;675-678&lt;/pages&gt;&lt;volume&gt;28&lt;/volume&gt;&lt;number&gt;8&lt;/number&gt;&lt;dates&gt;&lt;year&gt;2000&lt;/year&gt;&lt;pub-dates&gt;&lt;date&gt;August 1, 2000&lt;/date&gt;&lt;/pub-dates&gt;&lt;/dates&gt;&lt;urls&gt;&lt;related-urls&gt;&lt;url&gt;http://geology.gsapubs.org/content/28/8/675.abstract&lt;/url&gt;&lt;/related-urls&gt;&lt;/urls&gt;&lt;electronic-resource-num&gt;10.1130/0091-7613(2000)28&amp;lt;675:dotaes&amp;gt;2.0.co;2&lt;/electronic-resource-num&gt;&lt;/record&gt;&lt;/Cite&gt;&lt;/EndNote&gt;</w:instrText>
      </w:r>
      <w:r w:rsidR="006A5C5B">
        <w:rPr>
          <w:rFonts w:ascii="Times New Roman" w:hAnsi="Times New Roman"/>
          <w:noProof/>
        </w:rPr>
        <w:fldChar w:fldCharType="separate"/>
      </w:r>
      <w:r w:rsidR="006A5C5B" w:rsidRPr="00FB2C9B">
        <w:rPr>
          <w:rFonts w:ascii="Times New Roman" w:hAnsi="Times New Roman"/>
          <w:noProof/>
          <w:lang w:val="da-DK"/>
        </w:rPr>
        <w:t>Droser et al. 2000</w:t>
      </w:r>
      <w:r w:rsidR="006A5C5B">
        <w:rPr>
          <w:rFonts w:ascii="Times New Roman" w:hAnsi="Times New Roman"/>
          <w:noProof/>
        </w:rPr>
        <w:fldChar w:fldCharType="end"/>
      </w:r>
      <w:r w:rsidR="00FF08E6" w:rsidRPr="00FB2C9B">
        <w:rPr>
          <w:rFonts w:ascii="Times New Roman" w:hAnsi="Times New Roman"/>
          <w:lang w:val="da-DK"/>
        </w:rPr>
        <w:t xml:space="preserve">; </w:t>
      </w:r>
      <w:r w:rsidR="002D0E3A">
        <w:rPr>
          <w:rFonts w:ascii="Times New Roman" w:hAnsi="Times New Roman"/>
          <w:noProof/>
        </w:rPr>
        <w:fldChar w:fldCharType="begin"/>
      </w:r>
      <w:r w:rsidR="002D0E3A" w:rsidRPr="00FB2C9B">
        <w:rPr>
          <w:rFonts w:ascii="Times New Roman" w:hAnsi="Times New Roman"/>
          <w:noProof/>
          <w:lang w:val="da-DK"/>
        </w:rPr>
        <w:instrText xml:space="preserve"> ADDIN EN.CITE &lt;EndNote&gt;&lt;Cite&gt;&lt;Author&gt;Wagner&lt;/Author&gt;&lt;Year&gt;2006&lt;/Year&gt;&lt;RecNum&gt;36&lt;/RecNum&gt;&lt;DisplayText&gt;Wagner et al. 2006&lt;/DisplayText&gt;&lt;record&gt;&lt;rec-number&gt;36&lt;/rec-number&gt;&lt;foreign-keys&gt;&lt;key app="EN" db-id="r2savzrxwddstne9dvmp0wderfxdtarefrzr" timestamp="1493841983"&gt;36&lt;/key&gt;&lt;/foreign-keys&gt;&lt;ref-type name="Journal Article"&gt;17&lt;/ref-type&gt;&lt;contributors&gt;&lt;authors&gt;&lt;author&gt;Peter J. Wagner&lt;/author&gt;&lt;author&gt;Matthew A. Kosnik&lt;/author&gt;&lt;author&gt;Scott Lidgard&lt;/author&gt;&lt;/authors&gt;&lt;/contributors&gt;&lt;titles&gt;&lt;title&gt;Abundance distributions imply elevated complexity of post-Paleozoic marine ecosystems&lt;/title&gt;&lt;secondary-title&gt;Science&lt;/secondary-title&gt;&lt;/titles&gt;&lt;periodical&gt;&lt;full-title&gt;Science&lt;/full-title&gt;&lt;/periodical&gt;&lt;pages&gt;1289 - 1292&lt;/pages&gt;&lt;volume&gt;314&lt;/volume&gt;&lt;edition&gt;2006/11/23&lt;/edition&gt;&lt;section&gt;1289&lt;/section&gt;&lt;dates&gt;&lt;year&gt;2006&lt;/year&gt;&lt;pub-dates&gt;&lt;date&gt;2006/11/23&lt;/date&gt;&lt;/pub-dates&gt;&lt;/dates&gt;&lt;urls&gt;&lt;/urls&gt;&lt;electronic-resource-num&gt;10.1126/science.1133795&lt;/electronic-resource-num&gt;&lt;/record&gt;&lt;/Cite&gt;&lt;/EndNote&gt;</w:instrText>
      </w:r>
      <w:r w:rsidR="002D0E3A">
        <w:rPr>
          <w:rFonts w:ascii="Times New Roman" w:hAnsi="Times New Roman"/>
          <w:noProof/>
        </w:rPr>
        <w:fldChar w:fldCharType="separate"/>
      </w:r>
      <w:r w:rsidR="002D0E3A" w:rsidRPr="00FB2C9B">
        <w:rPr>
          <w:rFonts w:ascii="Times New Roman" w:hAnsi="Times New Roman"/>
          <w:noProof/>
          <w:lang w:val="da-DK"/>
        </w:rPr>
        <w:t>Wagner et al. 2006</w:t>
      </w:r>
      <w:r w:rsidR="002D0E3A">
        <w:rPr>
          <w:rFonts w:ascii="Times New Roman" w:hAnsi="Times New Roman"/>
          <w:noProof/>
        </w:rPr>
        <w:fldChar w:fldCharType="end"/>
      </w:r>
      <w:r w:rsidR="00FF08E6" w:rsidRPr="00FB2C9B">
        <w:rPr>
          <w:rFonts w:ascii="Times New Roman" w:hAnsi="Times New Roman"/>
          <w:lang w:val="da-DK"/>
        </w:rPr>
        <w:t xml:space="preserve">; </w:t>
      </w:r>
      <w:r w:rsidR="002D0E3A">
        <w:rPr>
          <w:rFonts w:ascii="Times New Roman" w:hAnsi="Times New Roman"/>
          <w:noProof/>
        </w:rPr>
        <w:fldChar w:fldCharType="begin"/>
      </w:r>
      <w:r w:rsidR="002D0E3A" w:rsidRPr="00FB2C9B">
        <w:rPr>
          <w:rFonts w:ascii="Times New Roman" w:hAnsi="Times New Roman"/>
          <w:noProof/>
          <w:lang w:val="da-DK"/>
        </w:rPr>
        <w:instrText xml:space="preserve"> ADDIN EN.CITE &lt;EndNote&gt;&lt;Cite&gt;&lt;Author&gt;Christie&lt;/Author&gt;&lt;Year&gt;2013&lt;/Year&gt;&lt;RecNum&gt;4&lt;/RecNum&gt;&lt;DisplayText&gt;Christie et al. 2013&lt;/DisplayText&gt;&lt;record&gt;&lt;rec-number&gt;4&lt;/rec-number&gt;&lt;foreign-keys&gt;&lt;key app="EN" db-id="r2savzrxwddstne9dvmp0wderfxdtarefrzr" timestamp="1493841983"&gt;4&lt;/key&gt;&lt;/foreign-keys&gt;&lt;ref-type name="Journal Article"&gt;17&lt;/ref-type&gt;&lt;contributors&gt;&lt;authors&gt;&lt;author&gt;Christie, Max&lt;/author&gt;&lt;author&gt;Holland, Steven M.&lt;/author&gt;&lt;author&gt;Bush, Andrew M.&lt;/author&gt;&lt;/authors&gt;&lt;/contributors&gt;&lt;titles&gt;&lt;title&gt;Contrasting the ecological and taxonomic consequences of extinction&lt;/title&gt;&lt;secondary-title&gt;Paleobiology&lt;/secondary-title&gt;&lt;/titles&gt;&lt;periodical&gt;&lt;full-title&gt;Paleobiology&lt;/full-title&gt;&lt;/periodical&gt;&lt;pages&gt;538-559&lt;/pages&gt;&lt;volume&gt;39&lt;/volume&gt;&lt;number&gt;4&lt;/number&gt;&lt;edition&gt;2013/06/01&lt;/edition&gt;&lt;section&gt;538&lt;/section&gt;&lt;dates&gt;&lt;year&gt;2013&lt;/year&gt;&lt;pub-dates&gt;&lt;date&gt;2013/12/01&lt;/date&gt;&lt;/pub-dates&gt;&lt;/dates&gt;&lt;publisher&gt;The Paleontological Society&lt;/publisher&gt;&lt;isbn&gt;0094-8373&lt;/isbn&gt;&lt;urls&gt;&lt;related-urls&gt;&lt;url&gt;http://dx.doi.org/10.1666/12033&lt;/url&gt;&lt;/related-urls&gt;&lt;/urls&gt;&lt;electronic-resource-num&gt;10.1666/12033&lt;/electronic-resource-num&gt;&lt;access-date&gt;2013/08/28&lt;/access-date&gt;&lt;/record&gt;&lt;/Cite&gt;&lt;/EndNote&gt;</w:instrText>
      </w:r>
      <w:r w:rsidR="002D0E3A">
        <w:rPr>
          <w:rFonts w:ascii="Times New Roman" w:hAnsi="Times New Roman"/>
          <w:noProof/>
        </w:rPr>
        <w:fldChar w:fldCharType="separate"/>
      </w:r>
      <w:r w:rsidR="002D0E3A" w:rsidRPr="00FB2C9B">
        <w:rPr>
          <w:rFonts w:ascii="Times New Roman" w:hAnsi="Times New Roman"/>
          <w:noProof/>
          <w:lang w:val="da-DK"/>
        </w:rPr>
        <w:t>Christie et al. 2013</w:t>
      </w:r>
      <w:r w:rsidR="002D0E3A">
        <w:rPr>
          <w:rFonts w:ascii="Times New Roman" w:hAnsi="Times New Roman"/>
          <w:noProof/>
        </w:rPr>
        <w:fldChar w:fldCharType="end"/>
      </w:r>
      <w:r w:rsidR="00FF08E6" w:rsidRPr="00FB2C9B">
        <w:rPr>
          <w:rFonts w:ascii="Times New Roman" w:hAnsi="Times New Roman"/>
          <w:lang w:val="da-DK"/>
        </w:rPr>
        <w:t xml:space="preserve">; </w:t>
      </w:r>
      <w:r w:rsidR="002D0E3A">
        <w:rPr>
          <w:rFonts w:ascii="Times New Roman" w:hAnsi="Times New Roman"/>
          <w:noProof/>
        </w:rPr>
        <w:fldChar w:fldCharType="begin"/>
      </w:r>
      <w:r w:rsidR="002D0E3A" w:rsidRPr="00FB2C9B">
        <w:rPr>
          <w:rFonts w:ascii="Times New Roman" w:hAnsi="Times New Roman"/>
          <w:noProof/>
          <w:lang w:val="da-DK"/>
        </w:rPr>
        <w:instrText xml:space="preserve"> ADDIN EN.CITE &lt;EndNote&gt;&lt;Cite&gt;&lt;Author&gt;McGhee&lt;/Author&gt;&lt;Year&gt;2013&lt;/Year&gt;&lt;RecNum&gt;20&lt;/RecNum&gt;&lt;DisplayText&gt;McGhee et al. 2013&lt;/DisplayText&gt;&lt;</w:instrText>
      </w:r>
      <w:r w:rsidR="002D0E3A" w:rsidRPr="00E20C6C">
        <w:rPr>
          <w:rFonts w:ascii="Times New Roman" w:hAnsi="Times New Roman"/>
          <w:noProof/>
        </w:rPr>
        <w:instrText>record&gt;&lt;rec-number&gt;20&lt;/rec-number&gt;&lt;foreign-keys&gt;&lt;key app="EN" db-id="r2savzrxwddstne9dvmp0wderfxdtarefrzr" timestamp="1493841983"&gt;20&lt;/key&gt;&lt;/foreign-keys&gt;&lt;ref-t</w:instrText>
      </w:r>
      <w:r w:rsidR="002D0E3A" w:rsidRPr="00A04AA4">
        <w:rPr>
          <w:rFonts w:ascii="Times New Roman" w:hAnsi="Times New Roman"/>
          <w:noProof/>
        </w:rPr>
        <w:instrText>ype name="Journal Article"&gt;17&lt;/ref-type&gt;&lt;contributors&gt;&lt;authors&gt;&lt;author&gt;McGhee, George R., Jr.&lt;/author&gt;&lt;author&gt;Clapham, Matthew E.&lt;/author&gt;&lt;author&gt;Sheehan, Peter M.&lt;/author&gt;&lt;author&gt;Bottjer, David J.&lt;/author&gt;&lt;author&gt;Droser, Mary L.&lt;/author&gt;&lt;/authors&gt;&lt;/contributors&gt;&lt;titles&gt;&lt;title&gt;A new ecological-severity ranking of major Phanerozoic biodiversity crises&lt;/title&gt;&lt;secondary-title&gt;Palaeogeography, Palaeoclimatology, Palaeoecology&lt;/secondary-title&gt;&lt;/titles&gt;&lt;periodical&gt;&lt;full-title&gt;Palaeogeography, Palaeoclimatology, Palaeoecology&lt;/full-title&gt;&lt;/periodical&gt;&lt;pages&gt;260-270&lt;/pages&gt;&lt;volume&gt;370&lt;/volume&gt;&lt;number&gt;0&lt;/number&gt;&lt;keywords&gt;&lt;keyword&gt;Biodiversity crisis&lt;/keyword&gt;&lt;keyword&gt;Mass extinction&lt;/keyword&gt;&lt;keyword&gt;Invasive species&lt;/keyword&gt;&lt;keyword&gt;Ecosystem evolution&lt;/keyword&gt;&lt;keyword&gt;Volcanism&lt;/keyword&gt;&lt;keyword&gt;Glaciation&lt;/keyword&gt;&lt;/keywords&gt;&lt;dates&gt;&lt;year&gt;2013&lt;/year&gt;&lt;pub-dates&gt;&lt;date&gt;2013/01/15&lt;/date&gt;&lt;/pub-dates&gt;&lt;/dates&gt;&lt;isbn&gt;0031-0182&lt;/isbn&gt;&lt;urls&gt;&lt;related-urls&gt;&lt;url&gt;http://www.sciencedirect.com/science/article/pii/S0031018212007018&lt;/url&gt;&lt;url&gt;http://ac.els-cdn.com/S0031018212007018/1-s2.0-S0031018212007018-main.pdf?_tid=34f844b8-b166-11e4-bc42-00000aab0f27&amp;amp;acdnat=1423601506_fe7524a</w:instrText>
      </w:r>
      <w:r w:rsidR="002D0E3A" w:rsidRPr="007A6DC0">
        <w:rPr>
          <w:rFonts w:ascii="Times New Roman" w:hAnsi="Times New Roman"/>
          <w:noProof/>
        </w:rPr>
        <w:instrText>993179809385b666</w:instrText>
      </w:r>
      <w:r w:rsidR="002D0E3A">
        <w:rPr>
          <w:rFonts w:ascii="Times New Roman" w:hAnsi="Times New Roman"/>
          <w:noProof/>
        </w:rPr>
        <w:instrText>98f34b8d8&lt;/url&gt;&lt;/related-urls&gt;&lt;/urls&gt;&lt;electronic-resource-num&gt;10.1016/j.palaeo.2012.12.019&lt;/electronic-resource-num&gt;&lt;/record&gt;&lt;/Cite&gt;&lt;/EndNote&gt;</w:instrText>
      </w:r>
      <w:r w:rsidR="002D0E3A">
        <w:rPr>
          <w:rFonts w:ascii="Times New Roman" w:hAnsi="Times New Roman"/>
          <w:noProof/>
        </w:rPr>
        <w:fldChar w:fldCharType="separate"/>
      </w:r>
      <w:r w:rsidR="002D0E3A">
        <w:rPr>
          <w:rFonts w:ascii="Times New Roman" w:hAnsi="Times New Roman"/>
          <w:noProof/>
        </w:rPr>
        <w:t>McGhee et al. 2013</w:t>
      </w:r>
      <w:r w:rsidR="002D0E3A">
        <w:rPr>
          <w:rFonts w:ascii="Times New Roman" w:hAnsi="Times New Roman"/>
          <w:noProof/>
        </w:rPr>
        <w:fldChar w:fldCharType="end"/>
      </w:r>
      <w:r w:rsidR="004B7533">
        <w:rPr>
          <w:rFonts w:ascii="Times New Roman" w:hAnsi="Times New Roman"/>
          <w:noProof/>
        </w:rPr>
        <w:t>)</w:t>
      </w:r>
      <w:r w:rsidR="005D3778">
        <w:rPr>
          <w:rFonts w:ascii="Times New Roman" w:hAnsi="Times New Roman"/>
        </w:rPr>
        <w:t xml:space="preserve">, </w:t>
      </w:r>
      <w:r w:rsidR="004B7533">
        <w:rPr>
          <w:rFonts w:ascii="Times New Roman" w:hAnsi="Times New Roman"/>
        </w:rPr>
        <w:t xml:space="preserve">we expect </w:t>
      </w:r>
      <w:r w:rsidR="000C64AB">
        <w:rPr>
          <w:rFonts w:ascii="Times New Roman" w:hAnsi="Times New Roman"/>
        </w:rPr>
        <w:t xml:space="preserve">major changes in dominant taxa associated with </w:t>
      </w:r>
      <w:r w:rsidR="00FF08E6">
        <w:rPr>
          <w:rFonts w:ascii="Times New Roman" w:hAnsi="Times New Roman"/>
        </w:rPr>
        <w:t>these</w:t>
      </w:r>
      <w:r w:rsidR="005D3778">
        <w:rPr>
          <w:rFonts w:ascii="Times New Roman" w:hAnsi="Times New Roman"/>
        </w:rPr>
        <w:t xml:space="preserve"> </w:t>
      </w:r>
      <w:r>
        <w:rPr>
          <w:rFonts w:ascii="Times New Roman" w:hAnsi="Times New Roman"/>
        </w:rPr>
        <w:t>episodes</w:t>
      </w:r>
      <w:r w:rsidR="005D3778">
        <w:rPr>
          <w:rFonts w:ascii="Times New Roman" w:hAnsi="Times New Roman"/>
        </w:rPr>
        <w:t xml:space="preserve">. </w:t>
      </w:r>
    </w:p>
    <w:p w14:paraId="226C48E0" w14:textId="77777777" w:rsidR="00CE1FD4" w:rsidRDefault="00CE1FD4" w:rsidP="00910CED">
      <w:pPr>
        <w:spacing w:line="480" w:lineRule="auto"/>
        <w:ind w:firstLine="360"/>
        <w:rPr>
          <w:rFonts w:ascii="Times New Roman" w:hAnsi="Times New Roman"/>
        </w:rPr>
      </w:pPr>
    </w:p>
    <w:p w14:paraId="1D4EB4BB" w14:textId="77EB664B" w:rsidR="00F418E2" w:rsidRPr="00834742" w:rsidRDefault="00910CED" w:rsidP="00834742">
      <w:pPr>
        <w:keepNext/>
        <w:spacing w:line="480" w:lineRule="auto"/>
        <w:ind w:firstLine="360"/>
        <w:rPr>
          <w:rFonts w:ascii="Times New Roman" w:hAnsi="Times New Roman"/>
          <w:i/>
        </w:rPr>
      </w:pPr>
      <w:r w:rsidRPr="00834742">
        <w:rPr>
          <w:rFonts w:ascii="Times New Roman" w:hAnsi="Times New Roman"/>
          <w:i/>
        </w:rPr>
        <w:lastRenderedPageBreak/>
        <w:t>What is Meant by Common?</w:t>
      </w:r>
      <w:r w:rsidR="00834742">
        <w:rPr>
          <w:rFonts w:ascii="Times New Roman" w:hAnsi="Times New Roman"/>
          <w:i/>
          <w:szCs w:val="24"/>
        </w:rPr>
        <w:t>.</w:t>
      </w:r>
      <w:r w:rsidR="00834742">
        <w:rPr>
          <w:rFonts w:ascii="Times New Roman" w:hAnsi="Times New Roman"/>
          <w:i/>
          <w:szCs w:val="24"/>
          <w:rtl/>
        </w:rPr>
        <w:t>—</w:t>
      </w:r>
      <w:r w:rsidR="00834742">
        <w:rPr>
          <w:rFonts w:ascii="Times New Roman" w:hAnsi="Times New Roman"/>
          <w:i/>
          <w:szCs w:val="24"/>
        </w:rPr>
        <w:t xml:space="preserve"> </w:t>
      </w:r>
      <w:r w:rsidR="00F418E2">
        <w:rPr>
          <w:rFonts w:ascii="Times New Roman" w:hAnsi="Times New Roman"/>
          <w:szCs w:val="24"/>
        </w:rPr>
        <w:t>There are challenges to examining common species in the fossil record. First, i</w:t>
      </w:r>
      <w:r w:rsidR="006D1EF4">
        <w:rPr>
          <w:rFonts w:ascii="Times New Roman" w:hAnsi="Times New Roman"/>
          <w:szCs w:val="24"/>
        </w:rPr>
        <w:t>n s</w:t>
      </w:r>
      <w:r w:rsidR="00FF08E6">
        <w:rPr>
          <w:rFonts w:ascii="Times New Roman" w:hAnsi="Times New Roman"/>
          <w:szCs w:val="24"/>
        </w:rPr>
        <w:t>ynoptic databases</w:t>
      </w:r>
      <w:r w:rsidR="006D1EF4">
        <w:rPr>
          <w:rFonts w:ascii="Times New Roman" w:hAnsi="Times New Roman"/>
          <w:szCs w:val="24"/>
        </w:rPr>
        <w:t>,</w:t>
      </w:r>
      <w:r w:rsidR="00FF08E6">
        <w:rPr>
          <w:rFonts w:ascii="Times New Roman" w:hAnsi="Times New Roman"/>
          <w:szCs w:val="24"/>
        </w:rPr>
        <w:t xml:space="preserve"> such as the Paleobiology Database</w:t>
      </w:r>
      <w:r w:rsidR="00F418E2">
        <w:rPr>
          <w:rFonts w:ascii="Times New Roman" w:hAnsi="Times New Roman"/>
          <w:szCs w:val="24"/>
        </w:rPr>
        <w:t xml:space="preserve"> (PaleoDB) </w:t>
      </w:r>
      <w:r w:rsidR="006D1EF4">
        <w:rPr>
          <w:rFonts w:ascii="Times New Roman" w:hAnsi="Times New Roman"/>
          <w:szCs w:val="24"/>
        </w:rPr>
        <w:t>that we utilize here</w:t>
      </w:r>
      <w:r w:rsidR="00FF08E6">
        <w:rPr>
          <w:rFonts w:ascii="Times New Roman" w:hAnsi="Times New Roman"/>
          <w:szCs w:val="24"/>
        </w:rPr>
        <w:t>, local abundance data is often unavailable</w:t>
      </w:r>
      <w:r w:rsidR="00F418E2">
        <w:rPr>
          <w:rFonts w:ascii="Times New Roman" w:hAnsi="Times New Roman"/>
          <w:szCs w:val="24"/>
        </w:rPr>
        <w:t>. L</w:t>
      </w:r>
      <w:r w:rsidR="005A3000">
        <w:rPr>
          <w:rFonts w:ascii="Times New Roman" w:hAnsi="Times New Roman"/>
          <w:szCs w:val="24"/>
        </w:rPr>
        <w:t xml:space="preserve">ess than a third of the </w:t>
      </w:r>
      <w:r w:rsidR="00F418E2">
        <w:rPr>
          <w:rFonts w:ascii="Times New Roman" w:hAnsi="Times New Roman"/>
          <w:szCs w:val="24"/>
        </w:rPr>
        <w:t xml:space="preserve">PaleoDB </w:t>
      </w:r>
      <w:r w:rsidR="005A3000">
        <w:rPr>
          <w:rFonts w:ascii="Times New Roman" w:hAnsi="Times New Roman"/>
          <w:szCs w:val="24"/>
        </w:rPr>
        <w:t>occurrences used in this study</w:t>
      </w:r>
      <w:r w:rsidR="006D1EF4">
        <w:rPr>
          <w:rFonts w:ascii="Times New Roman" w:hAnsi="Times New Roman"/>
          <w:szCs w:val="24"/>
        </w:rPr>
        <w:t xml:space="preserve"> have associated </w:t>
      </w:r>
      <w:r w:rsidR="005E027C">
        <w:rPr>
          <w:rFonts w:ascii="Times New Roman" w:hAnsi="Times New Roman"/>
          <w:szCs w:val="24"/>
        </w:rPr>
        <w:t>abundance information</w:t>
      </w:r>
      <w:r w:rsidR="006D1EF4">
        <w:rPr>
          <w:rFonts w:ascii="Times New Roman" w:hAnsi="Times New Roman"/>
          <w:szCs w:val="24"/>
        </w:rPr>
        <w:t xml:space="preserve">. </w:t>
      </w:r>
      <w:r w:rsidR="002A5CF4">
        <w:rPr>
          <w:rFonts w:ascii="Times New Roman" w:hAnsi="Times New Roman"/>
          <w:szCs w:val="24"/>
        </w:rPr>
        <w:t xml:space="preserve">Moreover, the nature of the abundance data is not always consistent: for example, counts are </w:t>
      </w:r>
      <w:r w:rsidR="008E28E0">
        <w:rPr>
          <w:rFonts w:ascii="Times New Roman" w:hAnsi="Times New Roman"/>
          <w:szCs w:val="24"/>
        </w:rPr>
        <w:t xml:space="preserve">often </w:t>
      </w:r>
      <w:r w:rsidR="002A5CF4">
        <w:rPr>
          <w:rFonts w:ascii="Times New Roman" w:hAnsi="Times New Roman"/>
          <w:szCs w:val="24"/>
        </w:rPr>
        <w:t xml:space="preserve">available for one </w:t>
      </w:r>
      <w:r w:rsidR="006D1EF4">
        <w:rPr>
          <w:rFonts w:ascii="Times New Roman" w:hAnsi="Times New Roman"/>
          <w:szCs w:val="24"/>
        </w:rPr>
        <w:t xml:space="preserve">taxon </w:t>
      </w:r>
      <w:r w:rsidR="002A5CF4">
        <w:rPr>
          <w:rFonts w:ascii="Times New Roman" w:hAnsi="Times New Roman"/>
          <w:szCs w:val="24"/>
        </w:rPr>
        <w:t>but not for others</w:t>
      </w:r>
      <w:r w:rsidR="00FB2C9B">
        <w:rPr>
          <w:rFonts w:ascii="Times New Roman" w:hAnsi="Times New Roman"/>
          <w:szCs w:val="24"/>
        </w:rPr>
        <w:t xml:space="preserve">. </w:t>
      </w:r>
      <w:r w:rsidR="002A5CF4">
        <w:rPr>
          <w:rFonts w:ascii="Times New Roman" w:hAnsi="Times New Roman"/>
          <w:szCs w:val="24"/>
        </w:rPr>
        <w:t xml:space="preserve">However, given </w:t>
      </w:r>
      <w:r w:rsidR="00FF08E6">
        <w:rPr>
          <w:rFonts w:ascii="Times New Roman" w:hAnsi="Times New Roman"/>
          <w:szCs w:val="24"/>
        </w:rPr>
        <w:t>the association between abundance and geographic range</w:t>
      </w:r>
      <w:r w:rsidR="002A5CF4">
        <w:rPr>
          <w:rFonts w:ascii="Times New Roman" w:hAnsi="Times New Roman"/>
          <w:szCs w:val="24"/>
        </w:rPr>
        <w:t xml:space="preserve"> documented by other workers</w:t>
      </w:r>
      <w:r w:rsidR="00FF08E6">
        <w:rPr>
          <w:rFonts w:ascii="Times New Roman" w:hAnsi="Times New Roman"/>
          <w:szCs w:val="24"/>
        </w:rPr>
        <w:t xml:space="preserve">, </w:t>
      </w:r>
      <w:r w:rsidR="006D1EF4">
        <w:rPr>
          <w:rFonts w:ascii="Times New Roman" w:hAnsi="Times New Roman"/>
          <w:szCs w:val="24"/>
        </w:rPr>
        <w:t xml:space="preserve">it is safe to </w:t>
      </w:r>
      <w:r w:rsidR="00FF08E6">
        <w:rPr>
          <w:rFonts w:ascii="Times New Roman" w:hAnsi="Times New Roman"/>
          <w:szCs w:val="24"/>
        </w:rPr>
        <w:t xml:space="preserve">assume that taxa with large geographic ranges will also tend to be </w:t>
      </w:r>
      <w:r w:rsidR="00AE52C9">
        <w:rPr>
          <w:rFonts w:ascii="Times New Roman" w:hAnsi="Times New Roman"/>
          <w:szCs w:val="24"/>
        </w:rPr>
        <w:t xml:space="preserve">locally </w:t>
      </w:r>
      <w:r w:rsidR="00FF08E6">
        <w:rPr>
          <w:rFonts w:ascii="Times New Roman" w:hAnsi="Times New Roman"/>
          <w:szCs w:val="24"/>
        </w:rPr>
        <w:t xml:space="preserve">abundant. To a first approximation, therefore, common fossil taxa are those that are found at a large number of localities. </w:t>
      </w:r>
    </w:p>
    <w:p w14:paraId="38398E0C" w14:textId="26D1C43B" w:rsidR="00F418E2" w:rsidRDefault="00F418E2" w:rsidP="00F418E2">
      <w:pPr>
        <w:spacing w:line="480" w:lineRule="auto"/>
        <w:ind w:firstLine="360"/>
        <w:rPr>
          <w:rFonts w:ascii="Times New Roman" w:hAnsi="Times New Roman"/>
        </w:rPr>
      </w:pPr>
      <w:r>
        <w:rPr>
          <w:rFonts w:ascii="Times New Roman" w:hAnsi="Times New Roman"/>
        </w:rPr>
        <w:t>Second</w:t>
      </w:r>
      <w:r w:rsidR="008E28E0">
        <w:rPr>
          <w:rFonts w:ascii="Times New Roman" w:hAnsi="Times New Roman"/>
        </w:rPr>
        <w:t>,</w:t>
      </w:r>
      <w:r>
        <w:rPr>
          <w:rFonts w:ascii="Times New Roman" w:hAnsi="Times New Roman"/>
        </w:rPr>
        <w:t xml:space="preserve"> although there is qualitative recognition of when a taxon is common and when it is rare, there is no ecological or paleontological consensus on the criteria on for this or even a generally used term to refer to common taxa. </w:t>
      </w:r>
      <w:r w:rsidR="007D71CF">
        <w:rPr>
          <w:rFonts w:ascii="Times New Roman" w:hAnsi="Times New Roman"/>
        </w:rPr>
        <w:t xml:space="preserve">For example, although </w:t>
      </w:r>
      <w:r w:rsidR="007D71CF" w:rsidRPr="00F64AF4">
        <w:rPr>
          <w:rFonts w:ascii="Times New Roman" w:hAnsi="Times New Roman"/>
        </w:rPr>
        <w:t>Hannisdal et al. (</w:t>
      </w:r>
      <w:r w:rsidR="007D71CF" w:rsidRPr="00F64AF4">
        <w:rPr>
          <w:rFonts w:ascii="Times New Roman" w:hAnsi="Times New Roman"/>
        </w:rPr>
        <w:fldChar w:fldCharType="begin"/>
      </w:r>
      <w:r w:rsidR="007D71CF" w:rsidRPr="00F64AF4">
        <w:rPr>
          <w:rFonts w:ascii="Times New Roman" w:hAnsi="Times New Roman"/>
        </w:rPr>
        <w:instrText xml:space="preserve"> ADDIN EN.CITE &lt;EndNote&gt;&lt;Cite ExcludeAuth="1"&gt;&lt;Author&gt;Hannisdal&lt;/Author&gt;&lt;Year&gt;2017&lt;/Year&gt;&lt;RecNum&gt;75&lt;/RecNum&gt;&lt;DisplayText&gt;2017&lt;/DisplayText&gt;&lt;record&gt;&lt;rec-number&gt;75&lt;/rec-number&gt;&lt;foreign-keys&gt;&lt;key app="EN" db-id="r2savzrxwddstne9dvmp0wderfxdtarefrzr" timestamp="1509137644"&gt;75&lt;/key&gt;&lt;/foreign-keys&gt;&lt;ref-type name="Journal Article"&gt;17&lt;/ref-type&gt;&lt;contributors&gt;&lt;authors&gt;&lt;author&gt;Hannisdal, Bjarte&lt;/author&gt;&lt;author&gt;Haaga, Kristian Agasøster&lt;/author&gt;&lt;author&gt;Reitan, Trond&lt;/author&gt;&lt;author&gt;Diego, David&lt;/author&gt;&lt;author&gt;Liow, Lee Hsiang&lt;/author&gt;&lt;/authors&gt;&lt;/contributors&gt;&lt;titles&gt;&lt;title&gt;Common species link global ecosystems to climate change: dynamical evidence in the planktonic fossil record&lt;/title&gt;&lt;secondary-title&gt;Proceedings of the Royal Society B: Biological Sciences&lt;/secondary-title&gt;&lt;/titles&gt;&lt;periodical&gt;&lt;full-title&gt;Proceedings of the Royal Society B: Biological Sciences&lt;/full-title&gt;&lt;/periodical&gt;&lt;volume&gt;284&lt;/volume&gt;&lt;number&gt;1858&lt;/number&gt;&lt;edition&gt;2016/03/15&lt;/edition&gt;&lt;dates&gt;&lt;year&gt;2017&lt;/year&gt;&lt;pub-dates&gt;&lt;date&gt;2017/08/11&lt;/date&gt;&lt;/pub-dates&gt;&lt;/dates&gt;&lt;urls&gt;&lt;related-urls&gt;&lt;url&gt;http://rspb.royalsocietypublishing.org/content/royprsb/284/1858/20170722.full.pdf&lt;/url&gt;&lt;url&gt;http://dx.doi.org/10.1101/043729&lt;/url&gt;&lt;/related-urls&gt;&lt;/urls&gt;&lt;electronic-resource-num&gt;10.1098/rspb.2017.0722&lt;/electronic-resource-num&gt;&lt;/record&gt;&lt;/Cite&gt;&lt;/EndNote&gt;</w:instrText>
      </w:r>
      <w:r w:rsidR="007D71CF" w:rsidRPr="00F64AF4">
        <w:rPr>
          <w:rFonts w:ascii="Times New Roman" w:hAnsi="Times New Roman"/>
        </w:rPr>
        <w:fldChar w:fldCharType="separate"/>
      </w:r>
      <w:r w:rsidR="007D71CF" w:rsidRPr="00F64AF4">
        <w:rPr>
          <w:rFonts w:ascii="Times New Roman" w:hAnsi="Times New Roman"/>
          <w:noProof/>
        </w:rPr>
        <w:t>2017</w:t>
      </w:r>
      <w:r w:rsidR="007D71CF" w:rsidRPr="00F64AF4">
        <w:rPr>
          <w:rFonts w:ascii="Times New Roman" w:hAnsi="Times New Roman"/>
        </w:rPr>
        <w:fldChar w:fldCharType="end"/>
      </w:r>
      <w:r w:rsidR="007D71CF" w:rsidRPr="00F64AF4">
        <w:rPr>
          <w:rFonts w:ascii="Times New Roman" w:hAnsi="Times New Roman"/>
        </w:rPr>
        <w:t>) characterize taxa with high site occupancy on a global level as being common, they do not propose  a cutoff between common and not common.</w:t>
      </w:r>
      <w:r w:rsidR="007D71CF">
        <w:rPr>
          <w:rFonts w:ascii="Times New Roman" w:hAnsi="Times New Roman"/>
        </w:rPr>
        <w:t xml:space="preserve"> </w:t>
      </w:r>
      <w:r>
        <w:rPr>
          <w:rFonts w:ascii="Times New Roman" w:hAnsi="Times New Roman"/>
        </w:rPr>
        <w:t xml:space="preserve">There is no </w:t>
      </w:r>
      <w:r w:rsidR="00EA1B96">
        <w:rPr>
          <w:rFonts w:ascii="Times New Roman" w:hAnsi="Times New Roman"/>
        </w:rPr>
        <w:t xml:space="preserve">obvious </w:t>
      </w:r>
      <w:r>
        <w:rPr>
          <w:rFonts w:ascii="Times New Roman" w:hAnsi="Times New Roman"/>
        </w:rPr>
        <w:t>natural separation between common and less common taxa in the Paleobiology Database</w:t>
      </w:r>
      <w:r w:rsidR="00084AD1">
        <w:rPr>
          <w:rFonts w:ascii="Times New Roman" w:hAnsi="Times New Roman"/>
        </w:rPr>
        <w:t xml:space="preserve">. </w:t>
      </w:r>
      <w:r>
        <w:rPr>
          <w:rFonts w:ascii="Times New Roman" w:hAnsi="Times New Roman"/>
        </w:rPr>
        <w:t xml:space="preserve">Although the distribution of number of occurrences per taxon </w:t>
      </w:r>
      <w:r w:rsidRPr="00F24141">
        <w:rPr>
          <w:rFonts w:ascii="Times New Roman" w:hAnsi="Times New Roman"/>
        </w:rPr>
        <w:t>is</w:t>
      </w:r>
      <w:r>
        <w:rPr>
          <w:rFonts w:ascii="Times New Roman" w:hAnsi="Times New Roman"/>
        </w:rPr>
        <w:t xml:space="preserve"> </w:t>
      </w:r>
      <w:r w:rsidRPr="00F24141">
        <w:rPr>
          <w:rFonts w:ascii="Times New Roman" w:hAnsi="Times New Roman"/>
        </w:rPr>
        <w:t xml:space="preserve">heavily skewed, as </w:t>
      </w:r>
      <w:r>
        <w:rPr>
          <w:rFonts w:ascii="Times New Roman" w:hAnsi="Times New Roman"/>
        </w:rPr>
        <w:t xml:space="preserve">shown in Plotnick and Wagner (2006), it </w:t>
      </w:r>
      <w:r w:rsidRPr="00F24141">
        <w:rPr>
          <w:rFonts w:ascii="Times New Roman" w:hAnsi="Times New Roman"/>
        </w:rPr>
        <w:t xml:space="preserve">is continuous and without natural breaks. </w:t>
      </w:r>
      <w:r>
        <w:rPr>
          <w:rFonts w:ascii="Times New Roman" w:hAnsi="Times New Roman"/>
        </w:rPr>
        <w:t xml:space="preserve">For example, the </w:t>
      </w:r>
      <w:r w:rsidRPr="00F24141">
        <w:rPr>
          <w:rFonts w:ascii="Times New Roman" w:hAnsi="Times New Roman"/>
        </w:rPr>
        <w:t>cumulative proportion of occurrences v</w:t>
      </w:r>
      <w:r>
        <w:rPr>
          <w:rFonts w:ascii="Times New Roman" w:hAnsi="Times New Roman"/>
        </w:rPr>
        <w:t>ersus</w:t>
      </w:r>
      <w:r w:rsidRPr="00F24141">
        <w:rPr>
          <w:rFonts w:ascii="Times New Roman" w:hAnsi="Times New Roman"/>
        </w:rPr>
        <w:t xml:space="preserve"> rank</w:t>
      </w:r>
      <w:r>
        <w:rPr>
          <w:rFonts w:ascii="Times New Roman" w:hAnsi="Times New Roman"/>
        </w:rPr>
        <w:t xml:space="preserve"> for brachiopods in the P</w:t>
      </w:r>
      <w:r w:rsidR="00084AD1">
        <w:rPr>
          <w:rFonts w:ascii="Times New Roman" w:hAnsi="Times New Roman"/>
        </w:rPr>
        <w:t>ermian 3 bin is shown in Fig</w:t>
      </w:r>
      <w:r w:rsidR="00B2483E">
        <w:rPr>
          <w:rFonts w:ascii="Times New Roman" w:hAnsi="Times New Roman"/>
        </w:rPr>
        <w:t>ure</w:t>
      </w:r>
      <w:r w:rsidR="00084AD1">
        <w:rPr>
          <w:rFonts w:ascii="Times New Roman" w:hAnsi="Times New Roman"/>
        </w:rPr>
        <w:t xml:space="preserve"> </w:t>
      </w:r>
      <w:r>
        <w:rPr>
          <w:rFonts w:ascii="Times New Roman" w:hAnsi="Times New Roman"/>
        </w:rPr>
        <w:t>1</w:t>
      </w:r>
      <w:r w:rsidR="00084AD1">
        <w:rPr>
          <w:rFonts w:ascii="Times New Roman" w:hAnsi="Times New Roman"/>
        </w:rPr>
        <w:t xml:space="preserve"> (see also </w:t>
      </w:r>
      <w:r w:rsidR="00B2483E">
        <w:rPr>
          <w:rFonts w:ascii="Times New Roman" w:hAnsi="Times New Roman"/>
        </w:rPr>
        <w:t xml:space="preserve">Supplementary </w:t>
      </w:r>
      <w:r w:rsidR="00084AD1">
        <w:rPr>
          <w:rFonts w:ascii="Times New Roman" w:hAnsi="Times New Roman"/>
        </w:rPr>
        <w:t>Fig. 1)</w:t>
      </w:r>
      <w:r w:rsidR="00F230EE">
        <w:rPr>
          <w:rFonts w:ascii="Times New Roman" w:hAnsi="Times New Roman"/>
        </w:rPr>
        <w:t xml:space="preserve">. </w:t>
      </w:r>
    </w:p>
    <w:p w14:paraId="130B42A5" w14:textId="50987404" w:rsidR="00F418E2" w:rsidRPr="00EA54AA" w:rsidRDefault="00F418E2" w:rsidP="00FD55C8">
      <w:pPr>
        <w:spacing w:line="480" w:lineRule="auto"/>
        <w:ind w:firstLine="360"/>
        <w:rPr>
          <w:rFonts w:ascii="Times New Roman" w:hAnsi="Times New Roman"/>
        </w:rPr>
      </w:pPr>
      <w:r>
        <w:rPr>
          <w:rFonts w:ascii="Times New Roman" w:hAnsi="Times New Roman"/>
        </w:rPr>
        <w:t xml:space="preserve">In this paper, we will use “dominant” to refer to genera that are responsible for a disproportionate </w:t>
      </w:r>
      <w:r w:rsidR="00EA1B96">
        <w:rPr>
          <w:rFonts w:ascii="Times New Roman" w:hAnsi="Times New Roman"/>
        </w:rPr>
        <w:t>share</w:t>
      </w:r>
      <w:r>
        <w:rPr>
          <w:rFonts w:ascii="Times New Roman" w:hAnsi="Times New Roman"/>
        </w:rPr>
        <w:t xml:space="preserve"> of occurrences </w:t>
      </w:r>
      <w:r w:rsidR="00EA1B96">
        <w:rPr>
          <w:rFonts w:ascii="Times New Roman" w:hAnsi="Times New Roman"/>
        </w:rPr>
        <w:t xml:space="preserve">within defined higher taxa </w:t>
      </w:r>
      <w:r>
        <w:rPr>
          <w:rFonts w:ascii="Times New Roman" w:hAnsi="Times New Roman"/>
        </w:rPr>
        <w:t>in a particular time bin</w:t>
      </w:r>
      <w:r w:rsidR="00F230EE">
        <w:rPr>
          <w:rFonts w:ascii="Times New Roman" w:hAnsi="Times New Roman"/>
        </w:rPr>
        <w:t xml:space="preserve">. </w:t>
      </w:r>
      <w:r w:rsidR="00E20C6C">
        <w:rPr>
          <w:rFonts w:ascii="Times New Roman" w:hAnsi="Times New Roman"/>
        </w:rPr>
        <w:t>W</w:t>
      </w:r>
      <w:r>
        <w:rPr>
          <w:rFonts w:ascii="Times New Roman" w:hAnsi="Times New Roman"/>
        </w:rPr>
        <w:t>e distinguish dominant from non-dominant taxa based on ranking of the genera by the number of occurrences</w:t>
      </w:r>
      <w:r w:rsidR="00EA1B96">
        <w:rPr>
          <w:rFonts w:ascii="Times New Roman" w:hAnsi="Times New Roman"/>
        </w:rPr>
        <w:t xml:space="preserve"> in a temporal bin</w:t>
      </w:r>
      <w:r>
        <w:rPr>
          <w:rFonts w:ascii="Times New Roman" w:hAnsi="Times New Roman"/>
        </w:rPr>
        <w:t xml:space="preserve">, with </w:t>
      </w:r>
      <w:r w:rsidR="00EA1B96">
        <w:rPr>
          <w:rFonts w:ascii="Times New Roman" w:hAnsi="Times New Roman"/>
        </w:rPr>
        <w:t xml:space="preserve">dominant </w:t>
      </w:r>
      <w:r>
        <w:rPr>
          <w:rFonts w:ascii="Times New Roman" w:hAnsi="Times New Roman"/>
        </w:rPr>
        <w:t xml:space="preserve">genera ranking as either the top ten within a target </w:t>
      </w:r>
      <w:r>
        <w:rPr>
          <w:rFonts w:ascii="Times New Roman" w:hAnsi="Times New Roman"/>
        </w:rPr>
        <w:lastRenderedPageBreak/>
        <w:t xml:space="preserve">class or top twenty for all </w:t>
      </w:r>
      <w:r w:rsidR="00EA1B96">
        <w:rPr>
          <w:rFonts w:ascii="Times New Roman" w:hAnsi="Times New Roman"/>
        </w:rPr>
        <w:t xml:space="preserve">six target </w:t>
      </w:r>
      <w:r>
        <w:rPr>
          <w:rFonts w:ascii="Times New Roman" w:hAnsi="Times New Roman"/>
        </w:rPr>
        <w:t>classes combined. Although these divisions are arbitrary, they are a consistent wa</w:t>
      </w:r>
      <w:r w:rsidR="00084AD1">
        <w:rPr>
          <w:rFonts w:ascii="Times New Roman" w:hAnsi="Times New Roman"/>
        </w:rPr>
        <w:t>y to make the separation (Fig.</w:t>
      </w:r>
      <w:r>
        <w:rPr>
          <w:rFonts w:ascii="Times New Roman" w:hAnsi="Times New Roman"/>
        </w:rPr>
        <w:t xml:space="preserve"> 1</w:t>
      </w:r>
      <w:r w:rsidR="00084AD1">
        <w:rPr>
          <w:rFonts w:ascii="Times New Roman" w:hAnsi="Times New Roman"/>
        </w:rPr>
        <w:t xml:space="preserve">, </w:t>
      </w:r>
      <w:r w:rsidR="00B2483E">
        <w:rPr>
          <w:rFonts w:ascii="Times New Roman" w:hAnsi="Times New Roman"/>
        </w:rPr>
        <w:t xml:space="preserve">Supplementary Fig. </w:t>
      </w:r>
      <w:r w:rsidR="00084AD1">
        <w:rPr>
          <w:rFonts w:ascii="Times New Roman" w:hAnsi="Times New Roman"/>
        </w:rPr>
        <w:t>1</w:t>
      </w:r>
      <w:r>
        <w:rPr>
          <w:rFonts w:ascii="Times New Roman" w:hAnsi="Times New Roman"/>
        </w:rPr>
        <w:t>; Table 1). In addition, since only a relatively small fraction of all genera would be considered dominant under any criterion (</w:t>
      </w:r>
      <w:r w:rsidR="00EA1B96">
        <w:rPr>
          <w:rFonts w:ascii="Times New Roman" w:hAnsi="Times New Roman"/>
        </w:rPr>
        <w:t>Table 1; Plotnick and Wagner 2006</w:t>
      </w:r>
      <w:r>
        <w:rPr>
          <w:rFonts w:ascii="Times New Roman" w:hAnsi="Times New Roman"/>
        </w:rPr>
        <w:t>), this division should capture the overall picture.</w:t>
      </w:r>
      <w:r w:rsidRPr="00EA54AA">
        <w:rPr>
          <w:rFonts w:ascii="Times New Roman" w:hAnsi="Times New Roman"/>
        </w:rPr>
        <w:t xml:space="preserve"> </w:t>
      </w:r>
      <w:r w:rsidR="00E20C6C" w:rsidRPr="00EA54AA">
        <w:rPr>
          <w:rFonts w:ascii="Times New Roman" w:hAnsi="Times New Roman"/>
        </w:rPr>
        <w:t xml:space="preserve">Nevertheless, </w:t>
      </w:r>
      <w:r w:rsidR="00CE1FD4" w:rsidRPr="00EA54AA">
        <w:rPr>
          <w:rFonts w:ascii="Times New Roman" w:hAnsi="Times New Roman"/>
        </w:rPr>
        <w:t xml:space="preserve">we </w:t>
      </w:r>
      <w:r w:rsidR="00E20C6C" w:rsidRPr="00EA54AA">
        <w:rPr>
          <w:rFonts w:ascii="Times New Roman" w:hAnsi="Times New Roman"/>
        </w:rPr>
        <w:t xml:space="preserve">also provide results using </w:t>
      </w:r>
      <w:r w:rsidR="00CE1FD4" w:rsidRPr="00EA54AA">
        <w:rPr>
          <w:rFonts w:ascii="Times New Roman" w:hAnsi="Times New Roman"/>
        </w:rPr>
        <w:t xml:space="preserve">“top 5%” </w:t>
      </w:r>
      <w:r w:rsidR="008763FD" w:rsidRPr="00EA54AA">
        <w:rPr>
          <w:rFonts w:ascii="Times New Roman" w:hAnsi="Times New Roman"/>
        </w:rPr>
        <w:t xml:space="preserve">(for all taxa) and “top 10%” (for individual clades) </w:t>
      </w:r>
      <w:r w:rsidR="00CE1FD4" w:rsidRPr="00EA54AA">
        <w:rPr>
          <w:rFonts w:ascii="Times New Roman" w:hAnsi="Times New Roman"/>
        </w:rPr>
        <w:t>as a criterion in two analyses</w:t>
      </w:r>
      <w:r w:rsidR="00E20C6C" w:rsidRPr="00EA54AA">
        <w:rPr>
          <w:rFonts w:ascii="Times New Roman" w:hAnsi="Times New Roman"/>
        </w:rPr>
        <w:t xml:space="preserve"> as a sensitivity analysis</w:t>
      </w:r>
      <w:r w:rsidR="00CE1FD4" w:rsidRPr="00EA54AA">
        <w:rPr>
          <w:rFonts w:ascii="Times New Roman" w:hAnsi="Times New Roman"/>
        </w:rPr>
        <w:t xml:space="preserve">. </w:t>
      </w:r>
    </w:p>
    <w:p w14:paraId="6563C5F0" w14:textId="065AED72" w:rsidR="00CE1FD4" w:rsidRDefault="00EA1B96" w:rsidP="00E673A3">
      <w:pPr>
        <w:spacing w:line="480" w:lineRule="auto"/>
        <w:ind w:firstLine="360"/>
      </w:pPr>
      <w:r>
        <w:rPr>
          <w:rFonts w:ascii="Times New Roman" w:hAnsi="Times New Roman"/>
        </w:rPr>
        <w:t>A third, and potentially the most contentio</w:t>
      </w:r>
      <w:r w:rsidR="00307CA0">
        <w:rPr>
          <w:rFonts w:ascii="Times New Roman" w:hAnsi="Times New Roman"/>
        </w:rPr>
        <w:t>us</w:t>
      </w:r>
      <w:r>
        <w:rPr>
          <w:rFonts w:ascii="Times New Roman" w:hAnsi="Times New Roman"/>
        </w:rPr>
        <w:t xml:space="preserve"> issue, is the nature of an occurrence in the PaleoDB</w:t>
      </w:r>
      <w:r w:rsidR="00013583">
        <w:rPr>
          <w:rFonts w:ascii="Times New Roman" w:hAnsi="Times New Roman"/>
        </w:rPr>
        <w:t xml:space="preserve">, </w:t>
      </w:r>
      <w:r w:rsidR="00013583">
        <w:rPr>
          <w:rFonts w:ascii="Times New Roman" w:hAnsi="Times New Roman"/>
          <w:szCs w:val="24"/>
        </w:rPr>
        <w:t xml:space="preserve">where </w:t>
      </w:r>
      <w:r w:rsidR="00013583">
        <w:rPr>
          <w:rFonts w:ascii="Times New Roman" w:hAnsi="Times New Roman"/>
        </w:rPr>
        <w:t xml:space="preserve">“occurrence” is the </w:t>
      </w:r>
      <w:r w:rsidR="00307CA0">
        <w:rPr>
          <w:rFonts w:ascii="Times New Roman" w:hAnsi="Times New Roman"/>
        </w:rPr>
        <w:t>recorde</w:t>
      </w:r>
      <w:r w:rsidR="00C20408">
        <w:rPr>
          <w:rFonts w:ascii="Times New Roman" w:hAnsi="Times New Roman"/>
        </w:rPr>
        <w:t>d</w:t>
      </w:r>
      <w:r w:rsidR="00307CA0">
        <w:rPr>
          <w:rFonts w:ascii="Times New Roman" w:hAnsi="Times New Roman"/>
        </w:rPr>
        <w:t xml:space="preserve"> </w:t>
      </w:r>
      <w:r w:rsidR="00013583">
        <w:rPr>
          <w:rFonts w:ascii="Times New Roman" w:hAnsi="Times New Roman"/>
        </w:rPr>
        <w:t xml:space="preserve">presence of a member of a </w:t>
      </w:r>
      <w:r w:rsidR="00307CA0">
        <w:rPr>
          <w:rFonts w:ascii="Times New Roman" w:hAnsi="Times New Roman"/>
        </w:rPr>
        <w:t>species or genus</w:t>
      </w:r>
      <w:r w:rsidR="00013583">
        <w:rPr>
          <w:rFonts w:ascii="Times New Roman" w:hAnsi="Times New Roman"/>
        </w:rPr>
        <w:t xml:space="preserve"> at a fossiliferous locality </w:t>
      </w:r>
      <w:r w:rsidR="00C20408">
        <w:rPr>
          <w:rFonts w:ascii="Times New Roman" w:hAnsi="Times New Roman"/>
        </w:rPr>
        <w:t xml:space="preserve">or site </w:t>
      </w:r>
      <w:r w:rsidR="00013583">
        <w:rPr>
          <w:rFonts w:ascii="Times New Roman" w:hAnsi="Times New Roman"/>
        </w:rPr>
        <w:t>(</w:t>
      </w:r>
      <w:r w:rsidR="00013583">
        <w:rPr>
          <w:rFonts w:ascii="Times New Roman" w:hAnsi="Times New Roman"/>
          <w:noProof/>
        </w:rPr>
        <w:fldChar w:fldCharType="begin"/>
      </w:r>
      <w:r w:rsidR="00013583">
        <w:rPr>
          <w:rFonts w:ascii="Times New Roman" w:hAnsi="Times New Roman"/>
          <w:noProof/>
        </w:rPr>
        <w:instrText xml:space="preserve"> ADDIN EN.CITE &lt;EndNote&gt;&lt;Cite&gt;&lt;Author&gt;Buzas&lt;/Author&gt;&lt;Year&gt;1982&lt;/Year&gt;&lt;RecNum&gt;3&lt;/RecNum&gt;&lt;IDText&gt;1875&lt;/IDText&gt;&lt;DisplayText&gt;Buzas et al. 1982&lt;/DisplayText&gt;&lt;record&gt;&lt;rec-number&gt;3&lt;/rec-number&gt;&lt;foreign-keys&gt;&lt;key app="EN" db-id="r2savzrxwddstne9dvmp0wderfxdtarefrzr" timestamp="1493841983"&gt;3&lt;/key&gt;&lt;/foreign-keys&gt;&lt;ref-type name="Journal Article"&gt;17&lt;/ref-type&gt;&lt;contributors&gt;&lt;authors&gt;&lt;author&gt;Martin A. Buzas&lt;/author&gt;&lt;author&gt;Carl F. Koch&lt;/author&gt;&lt;author&gt;Stephen J. Culver&lt;/author&gt;&lt;author&gt;Norman F. Sohl&lt;/author&gt;&lt;/authors&gt;&lt;/contributors&gt;&lt;titles&gt;&lt;title&gt;On the distribution of species occurrence&lt;/title&gt;&lt;secondary-title&gt;Paleobiology&lt;/secondary-title&gt;&lt;/titles&gt;&lt;periodical&gt;&lt;full-title&gt;Paleobiology&lt;/full-title&gt;&lt;/periodical&gt;&lt;pages&gt;143 - 150&lt;/pages&gt;&lt;volume&gt;8&lt;/volume&gt;&lt;number&gt;2&lt;/number&gt;&lt;section&gt;143&lt;/section&gt;&lt;keywords&gt;&lt;keyword&gt;Sampling&lt;/keyword&gt;&lt;/keywords&gt;&lt;dates&gt;&lt;year&gt;1982&lt;/year&gt;&lt;pub-dates&gt;&lt;date&gt;&lt;style face="normal" font="default" size="100%"&gt;1982&lt;/style&gt;&lt;style face="normal" font="default" size="12"&gt;/&lt;/style&gt;&lt;style face="normal" font="default" size="100%"&gt;04&lt;/style&gt;&lt;/date&gt;&lt;/pub-dates&gt;&lt;/dates&gt;&lt;label&gt;1875&lt;/label&gt;&lt;urls&gt;&lt;/urls&gt;&lt;electronic-resource-num&gt;10.2307/2400450&lt;/electronic-resource-num&gt;&lt;/record&gt;&lt;/Cite&gt;&lt;/EndNote&gt;</w:instrText>
      </w:r>
      <w:r w:rsidR="00013583">
        <w:rPr>
          <w:rFonts w:ascii="Times New Roman" w:hAnsi="Times New Roman"/>
          <w:noProof/>
        </w:rPr>
        <w:fldChar w:fldCharType="separate"/>
      </w:r>
      <w:r w:rsidR="00013583">
        <w:rPr>
          <w:rFonts w:ascii="Times New Roman" w:hAnsi="Times New Roman"/>
          <w:noProof/>
        </w:rPr>
        <w:t>Buzas et al. 1982</w:t>
      </w:r>
      <w:r w:rsidR="00013583">
        <w:rPr>
          <w:rFonts w:ascii="Times New Roman" w:hAnsi="Times New Roman"/>
          <w:noProof/>
        </w:rPr>
        <w:fldChar w:fldCharType="end"/>
      </w:r>
      <w:r w:rsidR="00013583">
        <w:rPr>
          <w:rFonts w:ascii="Times New Roman" w:hAnsi="Times New Roman"/>
        </w:rPr>
        <w:t>)</w:t>
      </w:r>
      <w:r w:rsidR="00013583">
        <w:rPr>
          <w:rFonts w:ascii="Times New Roman" w:hAnsi="Times New Roman"/>
          <w:szCs w:val="24"/>
        </w:rPr>
        <w:t>.</w:t>
      </w:r>
      <w:r w:rsidR="00307CA0">
        <w:rPr>
          <w:rFonts w:ascii="Times New Roman" w:hAnsi="Times New Roman"/>
          <w:szCs w:val="24"/>
        </w:rPr>
        <w:t xml:space="preserve"> Localities in the PaleoDB vary widely in their properties; some are closely sampled</w:t>
      </w:r>
      <w:r w:rsidR="00C20408">
        <w:rPr>
          <w:rFonts w:ascii="Times New Roman" w:hAnsi="Times New Roman"/>
          <w:szCs w:val="24"/>
        </w:rPr>
        <w:t xml:space="preserve">, temporally restricted, ecologically defined, </w:t>
      </w:r>
      <w:r w:rsidR="00AA28CD">
        <w:rPr>
          <w:rFonts w:ascii="Times New Roman" w:hAnsi="Times New Roman"/>
          <w:szCs w:val="24"/>
        </w:rPr>
        <w:t>and</w:t>
      </w:r>
      <w:r w:rsidR="00614094">
        <w:rPr>
          <w:rFonts w:ascii="Times New Roman" w:hAnsi="Times New Roman"/>
          <w:szCs w:val="24"/>
        </w:rPr>
        <w:t xml:space="preserve"> </w:t>
      </w:r>
      <w:r w:rsidR="00307CA0">
        <w:rPr>
          <w:rFonts w:ascii="Times New Roman" w:hAnsi="Times New Roman"/>
          <w:szCs w:val="24"/>
        </w:rPr>
        <w:t>spatially discrete, whereas others can be very general in their stratigraphy</w:t>
      </w:r>
      <w:r w:rsidR="00C20408">
        <w:rPr>
          <w:rFonts w:ascii="Times New Roman" w:hAnsi="Times New Roman"/>
          <w:szCs w:val="24"/>
        </w:rPr>
        <w:t>, environment,</w:t>
      </w:r>
      <w:r w:rsidR="00307CA0">
        <w:rPr>
          <w:rFonts w:ascii="Times New Roman" w:hAnsi="Times New Roman"/>
          <w:szCs w:val="24"/>
        </w:rPr>
        <w:t xml:space="preserve"> and spatial </w:t>
      </w:r>
      <w:r w:rsidR="00AA28CD">
        <w:rPr>
          <w:rFonts w:ascii="Times New Roman" w:hAnsi="Times New Roman"/>
          <w:szCs w:val="24"/>
        </w:rPr>
        <w:t>location.</w:t>
      </w:r>
      <w:r w:rsidR="00C20408">
        <w:rPr>
          <w:rFonts w:ascii="Times New Roman" w:hAnsi="Times New Roman"/>
          <w:szCs w:val="24"/>
        </w:rPr>
        <w:t xml:space="preserve"> </w:t>
      </w:r>
      <w:r w:rsidR="00307CA0">
        <w:t xml:space="preserve">Our approach does not assume that fossiliferous </w:t>
      </w:r>
      <w:r w:rsidR="00B31458">
        <w:t xml:space="preserve">localities in the database </w:t>
      </w:r>
      <w:r w:rsidR="00307CA0">
        <w:t>are all equivalent as units of sampling</w:t>
      </w:r>
      <w:r w:rsidR="00B31458">
        <w:t xml:space="preserve"> or as macroecological entities</w:t>
      </w:r>
      <w:r w:rsidR="00F230EE">
        <w:t xml:space="preserve">. </w:t>
      </w:r>
      <w:r w:rsidR="00307CA0">
        <w:t>Instead, it assumes th</w:t>
      </w:r>
      <w:r w:rsidR="00307CA0" w:rsidRPr="00C20408">
        <w:t xml:space="preserve">at there </w:t>
      </w:r>
      <w:r w:rsidR="00C20408">
        <w:t>are</w:t>
      </w:r>
      <w:r w:rsidR="00307CA0" w:rsidRPr="00C20408">
        <w:t xml:space="preserve"> no secular trend</w:t>
      </w:r>
      <w:r w:rsidR="00C20408">
        <w:t>s</w:t>
      </w:r>
      <w:r w:rsidR="00307CA0" w:rsidRPr="00C20408">
        <w:t xml:space="preserve"> in </w:t>
      </w:r>
      <w:r w:rsidR="00C20408">
        <w:t xml:space="preserve">the nature of the sites recorded. </w:t>
      </w:r>
      <w:r w:rsidR="00B31458">
        <w:t xml:space="preserve">Thus, although Paleobiology Database occurrences almost certainly vary as units of space and ecology, there is no need to think that this might create any patterns or even that the range of variation greatly exceeds that of </w:t>
      </w:r>
      <w:r w:rsidR="00C02AFA">
        <w:t xml:space="preserve">many </w:t>
      </w:r>
      <w:r w:rsidR="00B31458">
        <w:t>modern ecological studies</w:t>
      </w:r>
      <w:r w:rsidR="00F230EE">
        <w:t xml:space="preserve">. </w:t>
      </w:r>
      <w:r w:rsidR="00B31458">
        <w:t>This assumption should be tested as part of a future assessment of data quality in the PaleoDB.</w:t>
      </w:r>
    </w:p>
    <w:p w14:paraId="1FE92AF6" w14:textId="77D3A4BF" w:rsidR="00F418E2" w:rsidRPr="00834742" w:rsidRDefault="00910CED" w:rsidP="00834742">
      <w:pPr>
        <w:spacing w:line="480" w:lineRule="auto"/>
        <w:ind w:firstLine="360"/>
        <w:rPr>
          <w:rFonts w:ascii="Times New Roman" w:eastAsiaTheme="minorHAnsi" w:hAnsi="Times New Roman"/>
          <w:lang w:eastAsia="en-US"/>
        </w:rPr>
      </w:pPr>
      <w:r w:rsidRPr="00E673A3">
        <w:rPr>
          <w:rFonts w:ascii="Times New Roman" w:eastAsiaTheme="minorHAnsi" w:hAnsi="Times New Roman"/>
          <w:i/>
          <w:lang w:eastAsia="en-US"/>
        </w:rPr>
        <w:t>Occurrences and Occupancy</w:t>
      </w:r>
      <w:r w:rsidR="00E673A3">
        <w:rPr>
          <w:rFonts w:ascii="Times New Roman" w:hAnsi="Times New Roman"/>
          <w:i/>
          <w:szCs w:val="24"/>
        </w:rPr>
        <w:t>.</w:t>
      </w:r>
      <w:r w:rsidR="00E673A3">
        <w:rPr>
          <w:rFonts w:ascii="Times New Roman" w:hAnsi="Times New Roman"/>
          <w:i/>
          <w:szCs w:val="24"/>
          <w:rtl/>
        </w:rPr>
        <w:t>—</w:t>
      </w:r>
      <w:r>
        <w:rPr>
          <w:rFonts w:ascii="Times New Roman" w:hAnsi="Times New Roman"/>
          <w:szCs w:val="24"/>
        </w:rPr>
        <w:t>An important r</w:t>
      </w:r>
      <w:r w:rsidR="00C20408">
        <w:rPr>
          <w:rFonts w:ascii="Times New Roman" w:hAnsi="Times New Roman"/>
          <w:szCs w:val="24"/>
        </w:rPr>
        <w:t xml:space="preserve">elated issue is the </w:t>
      </w:r>
      <w:r w:rsidR="00EE54E8">
        <w:rPr>
          <w:rFonts w:ascii="Times New Roman" w:hAnsi="Times New Roman"/>
          <w:szCs w:val="24"/>
        </w:rPr>
        <w:t xml:space="preserve">relationship of PaleoDB occurrences to the </w:t>
      </w:r>
      <w:r w:rsidR="00C20408">
        <w:rPr>
          <w:rFonts w:ascii="Times New Roman" w:hAnsi="Times New Roman"/>
          <w:szCs w:val="24"/>
        </w:rPr>
        <w:t>ecological concept of occupancy</w:t>
      </w:r>
      <w:r w:rsidR="00965C89">
        <w:rPr>
          <w:rFonts w:ascii="Times New Roman" w:hAnsi="Times New Roman"/>
          <w:szCs w:val="24"/>
        </w:rPr>
        <w:t xml:space="preserve"> and its usage in paleontology.</w:t>
      </w:r>
      <w:r w:rsidR="00EE54E8">
        <w:rPr>
          <w:rFonts w:ascii="Times New Roman" w:hAnsi="Times New Roman"/>
          <w:szCs w:val="24"/>
        </w:rPr>
        <w:t xml:space="preserve"> </w:t>
      </w:r>
      <w:r w:rsidR="00EE54E8">
        <w:rPr>
          <w:rFonts w:ascii="Times New Roman" w:hAnsi="Times New Roman"/>
          <w:szCs w:val="24"/>
        </w:rPr>
        <w:fldChar w:fldCharType="begin">
          <w:fldData xml:space="preserve">PEVuZE5vdGU+PENpdGU+PEF1dGhvcj5CYWlsZXk8L0F1dGhvcj48WWVhcj4yMDE0PC9ZZWFyPjxS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</w:fldData>
        </w:fldChar>
      </w:r>
      <w:r w:rsidR="00EE54E8">
        <w:rPr>
          <w:rFonts w:ascii="Times New Roman" w:hAnsi="Times New Roman"/>
          <w:szCs w:val="24"/>
        </w:rPr>
        <w:instrText xml:space="preserve"> ADDIN EN.CITE </w:instrText>
      </w:r>
      <w:r w:rsidR="00EE54E8">
        <w:rPr>
          <w:rFonts w:ascii="Times New Roman" w:hAnsi="Times New Roman"/>
          <w:szCs w:val="24"/>
        </w:rPr>
        <w:fldChar w:fldCharType="begin">
          <w:fldData xml:space="preserve">PEVuZE5vdGU+PENpdGU+PEF1dGhvcj5CYWlsZXk8L0F1dGhvcj48WWVhcj4yMDE0PC9ZZWFyPjxS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</w:fldData>
        </w:fldChar>
      </w:r>
      <w:r w:rsidR="00EE54E8">
        <w:rPr>
          <w:rFonts w:ascii="Times New Roman" w:hAnsi="Times New Roman"/>
          <w:szCs w:val="24"/>
        </w:rPr>
        <w:instrText xml:space="preserve"> ADDIN EN.CITE.DATA </w:instrText>
      </w:r>
      <w:r w:rsidR="00EE54E8">
        <w:rPr>
          <w:rFonts w:ascii="Times New Roman" w:hAnsi="Times New Roman"/>
          <w:szCs w:val="24"/>
        </w:rPr>
      </w:r>
      <w:r w:rsidR="00EE54E8">
        <w:rPr>
          <w:rFonts w:ascii="Times New Roman" w:hAnsi="Times New Roman"/>
          <w:szCs w:val="24"/>
        </w:rPr>
        <w:fldChar w:fldCharType="end"/>
      </w:r>
      <w:r w:rsidR="00EE54E8">
        <w:rPr>
          <w:rFonts w:ascii="Times New Roman" w:hAnsi="Times New Roman"/>
          <w:szCs w:val="24"/>
        </w:rPr>
      </w:r>
      <w:r w:rsidR="00EE54E8">
        <w:rPr>
          <w:rFonts w:ascii="Times New Roman" w:hAnsi="Times New Roman"/>
          <w:szCs w:val="24"/>
        </w:rPr>
        <w:fldChar w:fldCharType="separate"/>
      </w:r>
      <w:r w:rsidR="00EE54E8">
        <w:rPr>
          <w:rFonts w:ascii="Times New Roman" w:hAnsi="Times New Roman"/>
          <w:noProof/>
          <w:szCs w:val="24"/>
        </w:rPr>
        <w:t>Bailey et al. 2014</w:t>
      </w:r>
      <w:r w:rsidR="00EE54E8">
        <w:rPr>
          <w:rFonts w:ascii="Times New Roman" w:hAnsi="Times New Roman"/>
          <w:szCs w:val="24"/>
        </w:rPr>
        <w:fldChar w:fldCharType="end"/>
      </w:r>
      <w:r w:rsidR="00EE54E8">
        <w:rPr>
          <w:rFonts w:ascii="Times New Roman" w:hAnsi="Times New Roman"/>
          <w:szCs w:val="24"/>
        </w:rPr>
        <w:t xml:space="preserve"> defined </w:t>
      </w:r>
      <w:r w:rsidR="00965C89">
        <w:rPr>
          <w:rFonts w:ascii="Times New Roman" w:hAnsi="Times New Roman"/>
          <w:szCs w:val="24"/>
        </w:rPr>
        <w:t xml:space="preserve">occupancy </w:t>
      </w:r>
      <w:r w:rsidR="00EE54E8">
        <w:rPr>
          <w:rFonts w:ascii="Times New Roman" w:hAnsi="Times New Roman"/>
          <w:szCs w:val="24"/>
        </w:rPr>
        <w:t>as “</w:t>
      </w:r>
      <w:r w:rsidR="00EE54E8" w:rsidRPr="00EE54E8">
        <w:rPr>
          <w:rFonts w:ascii="Times New Roman" w:hAnsi="Times New Roman"/>
          <w:szCs w:val="24"/>
        </w:rPr>
        <w:t>the probability that the focal</w:t>
      </w:r>
      <w:r w:rsidR="00EE54E8">
        <w:rPr>
          <w:rFonts w:ascii="Times New Roman" w:hAnsi="Times New Roman"/>
          <w:szCs w:val="24"/>
        </w:rPr>
        <w:t xml:space="preserve"> </w:t>
      </w:r>
      <w:r w:rsidR="00EE54E8" w:rsidRPr="00EE54E8">
        <w:rPr>
          <w:rFonts w:ascii="Times New Roman" w:hAnsi="Times New Roman"/>
          <w:szCs w:val="24"/>
        </w:rPr>
        <w:t>taxon occupies, or uses, a sample unit during a specified period</w:t>
      </w:r>
      <w:r w:rsidR="00EE54E8">
        <w:rPr>
          <w:rFonts w:ascii="Times New Roman" w:hAnsi="Times New Roman"/>
          <w:szCs w:val="24"/>
        </w:rPr>
        <w:t xml:space="preserve"> </w:t>
      </w:r>
      <w:r w:rsidR="00EE54E8" w:rsidRPr="00EE54E8">
        <w:rPr>
          <w:rFonts w:ascii="Times New Roman" w:hAnsi="Times New Roman"/>
          <w:szCs w:val="24"/>
        </w:rPr>
        <w:t>of time during which the occupancy state is assumed to be</w:t>
      </w:r>
      <w:r w:rsidR="00EE54E8">
        <w:rPr>
          <w:rFonts w:ascii="Times New Roman" w:hAnsi="Times New Roman"/>
          <w:szCs w:val="24"/>
        </w:rPr>
        <w:t xml:space="preserve"> </w:t>
      </w:r>
      <w:r w:rsidR="00EE54E8" w:rsidRPr="00EE54E8">
        <w:rPr>
          <w:rFonts w:ascii="Times New Roman" w:hAnsi="Times New Roman"/>
          <w:szCs w:val="24"/>
        </w:rPr>
        <w:t>static</w:t>
      </w:r>
      <w:r w:rsidR="00EE54E8">
        <w:rPr>
          <w:rFonts w:ascii="Times New Roman" w:hAnsi="Times New Roman"/>
          <w:szCs w:val="24"/>
        </w:rPr>
        <w:t>”</w:t>
      </w:r>
      <w:r w:rsidR="00EE54E8" w:rsidRPr="00EE54E8">
        <w:rPr>
          <w:rFonts w:ascii="Times New Roman" w:hAnsi="Times New Roman"/>
          <w:szCs w:val="24"/>
        </w:rPr>
        <w:t>.</w:t>
      </w:r>
      <w:r w:rsidR="00EE54E8">
        <w:rPr>
          <w:rFonts w:ascii="Times New Roman" w:hAnsi="Times New Roman"/>
          <w:szCs w:val="24"/>
        </w:rPr>
        <w:t xml:space="preserve"> </w:t>
      </w:r>
      <w:r w:rsidR="00965C89">
        <w:rPr>
          <w:rFonts w:ascii="Times New Roman" w:hAnsi="Times New Roman"/>
          <w:szCs w:val="24"/>
        </w:rPr>
        <w:t xml:space="preserve">Both in ecology and paleontology, </w:t>
      </w:r>
      <w:r w:rsidR="00965C89">
        <w:t xml:space="preserve">there is no set diagnosis for the sampling unit that can be </w:t>
      </w:r>
      <w:r w:rsidR="00965C89">
        <w:lastRenderedPageBreak/>
        <w:t xml:space="preserve">repeated from one study to the next. </w:t>
      </w:r>
      <w:r w:rsidR="00EE54E8">
        <w:rPr>
          <w:rFonts w:ascii="Times New Roman" w:hAnsi="Times New Roman"/>
          <w:szCs w:val="24"/>
        </w:rPr>
        <w:t xml:space="preserve">As pointed out by </w:t>
      </w:r>
      <w:r w:rsidR="00B5355E">
        <w:rPr>
          <w:rFonts w:ascii="Times New Roman" w:hAnsi="Times New Roman"/>
          <w:szCs w:val="24"/>
        </w:rPr>
        <w:fldChar w:fldCharType="begin"/>
      </w:r>
      <w:r w:rsidR="00EA54AA">
        <w:rPr>
          <w:rFonts w:ascii="Times New Roman" w:hAnsi="Times New Roman"/>
          <w:szCs w:val="24"/>
        </w:rPr>
        <w:instrText xml:space="preserve"> ADDIN EN.CITE &lt;EndNote&gt;&lt;Cite&gt;&lt;Author&gt;Steenweg&lt;/Author&gt;&lt;Year&gt;2018&lt;/Year&gt;&lt;RecNum&gt;25242&lt;/RecNum&gt;&lt;DisplayText&gt;Steenweg et al. 2018&lt;/DisplayText&gt;&lt;record&gt;&lt;rec-number&gt;25242&lt;/rec-number&gt;&lt;foreign-keys&gt;&lt;key app="EN" db-id="wz00v599a2zpv4etvzgv2e93052sszxwve5v" timestamp="1516142654"&gt;25242&lt;/key&gt;&lt;/foreign-keys&gt;&lt;ref-type name="Journal Article"&gt;17&lt;/ref-type&gt;&lt;contributors&gt;&lt;authors&gt;&lt;author&gt;Steenweg, Robin&lt;/author&gt;&lt;author&gt;Hebblewhite, Mark&lt;/author&gt;&lt;author&gt;Whittington, Jesse&lt;/author&gt;&lt;author&gt;Lukacs, Paul&lt;/author&gt;&lt;author&gt;McKelvey, Kevin&lt;/author&gt;&lt;/authors&gt;&lt;/contributors&gt;&lt;titles&gt;&lt;title&gt;Sampling scales define occupancy and underlying occupancy–abundance relationships in animals&lt;/title&gt;&lt;secondary-title&gt;Ecology&lt;/secondary-title&gt;&lt;/titles&gt;&lt;periodical&gt;&lt;full-title&gt;Ecology&lt;/full-title&gt;&lt;/periodical&gt;&lt;pages&gt;172-183&lt;/pages&gt;&lt;volume&gt;99&lt;/volume&gt;&lt;number&gt;1&lt;/number&gt;&lt;keywords&gt;&lt;keyword&gt;abundance–occupancy&lt;/keyword&gt;&lt;keyword&gt;distribution–abundance&lt;/keyword&gt;&lt;keyword&gt;large mammals&lt;/keyword&gt;&lt;keyword&gt;mobile organisms&lt;/keyword&gt;&lt;keyword&gt;occupancy models&lt;/keyword&gt;&lt;keyword&gt;sampling&lt;/keyword&gt;&lt;keyword&gt;scale&lt;/keyword&gt;&lt;/keywords&gt;&lt;dates&gt;&lt;year&gt;2018&lt;/year&gt;&lt;/dates&gt;&lt;isbn&gt;1939-9170&lt;/isbn&gt;&lt;urls&gt;&lt;related-urls&gt;&lt;url&gt;http://dx.doi.org/10.1002/ecy.2054&lt;/url&gt;&lt;/related-urls&gt;&lt;/urls&gt;&lt;electronic-resource-num&gt;10.1002/ecy.2054&lt;/electronic-resource-num&gt;&lt;/record&gt;&lt;/Cite&gt;&lt;/EndNote&gt;</w:instrText>
      </w:r>
      <w:r w:rsidR="00B5355E">
        <w:rPr>
          <w:rFonts w:ascii="Times New Roman" w:hAnsi="Times New Roman"/>
          <w:szCs w:val="24"/>
        </w:rPr>
        <w:fldChar w:fldCharType="separate"/>
      </w:r>
      <w:r w:rsidR="00B5355E">
        <w:rPr>
          <w:rFonts w:ascii="Times New Roman" w:hAnsi="Times New Roman"/>
          <w:noProof/>
          <w:szCs w:val="24"/>
        </w:rPr>
        <w:t>Steenweg et al. 2018</w:t>
      </w:r>
      <w:r w:rsidR="00B5355E">
        <w:rPr>
          <w:rFonts w:ascii="Times New Roman" w:hAnsi="Times New Roman"/>
          <w:szCs w:val="24"/>
        </w:rPr>
        <w:fldChar w:fldCharType="end"/>
      </w:r>
      <w:r w:rsidR="00B5355E">
        <w:rPr>
          <w:rFonts w:ascii="Times New Roman" w:hAnsi="Times New Roman"/>
          <w:szCs w:val="24"/>
        </w:rPr>
        <w:t>, the operatio</w:t>
      </w:r>
      <w:r w:rsidR="00ED4F63">
        <w:rPr>
          <w:rFonts w:ascii="Times New Roman" w:hAnsi="Times New Roman"/>
          <w:szCs w:val="24"/>
        </w:rPr>
        <w:t xml:space="preserve">nal definition of occupancy, </w:t>
      </w:r>
      <w:r w:rsidR="00B5355E">
        <w:rPr>
          <w:rFonts w:ascii="Times New Roman" w:hAnsi="Times New Roman"/>
          <w:szCs w:val="24"/>
        </w:rPr>
        <w:t>the proportion of</w:t>
      </w:r>
      <w:r w:rsidR="00965C89">
        <w:rPr>
          <w:rFonts w:ascii="Times New Roman" w:hAnsi="Times New Roman"/>
          <w:szCs w:val="24"/>
        </w:rPr>
        <w:t xml:space="preserve"> sampling</w:t>
      </w:r>
      <w:r w:rsidR="00B5355E">
        <w:rPr>
          <w:rFonts w:ascii="Times New Roman" w:hAnsi="Times New Roman"/>
          <w:szCs w:val="24"/>
        </w:rPr>
        <w:t xml:space="preserve"> </w:t>
      </w:r>
      <w:r w:rsidR="00965C89">
        <w:rPr>
          <w:rFonts w:ascii="Times New Roman" w:hAnsi="Times New Roman"/>
          <w:szCs w:val="24"/>
        </w:rPr>
        <w:t>units</w:t>
      </w:r>
      <w:r w:rsidR="00B5355E">
        <w:rPr>
          <w:rFonts w:ascii="Times New Roman" w:hAnsi="Times New Roman"/>
          <w:szCs w:val="24"/>
        </w:rPr>
        <w:t xml:space="preserve"> where a species is found, is dependent on how the </w:t>
      </w:r>
      <w:r w:rsidR="00965C89">
        <w:rPr>
          <w:rFonts w:ascii="Times New Roman" w:hAnsi="Times New Roman"/>
          <w:szCs w:val="24"/>
        </w:rPr>
        <w:t>units</w:t>
      </w:r>
      <w:r w:rsidR="00B5355E">
        <w:rPr>
          <w:rFonts w:ascii="Times New Roman" w:hAnsi="Times New Roman"/>
          <w:szCs w:val="24"/>
        </w:rPr>
        <w:t xml:space="preserve"> are spatially and temporally delineated. </w:t>
      </w:r>
      <w:r w:rsidR="00155892">
        <w:rPr>
          <w:rFonts w:ascii="Times New Roman" w:hAnsi="Times New Roman"/>
          <w:szCs w:val="24"/>
        </w:rPr>
        <w:t xml:space="preserve">In terms of space, patch occupancy refers to occupation of a discontinuous habitat patch, such as finding a particular species of fish </w:t>
      </w:r>
      <w:r w:rsidR="00F61285">
        <w:rPr>
          <w:rFonts w:ascii="Times New Roman" w:hAnsi="Times New Roman"/>
          <w:szCs w:val="24"/>
        </w:rPr>
        <w:t xml:space="preserve">within </w:t>
      </w:r>
      <w:r w:rsidR="00155892">
        <w:rPr>
          <w:rFonts w:ascii="Times New Roman" w:hAnsi="Times New Roman"/>
          <w:szCs w:val="24"/>
        </w:rPr>
        <w:t>a set of ponds. Alternativel</w:t>
      </w:r>
      <w:r w:rsidR="00F61285">
        <w:rPr>
          <w:rFonts w:ascii="Times New Roman" w:hAnsi="Times New Roman"/>
          <w:szCs w:val="24"/>
        </w:rPr>
        <w:t>y</w:t>
      </w:r>
      <w:r w:rsidR="00155892">
        <w:rPr>
          <w:rFonts w:ascii="Times New Roman" w:hAnsi="Times New Roman"/>
          <w:szCs w:val="24"/>
        </w:rPr>
        <w:t>,</w:t>
      </w:r>
      <w:r w:rsidR="00F61285">
        <w:rPr>
          <w:rFonts w:ascii="Times New Roman" w:hAnsi="Times New Roman"/>
          <w:szCs w:val="24"/>
        </w:rPr>
        <w:t xml:space="preserve"> </w:t>
      </w:r>
      <w:r w:rsidR="00F61285" w:rsidRPr="00F61285">
        <w:rPr>
          <w:rFonts w:ascii="Times New Roman" w:hAnsi="Times New Roman"/>
        </w:rPr>
        <w:t>a region</w:t>
      </w:r>
      <w:r w:rsidR="00F61285">
        <w:rPr>
          <w:rFonts w:ascii="Times New Roman" w:hAnsi="Times New Roman"/>
        </w:rPr>
        <w:t xml:space="preserve"> can be </w:t>
      </w:r>
      <w:r w:rsidR="00F61285" w:rsidRPr="00F61285">
        <w:rPr>
          <w:rFonts w:ascii="Times New Roman" w:hAnsi="Times New Roman"/>
        </w:rPr>
        <w:t xml:space="preserve">divided up by an equal area grid into </w:t>
      </w:r>
      <w:r w:rsidR="00F61285">
        <w:rPr>
          <w:rFonts w:ascii="Times New Roman" w:hAnsi="Times New Roman"/>
        </w:rPr>
        <w:t>cells</w:t>
      </w:r>
      <w:r w:rsidR="00F61285" w:rsidRPr="00F61285">
        <w:rPr>
          <w:rFonts w:ascii="Times New Roman" w:hAnsi="Times New Roman"/>
        </w:rPr>
        <w:t>.</w:t>
      </w:r>
      <w:r w:rsidR="00F61285">
        <w:rPr>
          <w:rFonts w:ascii="Times New Roman" w:hAnsi="Times New Roman"/>
        </w:rPr>
        <w:t xml:space="preserve"> In this case, </w:t>
      </w:r>
      <w:r w:rsidR="00ED4F63">
        <w:rPr>
          <w:rFonts w:ascii="Times New Roman" w:hAnsi="Times New Roman"/>
        </w:rPr>
        <w:t>cell</w:t>
      </w:r>
      <w:r w:rsidR="00F61285">
        <w:rPr>
          <w:rFonts w:ascii="Times New Roman" w:hAnsi="Times New Roman"/>
        </w:rPr>
        <w:t xml:space="preserve"> occupancy measures the number of cells that are occupied by the species of interest. Finally, </w:t>
      </w:r>
      <w:r w:rsidR="00A100E6">
        <w:rPr>
          <w:rFonts w:ascii="Times New Roman" w:hAnsi="Times New Roman"/>
        </w:rPr>
        <w:t>site</w:t>
      </w:r>
      <w:r w:rsidR="00F61285">
        <w:rPr>
          <w:rFonts w:ascii="Times New Roman" w:hAnsi="Times New Roman"/>
        </w:rPr>
        <w:t xml:space="preserve"> occupancy looks at presence or absence of the species at </w:t>
      </w:r>
      <w:r w:rsidR="004312A8">
        <w:rPr>
          <w:rFonts w:ascii="Times New Roman" w:hAnsi="Times New Roman"/>
        </w:rPr>
        <w:t xml:space="preserve">or near </w:t>
      </w:r>
      <w:r w:rsidR="00F61285">
        <w:rPr>
          <w:rFonts w:ascii="Times New Roman" w:hAnsi="Times New Roman"/>
        </w:rPr>
        <w:t xml:space="preserve">a set of discrete sampling points, </w:t>
      </w:r>
      <w:r w:rsidR="00ED4F63">
        <w:rPr>
          <w:rFonts w:ascii="Times New Roman" w:hAnsi="Times New Roman"/>
        </w:rPr>
        <w:t xml:space="preserve">such as traps, </w:t>
      </w:r>
      <w:r w:rsidR="00F61285">
        <w:rPr>
          <w:rFonts w:ascii="Times New Roman" w:hAnsi="Times New Roman"/>
        </w:rPr>
        <w:t xml:space="preserve">which may or may not be evenly distributed. </w:t>
      </w:r>
    </w:p>
    <w:p w14:paraId="36BAE466" w14:textId="729E3413" w:rsidR="00C25EAE" w:rsidRDefault="00ED4F63" w:rsidP="00EE54E8">
      <w:pPr>
        <w:spacing w:line="480" w:lineRule="auto"/>
        <w:ind w:firstLine="360"/>
        <w:rPr>
          <w:rFonts w:ascii="Times New Roman" w:hAnsi="Times New Roman"/>
        </w:rPr>
      </w:pPr>
      <w:r>
        <w:rPr>
          <w:rFonts w:ascii="Times New Roman" w:hAnsi="Times New Roman"/>
        </w:rPr>
        <w:t xml:space="preserve">Cell occupancy </w:t>
      </w:r>
      <w:r w:rsidR="00C25EAE">
        <w:rPr>
          <w:rFonts w:ascii="Times New Roman" w:hAnsi="Times New Roman"/>
        </w:rPr>
        <w:t>is not applicable to most fossil groups. As shown by Plotnick (</w:t>
      </w:r>
      <w:r w:rsidR="00C25EAE">
        <w:rPr>
          <w:rFonts w:ascii="Times New Roman" w:hAnsi="Times New Roman"/>
        </w:rPr>
        <w:fldChar w:fldCharType="begin"/>
      </w:r>
      <w:r w:rsidR="00EA54AA">
        <w:rPr>
          <w:rFonts w:ascii="Times New Roman" w:hAnsi="Times New Roman"/>
        </w:rPr>
        <w:instrText xml:space="preserve"> ADDIN EN.CITE &lt;EndNote&gt;&lt;Cite ExcludeAuth="1"&gt;&lt;Author&gt;Plotnick&lt;/Author&gt;&lt;Year&gt;2017&lt;/Year&gt;&lt;RecNum&gt;24498&lt;/RecNum&gt;&lt;DisplayText&gt;2017&lt;/DisplayText&gt;&lt;record&gt;&lt;rec-number&gt;24498&lt;/rec-number&gt;&lt;foreign-keys&gt;&lt;key app="EN" db-id="wz00v599a2zpv4etvzgv2e93052sszxwve5v" timestamp="1488983279"&gt;24498&lt;/key&gt;&lt;/foreign-keys&gt;&lt;ref-type name="Journal Article"&gt;17&lt;/ref-type&gt;&lt;contributors&gt;&lt;authors&gt;&lt;author&gt;Plotnick, Roy E.&lt;/author&gt;&lt;/authors&gt;&lt;/contributors&gt;&lt;titles&gt;&lt;title&gt;Recurrent hierarchical patterns and the fractal distribution of fossil localities&lt;/title&gt;&lt;secondary-title&gt;Geology&lt;/secondary-title&gt;&lt;/titles&gt;&lt;periodical&gt;&lt;full-title&gt;Geology&lt;/full-title&gt;&lt;/periodical&gt;&lt;pages&gt;295-298&lt;/pages&gt;&lt;volume&gt;45&lt;/volume&gt;&lt;number&gt;4&lt;/number&gt;&lt;dates&gt;&lt;year&gt;2017&lt;/year&gt;&lt;/dates&gt;&lt;urls&gt;&lt;/urls&gt;&lt;electronic-resource-num&gt;10.1130/g38828.1&lt;/electronic-resource-num&gt;&lt;/record&gt;&lt;/Cite&gt;&lt;/EndNote&gt;</w:instrText>
      </w:r>
      <w:r w:rsidR="00C25EAE">
        <w:rPr>
          <w:rFonts w:ascii="Times New Roman" w:hAnsi="Times New Roman"/>
        </w:rPr>
        <w:fldChar w:fldCharType="separate"/>
      </w:r>
      <w:r w:rsidR="00C25EAE">
        <w:rPr>
          <w:rFonts w:ascii="Times New Roman" w:hAnsi="Times New Roman"/>
          <w:noProof/>
        </w:rPr>
        <w:t>2017</w:t>
      </w:r>
      <w:r w:rsidR="00C25EAE">
        <w:rPr>
          <w:rFonts w:ascii="Times New Roman" w:hAnsi="Times New Roman"/>
        </w:rPr>
        <w:fldChar w:fldCharType="end"/>
      </w:r>
      <w:r w:rsidR="00C25EAE">
        <w:rPr>
          <w:rFonts w:ascii="Times New Roman" w:hAnsi="Times New Roman"/>
        </w:rPr>
        <w:t xml:space="preserve">), the distribution of fossil localities is disjunct and patchy at many scales, resulting from multi-scaled controls on their formation, preservation, and discovery. Many of these processes are geological and anthropogenic, rather than biological. As a result, it is difficult or impossible to define a consistent criterion for a region of interest or how it should be subdivided into sampling units. For this reason, we have not used such </w:t>
      </w:r>
      <w:r>
        <w:rPr>
          <w:rFonts w:ascii="Times New Roman" w:hAnsi="Times New Roman"/>
        </w:rPr>
        <w:t xml:space="preserve">a </w:t>
      </w:r>
      <w:r w:rsidR="00C25EAE">
        <w:rPr>
          <w:rFonts w:ascii="Times New Roman" w:hAnsi="Times New Roman"/>
        </w:rPr>
        <w:t xml:space="preserve">spatially explicit sampling scheme here, although we have used a correction for </w:t>
      </w:r>
      <w:r w:rsidR="00262CF0">
        <w:rPr>
          <w:rFonts w:ascii="Times New Roman" w:hAnsi="Times New Roman"/>
        </w:rPr>
        <w:t xml:space="preserve">local </w:t>
      </w:r>
      <w:r w:rsidR="00C25EAE">
        <w:rPr>
          <w:rFonts w:ascii="Times New Roman" w:hAnsi="Times New Roman"/>
        </w:rPr>
        <w:t>heterogeneity in sampling intensity.</w:t>
      </w:r>
    </w:p>
    <w:p w14:paraId="0C8F93E6" w14:textId="3DF20A9D" w:rsidR="00F61285" w:rsidRDefault="00ED4F63" w:rsidP="006F70BE">
      <w:pPr>
        <w:spacing w:line="480" w:lineRule="auto"/>
        <w:ind w:firstLine="360"/>
        <w:rPr>
          <w:rFonts w:ascii="Times New Roman" w:hAnsi="Times New Roman"/>
          <w:szCs w:val="24"/>
        </w:rPr>
      </w:pPr>
      <w:r>
        <w:rPr>
          <w:rFonts w:ascii="Times New Roman" w:hAnsi="Times New Roman"/>
        </w:rPr>
        <w:t xml:space="preserve">Paleontological studies of occupancy have used </w:t>
      </w:r>
      <w:r w:rsidR="006F70BE">
        <w:rPr>
          <w:rFonts w:ascii="Times New Roman" w:hAnsi="Times New Roman"/>
        </w:rPr>
        <w:t xml:space="preserve">concepts closer to patch or site occupancy, or some combination. </w:t>
      </w:r>
      <w:r w:rsidR="00A100E6">
        <w:rPr>
          <w:rFonts w:ascii="Times New Roman" w:hAnsi="Times New Roman"/>
          <w:szCs w:val="24"/>
        </w:rPr>
        <w:t>Foote et al. (</w:t>
      </w:r>
      <w:r w:rsidR="00A100E6">
        <w:rPr>
          <w:rFonts w:ascii="Times New Roman" w:hAnsi="Times New Roman"/>
          <w:szCs w:val="24"/>
        </w:rPr>
        <w:fldChar w:fldCharType="begin"/>
      </w:r>
      <w:r w:rsidR="00EA54AA">
        <w:rPr>
          <w:rFonts w:ascii="Times New Roman" w:hAnsi="Times New Roman"/>
          <w:szCs w:val="24"/>
        </w:rPr>
        <w:instrText xml:space="preserve"> ADDIN EN.CITE &lt;EndNote&gt;&lt;Cite ExcludeAuth="1"&gt;&lt;Author&gt;Foote&lt;/Author&gt;&lt;Year&gt;2007&lt;/Year&gt;&lt;RecNum&gt;25080&lt;/RecNum&gt;&lt;DisplayText&gt;2007&lt;/DisplayText&gt;&lt;record&gt;&lt;rec-number&gt;25080&lt;/rec-number&gt;&lt;foreign-keys&gt;&lt;key app="EN" db-id="wz00v599a2zpv4etvzgv2e93052sszxwve5v" timestamp="1503961347"&gt;25080&lt;/key&gt;&lt;/foreign-keys&gt;&lt;ref-type name="Journal Article"&gt;17&lt;/ref-type&gt;&lt;contributors&gt;&lt;authors&gt;&lt;author&gt;Foote, Michael&lt;/author&gt;&lt;author&gt;Crampton, James S.&lt;/author&gt;&lt;author&gt;Beu, Alan G.&lt;/author&gt;&lt;author&gt;Marshall, Bruce A.&lt;/author&gt;&lt;author&gt;Cooper, Roger A.&lt;/author&gt;&lt;author&gt;Maxwell, Phillip A.&lt;/author&gt;&lt;author&gt;Matcham, Iain&lt;/author&gt;&lt;/authors&gt;&lt;/contributors&gt;&lt;titles&gt;&lt;title&gt;Rise and Fall of Species Occupancy in Cenozoic Fossil Mollusks&lt;/title&gt;&lt;secondary-title&gt;Science&lt;/secondary-title&gt;&lt;/titles&gt;&lt;periodical&gt;&lt;full-title&gt;Science&lt;/full-title&gt;&lt;/periodical&gt;&lt;pages&gt;1131-1134&lt;/pages&gt;&lt;volume&gt;318&lt;/volume&gt;&lt;number&gt;5853&lt;/number&gt;&lt;dates&gt;&lt;year&gt;2007&lt;/year&gt;&lt;/dates&gt;&lt;urls&gt;&lt;/urls&gt;&lt;electronic-resource-num&gt;10.1126/science.1146303&lt;/electronic-resource-num&gt;&lt;/record&gt;&lt;/Cite&gt;&lt;/EndNote&gt;</w:instrText>
      </w:r>
      <w:r w:rsidR="00A100E6">
        <w:rPr>
          <w:rFonts w:ascii="Times New Roman" w:hAnsi="Times New Roman"/>
          <w:szCs w:val="24"/>
        </w:rPr>
        <w:fldChar w:fldCharType="separate"/>
      </w:r>
      <w:r w:rsidR="00A100E6">
        <w:rPr>
          <w:rFonts w:ascii="Times New Roman" w:hAnsi="Times New Roman"/>
          <w:noProof/>
          <w:szCs w:val="24"/>
        </w:rPr>
        <w:t>2007</w:t>
      </w:r>
      <w:r w:rsidR="00A100E6">
        <w:rPr>
          <w:rFonts w:ascii="Times New Roman" w:hAnsi="Times New Roman"/>
          <w:szCs w:val="24"/>
        </w:rPr>
        <w:fldChar w:fldCharType="end"/>
      </w:r>
      <w:r w:rsidR="00A100E6">
        <w:rPr>
          <w:rFonts w:ascii="Times New Roman" w:hAnsi="Times New Roman"/>
          <w:szCs w:val="24"/>
        </w:rPr>
        <w:t xml:space="preserve">), suggested that the relationships among local abundance, geographic range, and proportion of </w:t>
      </w:r>
      <w:r w:rsidR="006F70BE">
        <w:rPr>
          <w:rFonts w:ascii="Times New Roman" w:hAnsi="Times New Roman"/>
          <w:szCs w:val="24"/>
        </w:rPr>
        <w:t xml:space="preserve">the </w:t>
      </w:r>
      <w:r w:rsidR="00A100E6">
        <w:rPr>
          <w:rFonts w:ascii="Times New Roman" w:hAnsi="Times New Roman"/>
          <w:szCs w:val="24"/>
        </w:rPr>
        <w:t xml:space="preserve">range </w:t>
      </w:r>
      <w:r w:rsidR="006F70BE">
        <w:rPr>
          <w:rFonts w:ascii="Times New Roman" w:hAnsi="Times New Roman"/>
          <w:szCs w:val="24"/>
        </w:rPr>
        <w:t>that is occupied</w:t>
      </w:r>
      <w:r w:rsidR="00A100E6">
        <w:rPr>
          <w:rFonts w:ascii="Times New Roman" w:hAnsi="Times New Roman"/>
          <w:szCs w:val="24"/>
        </w:rPr>
        <w:t xml:space="preserve"> jointly be termed “occupancy,” with an operational measure as the proportion of collect</w:t>
      </w:r>
      <w:r w:rsidR="006F70BE">
        <w:rPr>
          <w:rFonts w:ascii="Times New Roman" w:hAnsi="Times New Roman"/>
          <w:szCs w:val="24"/>
        </w:rPr>
        <w:t>ions in which a species occurs</w:t>
      </w:r>
      <w:r w:rsidR="00262CF0">
        <w:rPr>
          <w:rFonts w:ascii="Times New Roman" w:hAnsi="Times New Roman"/>
          <w:szCs w:val="24"/>
        </w:rPr>
        <w:t>.</w:t>
      </w:r>
      <w:r w:rsidR="00A100E6">
        <w:rPr>
          <w:rFonts w:ascii="Times New Roman" w:hAnsi="Times New Roman"/>
          <w:szCs w:val="24"/>
        </w:rPr>
        <w:t xml:space="preserve"> Foote (</w:t>
      </w:r>
      <w:r w:rsidR="00A100E6">
        <w:rPr>
          <w:rFonts w:ascii="Times New Roman" w:hAnsi="Times New Roman"/>
          <w:szCs w:val="24"/>
        </w:rPr>
        <w:fldChar w:fldCharType="begin"/>
      </w:r>
      <w:r w:rsidR="00A100E6">
        <w:rPr>
          <w:rFonts w:ascii="Times New Roman" w:hAnsi="Times New Roman"/>
          <w:szCs w:val="24"/>
        </w:rPr>
        <w:instrText xml:space="preserve"> ADDIN EN.CITE &lt;EndNote&gt;&lt;Cite ExcludeAuth="1"&gt;&lt;Author&gt;Foote&lt;/Author&gt;&lt;Year&gt;2016&lt;/Year&gt;&lt;RecNum&gt;89&lt;/RecNum&gt;&lt;DisplayText&gt;2016&lt;/DisplayText&gt;&lt;record&gt;&lt;rec-number&gt;89&lt;/rec-number&gt;&lt;foreign-keys&gt;&lt;key app="EN" db-id="r2savzrxwddstne9dvmp0wderfxdtarefrzr" timestamp="1509140129"&gt;89&lt;/key&gt;&lt;/foreign-keys&gt;&lt;ref-type name="Journal Article"&gt;17&lt;/ref-type&gt;&lt;contributors&gt;&lt;authors&gt;&lt;author&gt;Foote, Michael&lt;/author&gt;&lt;/authors&gt;&lt;/contributors&gt;&lt;titles&gt;&lt;title&gt;On the measurement of occupancy in ecology and paleontology&lt;/title&gt;&lt;secondary-title&gt;Paleobiology&lt;/secondary-title&gt;&lt;/titles&gt;&lt;periodical&gt;&lt;full-title&gt;Paleobiology&lt;/full-title&gt;&lt;/periodical&gt;&lt;pages&gt;707 - 729&lt;/pages&gt;&lt;volume&gt;42&lt;/volume&gt;&lt;edition&gt;2016/08/13&lt;/edition&gt;&lt;section&gt;707&lt;/section&gt;&lt;dates&gt;&lt;year&gt;2016&lt;/year&gt;&lt;pub-dates&gt;&lt;date&gt;2016/08/13&lt;/date&gt;&lt;/pub-dates&gt;&lt;/dates&gt;&lt;urls&gt;&lt;/urls&gt;&lt;electronic-resource-num&gt;10.1017/pab.2016.24&lt;/electronic-resource-num&gt;&lt;/record&gt;&lt;/Cite&gt;&lt;/EndNote&gt;</w:instrText>
      </w:r>
      <w:r w:rsidR="00A100E6">
        <w:rPr>
          <w:rFonts w:ascii="Times New Roman" w:hAnsi="Times New Roman"/>
          <w:szCs w:val="24"/>
        </w:rPr>
        <w:fldChar w:fldCharType="separate"/>
      </w:r>
      <w:r w:rsidR="00A100E6">
        <w:rPr>
          <w:rFonts w:ascii="Times New Roman" w:hAnsi="Times New Roman"/>
          <w:noProof/>
          <w:szCs w:val="24"/>
        </w:rPr>
        <w:t>2016</w:t>
      </w:r>
      <w:r w:rsidR="00A100E6">
        <w:rPr>
          <w:rFonts w:ascii="Times New Roman" w:hAnsi="Times New Roman"/>
          <w:szCs w:val="24"/>
        </w:rPr>
        <w:fldChar w:fldCharType="end"/>
      </w:r>
      <w:r w:rsidR="00A100E6">
        <w:rPr>
          <w:rFonts w:ascii="Times New Roman" w:hAnsi="Times New Roman"/>
          <w:szCs w:val="24"/>
        </w:rPr>
        <w:t xml:space="preserve">) </w:t>
      </w:r>
      <w:r w:rsidR="006F70BE">
        <w:rPr>
          <w:rFonts w:ascii="Times New Roman" w:hAnsi="Times New Roman"/>
          <w:szCs w:val="24"/>
        </w:rPr>
        <w:t>widened his description of the set o</w:t>
      </w:r>
      <w:r w:rsidR="00F04D2E">
        <w:rPr>
          <w:rFonts w:ascii="Times New Roman" w:hAnsi="Times New Roman"/>
          <w:szCs w:val="24"/>
        </w:rPr>
        <w:t>f sampling entities to include “</w:t>
      </w:r>
      <w:r w:rsidR="00A100E6" w:rsidRPr="001C5147">
        <w:rPr>
          <w:rFonts w:ascii="Times New Roman" w:hAnsi="Times New Roman"/>
          <w:szCs w:val="24"/>
        </w:rPr>
        <w:t>sites, collections, geographic areas, or other sampling units</w:t>
      </w:r>
      <w:r w:rsidR="006F70BE">
        <w:rPr>
          <w:rFonts w:ascii="Times New Roman" w:hAnsi="Times New Roman"/>
          <w:szCs w:val="24"/>
        </w:rPr>
        <w:t xml:space="preserve">”. </w:t>
      </w:r>
    </w:p>
    <w:p w14:paraId="52EAAEA5" w14:textId="353D9C0A" w:rsidR="00965C89" w:rsidRDefault="00965C89" w:rsidP="00C27096">
      <w:pPr>
        <w:spacing w:line="480" w:lineRule="auto"/>
        <w:ind w:firstLine="360"/>
        <w:rPr>
          <w:rFonts w:ascii="Times New Roman" w:hAnsi="Times New Roman"/>
        </w:rPr>
      </w:pPr>
      <w:r>
        <w:rPr>
          <w:rFonts w:ascii="Times New Roman" w:hAnsi="Times New Roman"/>
          <w:szCs w:val="24"/>
        </w:rPr>
        <w:t>Liow (2013)</w:t>
      </w:r>
      <w:r w:rsidR="00262CF0">
        <w:rPr>
          <w:rFonts w:ascii="Times New Roman" w:hAnsi="Times New Roman"/>
          <w:szCs w:val="24"/>
        </w:rPr>
        <w:t>, in her application of occupancy models</w:t>
      </w:r>
      <w:r w:rsidR="00474300">
        <w:rPr>
          <w:rFonts w:ascii="Times New Roman" w:hAnsi="Times New Roman"/>
          <w:szCs w:val="24"/>
        </w:rPr>
        <w:t xml:space="preserve"> to paleontological data</w:t>
      </w:r>
      <w:r w:rsidR="00B1421B">
        <w:rPr>
          <w:rFonts w:ascii="Times New Roman" w:hAnsi="Times New Roman"/>
          <w:szCs w:val="24"/>
        </w:rPr>
        <w:t xml:space="preserve">, defined </w:t>
      </w:r>
      <w:r w:rsidR="00474300">
        <w:rPr>
          <w:rFonts w:ascii="Times New Roman" w:hAnsi="Times New Roman"/>
          <w:szCs w:val="24"/>
        </w:rPr>
        <w:t>o</w:t>
      </w:r>
      <w:r w:rsidR="00474300" w:rsidRPr="00474300">
        <w:rPr>
          <w:rFonts w:ascii="Times New Roman" w:hAnsi="Times New Roman"/>
          <w:szCs w:val="24"/>
        </w:rPr>
        <w:t>ccupancy as the</w:t>
      </w:r>
      <w:r w:rsidR="00474300">
        <w:rPr>
          <w:rFonts w:ascii="Times New Roman" w:hAnsi="Times New Roman"/>
          <w:szCs w:val="24"/>
        </w:rPr>
        <w:t xml:space="preserve"> “</w:t>
      </w:r>
      <w:r w:rsidR="00474300" w:rsidRPr="00474300">
        <w:rPr>
          <w:rFonts w:ascii="Times New Roman" w:hAnsi="Times New Roman"/>
          <w:szCs w:val="24"/>
        </w:rPr>
        <w:t>probability that a randomly selected sampling</w:t>
      </w:r>
      <w:r w:rsidR="00474300">
        <w:rPr>
          <w:rFonts w:ascii="Times New Roman" w:hAnsi="Times New Roman"/>
          <w:szCs w:val="24"/>
        </w:rPr>
        <w:t xml:space="preserve"> </w:t>
      </w:r>
      <w:r w:rsidR="00474300" w:rsidRPr="00474300">
        <w:rPr>
          <w:rFonts w:ascii="Times New Roman" w:hAnsi="Times New Roman"/>
          <w:szCs w:val="24"/>
        </w:rPr>
        <w:t xml:space="preserve">unit within a defined region is </w:t>
      </w:r>
      <w:r w:rsidR="00474300" w:rsidRPr="00474300">
        <w:rPr>
          <w:rFonts w:ascii="Times New Roman" w:hAnsi="Times New Roman"/>
          <w:szCs w:val="24"/>
        </w:rPr>
        <w:lastRenderedPageBreak/>
        <w:t>occupied by the</w:t>
      </w:r>
      <w:r w:rsidR="00474300">
        <w:rPr>
          <w:rFonts w:ascii="Times New Roman" w:hAnsi="Times New Roman"/>
          <w:szCs w:val="24"/>
        </w:rPr>
        <w:t xml:space="preserve"> </w:t>
      </w:r>
      <w:r w:rsidR="00474300" w:rsidRPr="00474300">
        <w:rPr>
          <w:rFonts w:ascii="Times New Roman" w:hAnsi="Times New Roman"/>
          <w:szCs w:val="24"/>
        </w:rPr>
        <w:t>taxon of interest regardless of whether this taxon is sampled</w:t>
      </w:r>
      <w:r w:rsidR="00474300">
        <w:rPr>
          <w:rFonts w:ascii="Times New Roman" w:hAnsi="Times New Roman"/>
          <w:szCs w:val="24"/>
        </w:rPr>
        <w:t xml:space="preserve"> </w:t>
      </w:r>
      <w:r w:rsidR="00474300" w:rsidRPr="00474300">
        <w:rPr>
          <w:rFonts w:ascii="Times New Roman" w:hAnsi="Times New Roman"/>
          <w:szCs w:val="24"/>
        </w:rPr>
        <w:t>in that particular sampling unit.</w:t>
      </w:r>
      <w:r w:rsidR="00474300">
        <w:rPr>
          <w:rFonts w:ascii="Times New Roman" w:hAnsi="Times New Roman"/>
          <w:szCs w:val="24"/>
        </w:rPr>
        <w:t>” The use of probability, in the context of the modeling, was to include the possibility that a taxon was not sampled, rather than not present</w:t>
      </w:r>
      <w:r w:rsidR="007D71CF">
        <w:rPr>
          <w:rFonts w:ascii="Times New Roman" w:hAnsi="Times New Roman"/>
          <w:szCs w:val="24"/>
        </w:rPr>
        <w:t xml:space="preserve"> (see also</w:t>
      </w:r>
      <w:r w:rsidR="002522D4">
        <w:rPr>
          <w:rFonts w:ascii="Times New Roman" w:hAnsi="Times New Roman"/>
          <w:szCs w:val="24"/>
        </w:rPr>
        <w:t xml:space="preserve"> </w:t>
      </w:r>
      <w:r w:rsidR="002522D4">
        <w:rPr>
          <w:rFonts w:ascii="Times New Roman" w:hAnsi="Times New Roman"/>
          <w:szCs w:val="24"/>
        </w:rPr>
        <w:fldChar w:fldCharType="begin">
          <w:fldData xml:space="preserve">PEVuZE5vdGU+PENpdGU+PEF1dGhvcj5NYWNLZW56aWU8L0F1dGhvcj48WWVhcj4yMDA0PC9ZZWFy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</w:fldData>
        </w:fldChar>
      </w:r>
      <w:r w:rsidR="002522D4">
        <w:rPr>
          <w:rFonts w:ascii="Times New Roman" w:hAnsi="Times New Roman"/>
          <w:szCs w:val="24"/>
        </w:rPr>
        <w:instrText xml:space="preserve"> ADDIN EN.CITE </w:instrText>
      </w:r>
      <w:r w:rsidR="002522D4">
        <w:rPr>
          <w:rFonts w:ascii="Times New Roman" w:hAnsi="Times New Roman"/>
          <w:szCs w:val="24"/>
        </w:rPr>
        <w:fldChar w:fldCharType="begin">
          <w:fldData xml:space="preserve">PEVuZE5vdGU+PENpdGU+PEF1dGhvcj5NYWNLZW56aWU8L0F1dGhvcj48WWVhcj4yMDA0PC9ZZWFy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</w:fldData>
        </w:fldChar>
      </w:r>
      <w:r w:rsidR="002522D4">
        <w:rPr>
          <w:rFonts w:ascii="Times New Roman" w:hAnsi="Times New Roman"/>
          <w:szCs w:val="24"/>
        </w:rPr>
        <w:instrText xml:space="preserve"> ADDIN EN.CITE.DATA </w:instrText>
      </w:r>
      <w:r w:rsidR="002522D4">
        <w:rPr>
          <w:rFonts w:ascii="Times New Roman" w:hAnsi="Times New Roman"/>
          <w:szCs w:val="24"/>
        </w:rPr>
      </w:r>
      <w:r w:rsidR="002522D4">
        <w:rPr>
          <w:rFonts w:ascii="Times New Roman" w:hAnsi="Times New Roman"/>
          <w:szCs w:val="24"/>
        </w:rPr>
        <w:fldChar w:fldCharType="end"/>
      </w:r>
      <w:r w:rsidR="002522D4">
        <w:rPr>
          <w:rFonts w:ascii="Times New Roman" w:hAnsi="Times New Roman"/>
          <w:szCs w:val="24"/>
        </w:rPr>
      </w:r>
      <w:r w:rsidR="002522D4">
        <w:rPr>
          <w:rFonts w:ascii="Times New Roman" w:hAnsi="Times New Roman"/>
          <w:szCs w:val="24"/>
        </w:rPr>
        <w:fldChar w:fldCharType="separate"/>
      </w:r>
      <w:r w:rsidR="002522D4">
        <w:rPr>
          <w:rFonts w:ascii="Times New Roman" w:hAnsi="Times New Roman"/>
          <w:noProof/>
          <w:szCs w:val="24"/>
        </w:rPr>
        <w:t>MacKenzie et al. 2002, MacKenzie et al. 2003, MacKenzie et al. 2004</w:t>
      </w:r>
      <w:r w:rsidR="002522D4">
        <w:rPr>
          <w:rFonts w:ascii="Times New Roman" w:hAnsi="Times New Roman"/>
          <w:szCs w:val="24"/>
        </w:rPr>
        <w:fldChar w:fldCharType="end"/>
      </w:r>
      <w:r w:rsidR="007D71CF">
        <w:rPr>
          <w:rFonts w:ascii="Times New Roman" w:hAnsi="Times New Roman"/>
          <w:szCs w:val="24"/>
        </w:rPr>
        <w:t xml:space="preserve">; </w:t>
      </w:r>
      <w:r w:rsidR="00B05FFA">
        <w:rPr>
          <w:rFonts w:ascii="Times New Roman" w:hAnsi="Times New Roman"/>
          <w:szCs w:val="24"/>
        </w:rPr>
        <w:fldChar w:fldCharType="begin"/>
      </w:r>
      <w:r w:rsidR="00B05FFA">
        <w:rPr>
          <w:rFonts w:ascii="Times New Roman" w:hAnsi="Times New Roman"/>
          <w:szCs w:val="24"/>
        </w:rPr>
        <w:instrText xml:space="preserve"> ADDIN EN.CITE &lt;EndNote&gt;&lt;Cite&gt;&lt;Author&gt;Bailey&lt;/Author&gt;&lt;Year&gt;2014&lt;/Year&gt;&lt;RecNum&gt;95&lt;/RecNum&gt;&lt;DisplayText&gt;Bailey et al. 2014&lt;/DisplayText&gt;&lt;record&gt;&lt;rec-number&gt;95&lt;/rec-number&gt;&lt;foreign-keys&gt;&lt;key app="EN" db-id="r2savzrxwddstne9dvmp0wderfxdtarefrzr" timestamp="1516997631"&gt;95&lt;/key&gt;&lt;/foreign-keys&gt;&lt;ref-type name="Journal Article"&gt;17&lt;/ref-type&gt;&lt;contributors&gt;&lt;authors&gt;&lt;author&gt;Bailey, Larissa L.&lt;/author&gt;&lt;author&gt;MacKenzie, Darryl I.&lt;/author&gt;&lt;author&gt;Nichols, James D.&lt;/author&gt;&lt;/authors&gt;&lt;/contributors&gt;&lt;titles&gt;&lt;title&gt;Advances and applications of occupancy models&lt;/title&gt;&lt;secondary-title&gt;Methods in Ecology and Evolution&lt;/secondary-title&gt;&lt;/titles&gt;&lt;periodical&gt;&lt;full-title&gt;Methods in Ecology and Evolution&lt;/full-title&gt;&lt;/periodical&gt;&lt;pages&gt;1269-1279&lt;/pages&gt;&lt;volume&gt;5&lt;/volume&gt;&lt;number&gt;12&lt;/number&gt;&lt;section&gt;1269&lt;/section&gt;&lt;keywords&gt;&lt;keyword&gt;amphibian disease&lt;/keyword&gt;&lt;keyword&gt;Batrachochytrium dendrobatidis&lt;/keyword&gt;&lt;keyword&gt;detection probability&lt;/keyword&gt;&lt;keyword&gt;dynamic multistate occurrence models&lt;/keyword&gt;&lt;keyword&gt;false positive&lt;/keyword&gt;&lt;keyword&gt;misidentification&lt;/keyword&gt;&lt;keyword&gt;multiscale&lt;/keyword&gt;&lt;keyword&gt;study design&lt;/keyword&gt;&lt;/keywords&gt;&lt;dates&gt;&lt;year&gt;2014&lt;/year&gt;&lt;/dates&gt;&lt;isbn&gt;2041-210X&lt;/isbn&gt;&lt;urls&gt;&lt;related-urls&gt;&lt;url&gt;http://dx.doi.org/10.1111/2041-210X.12100&lt;/url&gt;&lt;/related-urls&gt;&lt;/urls&gt;&lt;electronic-resource-num&gt;10.1111/2041-210X.12100&lt;/electronic-resource-num&gt;&lt;/record&gt;&lt;/Cite&gt;&lt;/EndNote&gt;</w:instrText>
      </w:r>
      <w:r w:rsidR="00B05FFA">
        <w:rPr>
          <w:rFonts w:ascii="Times New Roman" w:hAnsi="Times New Roman"/>
          <w:szCs w:val="24"/>
        </w:rPr>
        <w:fldChar w:fldCharType="separate"/>
      </w:r>
      <w:r w:rsidR="00B05FFA">
        <w:rPr>
          <w:rFonts w:ascii="Times New Roman" w:hAnsi="Times New Roman"/>
          <w:noProof/>
          <w:szCs w:val="24"/>
        </w:rPr>
        <w:t>Bailey et al. 2014</w:t>
      </w:r>
      <w:r w:rsidR="00B05FFA">
        <w:rPr>
          <w:rFonts w:ascii="Times New Roman" w:hAnsi="Times New Roman"/>
          <w:szCs w:val="24"/>
        </w:rPr>
        <w:fldChar w:fldCharType="end"/>
      </w:r>
      <w:r w:rsidR="007D71CF">
        <w:rPr>
          <w:rFonts w:ascii="Times New Roman" w:hAnsi="Times New Roman"/>
          <w:szCs w:val="24"/>
        </w:rPr>
        <w:t>)</w:t>
      </w:r>
      <w:r w:rsidR="00474300">
        <w:rPr>
          <w:rFonts w:ascii="Times New Roman" w:hAnsi="Times New Roman"/>
          <w:szCs w:val="24"/>
        </w:rPr>
        <w:t xml:space="preserve">. Liow </w:t>
      </w:r>
      <w:r w:rsidR="00B1421B">
        <w:rPr>
          <w:rFonts w:ascii="Times New Roman" w:hAnsi="Times New Roman"/>
          <w:szCs w:val="24"/>
        </w:rPr>
        <w:t>illustrated the approach using the Cincinnatian brachiopod</w:t>
      </w:r>
      <w:r w:rsidR="00474300">
        <w:rPr>
          <w:rFonts w:ascii="Times New Roman" w:hAnsi="Times New Roman"/>
          <w:szCs w:val="24"/>
        </w:rPr>
        <w:t xml:space="preserve">, </w:t>
      </w:r>
      <w:r w:rsidR="00C86E5B" w:rsidRPr="00474300">
        <w:rPr>
          <w:rFonts w:ascii="Times New Roman" w:hAnsi="Times New Roman"/>
          <w:i/>
          <w:szCs w:val="24"/>
        </w:rPr>
        <w:t>Hebert</w:t>
      </w:r>
      <w:r w:rsidR="00474300" w:rsidRPr="00474300">
        <w:rPr>
          <w:rFonts w:ascii="Times New Roman" w:hAnsi="Times New Roman"/>
          <w:i/>
          <w:szCs w:val="24"/>
        </w:rPr>
        <w:t>ella</w:t>
      </w:r>
      <w:r w:rsidR="00474300">
        <w:rPr>
          <w:rFonts w:ascii="Times New Roman" w:hAnsi="Times New Roman"/>
          <w:szCs w:val="24"/>
        </w:rPr>
        <w:t xml:space="preserve">. In this example, </w:t>
      </w:r>
      <w:r w:rsidR="005E1A94">
        <w:rPr>
          <w:rFonts w:ascii="Times New Roman" w:hAnsi="Times New Roman"/>
          <w:szCs w:val="24"/>
        </w:rPr>
        <w:t xml:space="preserve">the </w:t>
      </w:r>
      <w:r w:rsidR="005E1A94">
        <w:rPr>
          <w:rFonts w:ascii="Times New Roman" w:hAnsi="Times New Roman"/>
        </w:rPr>
        <w:t>sampling unit was identified as being equivalent to a PaleoDB collection, being a single from a single bed at a specific locality. This is generally equivalent to site occupancy. In contrast, her more complex model defined sites as being defined</w:t>
      </w:r>
      <w:r w:rsidR="00C27096">
        <w:rPr>
          <w:rFonts w:ascii="Times New Roman" w:hAnsi="Times New Roman"/>
        </w:rPr>
        <w:t xml:space="preserve"> not only be geographic location, but by stratigraphic position in a depositional sequence and by facies. Multiple collections from the same combination were considered replicate samples within sites. This approach to occupancy thus more closely resembles patch occupancy. </w:t>
      </w:r>
    </w:p>
    <w:p w14:paraId="193DE6DF" w14:textId="0ECAF360" w:rsidR="006957EF" w:rsidRDefault="006957EF" w:rsidP="00EC0597">
      <w:pPr>
        <w:spacing w:line="480" w:lineRule="auto"/>
        <w:ind w:firstLine="360"/>
        <w:rPr>
          <w:rFonts w:ascii="Times New Roman" w:hAnsi="Times New Roman"/>
        </w:rPr>
      </w:pPr>
      <w:r>
        <w:rPr>
          <w:rFonts w:ascii="Times New Roman" w:hAnsi="Times New Roman"/>
        </w:rPr>
        <w:t>Hannisdal et al. (</w:t>
      </w:r>
      <w:r>
        <w:rPr>
          <w:rFonts w:ascii="Times New Roman" w:hAnsi="Times New Roman"/>
        </w:rPr>
        <w:fldChar w:fldCharType="begin"/>
      </w:r>
      <w:r>
        <w:rPr>
          <w:rFonts w:ascii="Times New Roman" w:hAnsi="Times New Roman"/>
        </w:rPr>
        <w:instrText xml:space="preserve"> ADDIN EN.CITE &lt;EndNote&gt;&lt;Cite ExcludeAuth="1"&gt;&lt;Author&gt;Hannisdal&lt;/Author&gt;&lt;Year&gt;2017&lt;/Year&gt;&lt;RecNum&gt;75&lt;/RecNum&gt;&lt;DisplayText&gt;2017&lt;/DisplayText&gt;&lt;record&gt;&lt;rec-number&gt;75&lt;/rec-number&gt;&lt;foreign-keys&gt;&lt;key app="EN" db-id="r2savzrxwddstne9dvmp0wderfxdtarefrzr" timestamp="1509137644"&gt;75&lt;/key&gt;&lt;/foreign-keys&gt;&lt;ref-type name="Journal Article"&gt;17&lt;/ref-type&gt;&lt;contributors&gt;&lt;authors&gt;&lt;author&gt;Hannisdal, Bjarte&lt;/author&gt;&lt;author&gt;Haaga, Kristian Agasøster&lt;/author&gt;&lt;author&gt;Reitan, Trond&lt;/author&gt;&lt;author&gt;Diego, David&lt;/author&gt;&lt;author&gt;Liow, Lee Hsiang&lt;/author&gt;&lt;/authors&gt;&lt;/contributors&gt;&lt;titles&gt;&lt;title&gt;Common species link global ecosystems to climate change: dynamical evidence in the planktonic fossil record&lt;/title&gt;&lt;secondary-title&gt;Proceedings of the Royal Society B: Biological Sciences&lt;/secondary-title&gt;&lt;/titles&gt;&lt;periodical&gt;&lt;full-title&gt;Proceedings of the Royal Society B: Biological Sciences&lt;/full-title&gt;&lt;/periodical&gt;&lt;volume&gt;284&lt;/volume&gt;&lt;number&gt;1858&lt;/number&gt;&lt;edition&gt;2016/03/15&lt;/edition&gt;&lt;dates&gt;&lt;year&gt;2017&lt;/year&gt;&lt;pub-dates&gt;&lt;date&gt;2017/08/11&lt;/date&gt;&lt;/pub-dates&gt;&lt;/dates&gt;&lt;urls&gt;&lt;related-urls&gt;&lt;url&gt;http://rspb.royalsocietypublishing.org/content/royprsb/284/1858/20170722.full.pdf&lt;/url&gt;&lt;url&gt;http://dx.doi.org/10.1101/043729&lt;/url&gt;&lt;/related-urls&gt;&lt;/urls&gt;&lt;electronic-resource-num&gt;10.1098/rspb.2017.0722&lt;/electronic-resource-num&gt;&lt;/record&gt;&lt;/Cite&gt;&lt;/EndNote&gt;</w:instrText>
      </w:r>
      <w:r>
        <w:rPr>
          <w:rFonts w:ascii="Times New Roman" w:hAnsi="Times New Roman"/>
        </w:rPr>
        <w:fldChar w:fldCharType="separate"/>
      </w:r>
      <w:r>
        <w:rPr>
          <w:rFonts w:ascii="Times New Roman" w:hAnsi="Times New Roman"/>
          <w:noProof/>
        </w:rPr>
        <w:t>2017</w:t>
      </w:r>
      <w:r>
        <w:rPr>
          <w:rFonts w:ascii="Times New Roman" w:hAnsi="Times New Roman"/>
        </w:rPr>
        <w:fldChar w:fldCharType="end"/>
      </w:r>
      <w:r>
        <w:rPr>
          <w:rFonts w:ascii="Times New Roman" w:hAnsi="Times New Roman"/>
        </w:rPr>
        <w:t xml:space="preserve">) used temporally binned  planktonic foraminiferal occurrences in the Neptune Database, which is based on ocean drilling locations. These are clearly site occupancy, with high occupancy species occupying a higher proportion of sites within a bin. These proportions were summed calculate their Summed Common species Occurrence Rate (SCOR) metric, whose value is highly dependent on the most common species in the bin. </w:t>
      </w:r>
      <w:r w:rsidR="00EC0597">
        <w:rPr>
          <w:rFonts w:ascii="Times New Roman" w:hAnsi="Times New Roman"/>
        </w:rPr>
        <w:t>This is useful for contrasting occupancy or occurrence structure among different intervals or taxa. However, our goal is to compare patterns among common taxa in different data subsets as well as between common and non-common taxa.</w:t>
      </w:r>
    </w:p>
    <w:p w14:paraId="1505B058" w14:textId="0894CEC1" w:rsidR="00B31458" w:rsidRPr="00F04D2E" w:rsidRDefault="00C02AFA" w:rsidP="00F04D2E">
      <w:pPr>
        <w:spacing w:line="480" w:lineRule="auto"/>
        <w:ind w:firstLine="360"/>
        <w:rPr>
          <w:rFonts w:ascii="Times New Roman" w:hAnsi="Times New Roman"/>
          <w:szCs w:val="24"/>
        </w:rPr>
      </w:pPr>
      <w:r w:rsidRPr="00C02AFA">
        <w:rPr>
          <w:rFonts w:ascii="Times New Roman" w:hAnsi="Times New Roman"/>
          <w:szCs w:val="24"/>
        </w:rPr>
        <w:t xml:space="preserve"> </w:t>
      </w:r>
      <w:r>
        <w:rPr>
          <w:rFonts w:ascii="Times New Roman" w:hAnsi="Times New Roman"/>
          <w:szCs w:val="24"/>
        </w:rPr>
        <w:t xml:space="preserve">In this study, our sampling units are defined by taxonomy and temporal bin; that is we are including all database localities that have at least one genus level occurrence of the classes or classes of interest and are within one of the PaleoDB roughly 10-myr bins (Alroy et al. 2008). We do not include localities that do not contain a representative of a target group. Unlike explicit </w:t>
      </w:r>
      <w:r>
        <w:rPr>
          <w:rFonts w:ascii="Times New Roman" w:hAnsi="Times New Roman"/>
          <w:szCs w:val="24"/>
        </w:rPr>
        <w:lastRenderedPageBreak/>
        <w:t xml:space="preserve">occupancy studies, however, our denominators are not the number of localities. Instead, they are the summed count of all occurrences of all genera of a target group within a bin; they are thus a product of both the number of sites that contain that class and the total diversity. </w:t>
      </w:r>
      <w:r w:rsidR="00F04D2E">
        <w:rPr>
          <w:rFonts w:ascii="Times New Roman" w:hAnsi="Times New Roman"/>
          <w:szCs w:val="24"/>
        </w:rPr>
        <w:t>For example,</w:t>
      </w:r>
      <w:r w:rsidR="001B15EC">
        <w:rPr>
          <w:rFonts w:ascii="Times New Roman" w:hAnsi="Times New Roman"/>
          <w:szCs w:val="24"/>
        </w:rPr>
        <w:t xml:space="preserve"> if two genera coexist at the same locality, then each has half of the occurrences; but if one is found at one locality and the other at another, then they each still has half the occurrences. </w:t>
      </w:r>
      <w:r w:rsidR="003658F4">
        <w:rPr>
          <w:rFonts w:ascii="Times New Roman" w:hAnsi="Times New Roman"/>
          <w:szCs w:val="24"/>
        </w:rPr>
        <w:t xml:space="preserve">For this reason, although </w:t>
      </w:r>
      <w:r>
        <w:rPr>
          <w:rFonts w:ascii="Times New Roman" w:hAnsi="Times New Roman"/>
          <w:szCs w:val="24"/>
        </w:rPr>
        <w:t xml:space="preserve">3.62% of all occurrences of brachiopods in the Permian 3 bin are assigned to </w:t>
      </w:r>
      <w:r w:rsidRPr="00552B01">
        <w:rPr>
          <w:rFonts w:ascii="Times New Roman" w:hAnsi="Times New Roman"/>
          <w:i/>
          <w:szCs w:val="24"/>
        </w:rPr>
        <w:t>Hustedia</w:t>
      </w:r>
      <w:r>
        <w:rPr>
          <w:rFonts w:ascii="Times New Roman" w:hAnsi="Times New Roman"/>
          <w:i/>
          <w:szCs w:val="24"/>
        </w:rPr>
        <w:t xml:space="preserve">, </w:t>
      </w:r>
      <w:r>
        <w:rPr>
          <w:rFonts w:ascii="Times New Roman" w:hAnsi="Times New Roman"/>
          <w:szCs w:val="24"/>
        </w:rPr>
        <w:t xml:space="preserve">whereas 1.63% belong to </w:t>
      </w:r>
      <w:r w:rsidRPr="00552B01">
        <w:rPr>
          <w:rFonts w:ascii="Times New Roman" w:hAnsi="Times New Roman"/>
          <w:i/>
          <w:szCs w:val="24"/>
        </w:rPr>
        <w:t>Meekella</w:t>
      </w:r>
      <w:r w:rsidR="00F04D2E">
        <w:rPr>
          <w:rFonts w:ascii="Times New Roman" w:hAnsi="Times New Roman"/>
          <w:szCs w:val="24"/>
        </w:rPr>
        <w:t xml:space="preserve">; this does not directly imply that the former is found in twice as many localities as the latter. </w:t>
      </w:r>
    </w:p>
    <w:p w14:paraId="2FAEF37D" w14:textId="59E9ADDA" w:rsidR="00FF08E6" w:rsidRDefault="00313171" w:rsidP="00ED4F63">
      <w:pPr>
        <w:spacing w:line="480" w:lineRule="auto"/>
        <w:ind w:firstLine="360"/>
        <w:rPr>
          <w:rFonts w:ascii="Times New Roman" w:hAnsi="Times New Roman"/>
        </w:rPr>
      </w:pPr>
      <w:r>
        <w:rPr>
          <w:rFonts w:ascii="Times New Roman" w:hAnsi="Times New Roman"/>
          <w:szCs w:val="24"/>
        </w:rPr>
        <w:t xml:space="preserve">Plotnick and Wagner (2006) </w:t>
      </w:r>
      <w:r w:rsidR="003B349C">
        <w:rPr>
          <w:rFonts w:ascii="Times New Roman" w:hAnsi="Times New Roman"/>
          <w:szCs w:val="24"/>
        </w:rPr>
        <w:t>combine</w:t>
      </w:r>
      <w:r w:rsidR="00FF08E6">
        <w:rPr>
          <w:rFonts w:ascii="Times New Roman" w:hAnsi="Times New Roman"/>
          <w:szCs w:val="24"/>
        </w:rPr>
        <w:t xml:space="preserve"> all Phane</w:t>
      </w:r>
      <w:r w:rsidR="00ED4F63">
        <w:rPr>
          <w:rFonts w:ascii="Times New Roman" w:hAnsi="Times New Roman"/>
          <w:szCs w:val="24"/>
        </w:rPr>
        <w:t>rozoic occurrences within their target taxa</w:t>
      </w:r>
      <w:r w:rsidR="003B349C">
        <w:rPr>
          <w:rFonts w:ascii="Times New Roman" w:hAnsi="Times New Roman"/>
          <w:szCs w:val="24"/>
        </w:rPr>
        <w:t xml:space="preserve"> and do</w:t>
      </w:r>
      <w:r w:rsidR="00FF08E6">
        <w:rPr>
          <w:rFonts w:ascii="Times New Roman" w:hAnsi="Times New Roman"/>
          <w:szCs w:val="24"/>
        </w:rPr>
        <w:t xml:space="preserve"> not examine temporal changes among the common taxa.</w:t>
      </w:r>
      <w:r w:rsidR="00FF08E6">
        <w:rPr>
          <w:rFonts w:ascii="Times New Roman" w:hAnsi="Times New Roman"/>
        </w:rPr>
        <w:t xml:space="preserve"> The goal of the current paper is to examine </w:t>
      </w:r>
      <w:r w:rsidR="00FF08E6" w:rsidRPr="003039FF">
        <w:rPr>
          <w:rFonts w:ascii="Times New Roman" w:hAnsi="Times New Roman"/>
        </w:rPr>
        <w:t>the tendencies of</w:t>
      </w:r>
      <w:r w:rsidR="00FF08E6">
        <w:rPr>
          <w:rFonts w:ascii="Times New Roman" w:hAnsi="Times New Roman"/>
        </w:rPr>
        <w:t xml:space="preserve"> the most </w:t>
      </w:r>
      <w:r w:rsidR="00FF08E6" w:rsidRPr="003039FF">
        <w:rPr>
          <w:rFonts w:ascii="Times New Roman" w:hAnsi="Times New Roman"/>
        </w:rPr>
        <w:t>dominant taxa o</w:t>
      </w:r>
      <w:r w:rsidR="00FF08E6">
        <w:rPr>
          <w:rFonts w:ascii="Times New Roman" w:hAnsi="Times New Roman"/>
        </w:rPr>
        <w:t>ver very long intervals of time and to compare these patterns to those of less common taxa</w:t>
      </w:r>
      <w:r w:rsidR="00B3489F">
        <w:rPr>
          <w:rFonts w:ascii="Times New Roman" w:hAnsi="Times New Roman"/>
        </w:rPr>
        <w:t xml:space="preserve">. </w:t>
      </w:r>
      <w:r w:rsidR="00FF08E6" w:rsidRPr="002346AE">
        <w:rPr>
          <w:rFonts w:ascii="Times New Roman" w:hAnsi="Times New Roman"/>
        </w:rPr>
        <w:t>Specifically, akin to Reddin et al. (</w:t>
      </w:r>
      <w:r w:rsidR="00C96371">
        <w:rPr>
          <w:rFonts w:ascii="Times New Roman" w:hAnsi="Times New Roman"/>
        </w:rPr>
        <w:fldChar w:fldCharType="begin">
          <w:fldData xml:space="preserve">PEVuZE5vdGU+PENpdGUgRXhjbHVkZUF1dGg9IjEiPjxBdXRob3I+UmVkZGluPC9BdXRob3I+PFll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==
</w:fldData>
        </w:fldChar>
      </w:r>
      <w:r w:rsidR="00EA54AA">
        <w:rPr>
          <w:rFonts w:ascii="Times New Roman" w:hAnsi="Times New Roman"/>
        </w:rPr>
        <w:instrText xml:space="preserve"> ADDIN EN.CITE </w:instrText>
      </w:r>
      <w:r w:rsidR="00EA54AA">
        <w:rPr>
          <w:rFonts w:ascii="Times New Roman" w:hAnsi="Times New Roman"/>
        </w:rPr>
        <w:fldChar w:fldCharType="begin">
          <w:fldData xml:space="preserve">PEVuZE5vdGU+PENpdGUgRXhjbHVkZUF1dGg9IjEiPjxBdXRob3I+UmVkZGluPC9BdXRob3I+PFll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==
</w:fldData>
        </w:fldChar>
      </w:r>
      <w:r w:rsidR="00EA54AA">
        <w:rPr>
          <w:rFonts w:ascii="Times New Roman" w:hAnsi="Times New Roman"/>
        </w:rPr>
        <w:instrText xml:space="preserve"> ADDIN EN.CITE.DATA </w:instrText>
      </w:r>
      <w:r w:rsidR="00EA54AA">
        <w:rPr>
          <w:rFonts w:ascii="Times New Roman" w:hAnsi="Times New Roman"/>
        </w:rPr>
      </w:r>
      <w:r w:rsidR="00EA54AA">
        <w:rPr>
          <w:rFonts w:ascii="Times New Roman" w:hAnsi="Times New Roman"/>
        </w:rPr>
        <w:fldChar w:fldCharType="end"/>
      </w:r>
      <w:r w:rsidR="00C96371">
        <w:rPr>
          <w:rFonts w:ascii="Times New Roman" w:hAnsi="Times New Roman"/>
        </w:rPr>
      </w:r>
      <w:r w:rsidR="00C96371">
        <w:rPr>
          <w:rFonts w:ascii="Times New Roman" w:hAnsi="Times New Roman"/>
        </w:rPr>
        <w:fldChar w:fldCharType="separate"/>
      </w:r>
      <w:r w:rsidR="00C96371">
        <w:rPr>
          <w:rFonts w:ascii="Times New Roman" w:hAnsi="Times New Roman"/>
          <w:noProof/>
        </w:rPr>
        <w:t>2015</w:t>
      </w:r>
      <w:r w:rsidR="00C96371">
        <w:rPr>
          <w:rFonts w:ascii="Times New Roman" w:hAnsi="Times New Roman"/>
        </w:rPr>
        <w:fldChar w:fldCharType="end"/>
      </w:r>
      <w:r w:rsidR="00FF08E6" w:rsidRPr="002346AE">
        <w:rPr>
          <w:rFonts w:ascii="Times New Roman" w:hAnsi="Times New Roman"/>
        </w:rPr>
        <w:t xml:space="preserve">), we seek to answer whether dominant taxa are fundamentally different from </w:t>
      </w:r>
      <w:r w:rsidR="00FF08E6">
        <w:rPr>
          <w:rFonts w:ascii="Times New Roman" w:hAnsi="Times New Roman"/>
        </w:rPr>
        <w:t>non-dominant</w:t>
      </w:r>
      <w:r w:rsidR="00FF08E6" w:rsidRPr="002346AE">
        <w:rPr>
          <w:rFonts w:ascii="Times New Roman" w:hAnsi="Times New Roman"/>
        </w:rPr>
        <w:t xml:space="preserve"> taxa. We do this in three ways</w:t>
      </w:r>
      <w:r w:rsidR="00B3489F">
        <w:rPr>
          <w:rFonts w:ascii="Times New Roman" w:hAnsi="Times New Roman"/>
        </w:rPr>
        <w:t xml:space="preserve">. </w:t>
      </w:r>
      <w:r w:rsidR="00FF08E6" w:rsidRPr="00E41BE9">
        <w:rPr>
          <w:rFonts w:ascii="Times New Roman" w:hAnsi="Times New Roman"/>
        </w:rPr>
        <w:t xml:space="preserve">First, we look at changes in dominant genera from bin-to-bin by ranking them and </w:t>
      </w:r>
      <w:r w:rsidR="001F30C9">
        <w:rPr>
          <w:rFonts w:ascii="Times New Roman" w:hAnsi="Times New Roman"/>
        </w:rPr>
        <w:t xml:space="preserve">then </w:t>
      </w:r>
      <w:r w:rsidR="00FF08E6" w:rsidRPr="00E41BE9">
        <w:rPr>
          <w:rFonts w:ascii="Times New Roman" w:hAnsi="Times New Roman"/>
        </w:rPr>
        <w:t>examining turnover within the top ranks. For example, what proportion of the twenty most common brachiopod genera from one interval of the Ordovician also appear in that list in the next interval of the Ordovician?</w:t>
      </w:r>
      <w:r w:rsidR="00FF08E6">
        <w:rPr>
          <w:rFonts w:ascii="Times New Roman" w:hAnsi="Times New Roman"/>
        </w:rPr>
        <w:t xml:space="preserve">  If general extinction dynamics affect these dominant genera as they do all genera, then we expect to see common patterns of turnover. Alternatively, if dominant genera have properties that make them less prone to extinction than the majority of genera, then their turnover patterns should be different. This analysis is done for six target groups of major Phanerozoic separately and combined to determine i</w:t>
      </w:r>
      <w:r w:rsidR="00FF08E6" w:rsidRPr="003069FE">
        <w:rPr>
          <w:rFonts w:ascii="Times New Roman" w:hAnsi="Times New Roman"/>
        </w:rPr>
        <w:t>f persistence of individual genus dominance differs among the different higher taxa.</w:t>
      </w:r>
      <w:r w:rsidR="009E0B15">
        <w:rPr>
          <w:rFonts w:ascii="Times New Roman" w:hAnsi="Times New Roman"/>
        </w:rPr>
        <w:t xml:space="preserve"> </w:t>
      </w:r>
      <w:r w:rsidR="00FF08E6">
        <w:rPr>
          <w:rFonts w:ascii="Times New Roman" w:hAnsi="Times New Roman"/>
        </w:rPr>
        <w:t xml:space="preserve">If </w:t>
      </w:r>
      <w:r w:rsidR="009E0B15">
        <w:rPr>
          <w:rFonts w:ascii="Times New Roman" w:hAnsi="Times New Roman"/>
        </w:rPr>
        <w:t>t</w:t>
      </w:r>
      <w:r w:rsidR="00FF08E6">
        <w:rPr>
          <w:rFonts w:ascii="Times New Roman" w:hAnsi="Times New Roman"/>
        </w:rPr>
        <w:t xml:space="preserve">he general differences in evolutionary dynamics among higher taxa affect their dominant genera, then persistence of </w:t>
      </w:r>
      <w:r w:rsidR="00FF08E6">
        <w:rPr>
          <w:rFonts w:ascii="Times New Roman" w:hAnsi="Times New Roman"/>
        </w:rPr>
        <w:lastRenderedPageBreak/>
        <w:t>dominant taxa within them should reflect previously documented differences in their evolutionary dynamics</w:t>
      </w:r>
      <w:r w:rsidR="00B3489F">
        <w:rPr>
          <w:rFonts w:ascii="Times New Roman" w:hAnsi="Times New Roman"/>
        </w:rPr>
        <w:t xml:space="preserve">. </w:t>
      </w:r>
    </w:p>
    <w:p w14:paraId="65BFBD3A" w14:textId="77777777" w:rsidR="00FF08E6" w:rsidRDefault="00FF08E6" w:rsidP="008A66AD">
      <w:pPr>
        <w:spacing w:line="480" w:lineRule="auto"/>
        <w:ind w:firstLine="360"/>
        <w:rPr>
          <w:rFonts w:ascii="Times New Roman" w:hAnsi="Times New Roman"/>
        </w:rPr>
      </w:pPr>
      <w:r w:rsidRPr="002346AE">
        <w:rPr>
          <w:rFonts w:ascii="Times New Roman" w:hAnsi="Times New Roman"/>
        </w:rPr>
        <w:t xml:space="preserve">Second, we compare bin-to-bin origination and extinction rates of dominant and </w:t>
      </w:r>
      <w:r>
        <w:rPr>
          <w:rFonts w:ascii="Times New Roman" w:hAnsi="Times New Roman"/>
        </w:rPr>
        <w:t>non-dominant</w:t>
      </w:r>
      <w:r w:rsidRPr="002346AE">
        <w:rPr>
          <w:rFonts w:ascii="Times New Roman" w:hAnsi="Times New Roman"/>
        </w:rPr>
        <w:t xml:space="preserve"> genera.</w:t>
      </w:r>
      <w:r>
        <w:rPr>
          <w:rFonts w:ascii="Times New Roman" w:hAnsi="Times New Roman"/>
        </w:rPr>
        <w:t xml:space="preserve"> If common taxa are more persistent over time than non-dominant taxa, these rates should be lower than for more transient non-dominant genera. </w:t>
      </w:r>
    </w:p>
    <w:p w14:paraId="07CB4A77" w14:textId="3D7EBCCA" w:rsidR="00FF08E6" w:rsidRDefault="00FF08E6" w:rsidP="008A66AD">
      <w:pPr>
        <w:spacing w:line="480" w:lineRule="auto"/>
        <w:ind w:firstLine="360"/>
        <w:rPr>
          <w:rFonts w:ascii="Times New Roman" w:hAnsi="Times New Roman"/>
        </w:rPr>
      </w:pPr>
      <w:r w:rsidRPr="002346AE">
        <w:rPr>
          <w:rFonts w:ascii="Times New Roman" w:hAnsi="Times New Roman"/>
        </w:rPr>
        <w:t xml:space="preserve">Third, we study the patterns of rise-and-fall of dominant taxa and determine whether they are measurably different from the histories of </w:t>
      </w:r>
      <w:r>
        <w:rPr>
          <w:rFonts w:ascii="Times New Roman" w:hAnsi="Times New Roman"/>
        </w:rPr>
        <w:t>non-dominant</w:t>
      </w:r>
      <w:r w:rsidRPr="002346AE">
        <w:rPr>
          <w:rFonts w:ascii="Times New Roman" w:hAnsi="Times New Roman"/>
        </w:rPr>
        <w:t xml:space="preserve"> genera (</w:t>
      </w:r>
      <w:r w:rsidR="00A9540F">
        <w:rPr>
          <w:rFonts w:ascii="Times New Roman" w:hAnsi="Times New Roman"/>
        </w:rPr>
        <w:fldChar w:fldCharType="begin"/>
      </w:r>
      <w:r w:rsidR="00A9540F">
        <w:rPr>
          <w:rFonts w:ascii="Times New Roman" w:hAnsi="Times New Roman"/>
        </w:rPr>
        <w:instrText xml:space="preserve"> ADDIN EN.CITE &lt;EndNote&gt;&lt;Cite&gt;&lt;Author&gt;Foote&lt;/Author&gt;&lt;Year&gt;2007&lt;/Year&gt;&lt;RecNum&gt;10&lt;/RecNum&gt;&lt;DisplayText&gt;Foote 2007&lt;/DisplayText&gt;&lt;record&gt;&lt;rec-number&gt;10&lt;/rec-number&gt;&lt;foreign-keys&gt;&lt;key app="EN" db-id="r2savzrxwddstne9dvmp0wderfxdtarefrzr" timestamp="1493841983"&gt;10&lt;/key&gt;&lt;/foreign-keys&gt;&lt;ref-type name="Journal Article"&gt;17&lt;/ref-type&gt;&lt;contributors&gt;&lt;authors&gt;&lt;author&gt;Foote, Michael&lt;/author&gt;&lt;/authors&gt;&lt;/contributors&gt;&lt;titles&gt;&lt;title&gt;Symmetric waxing and waning of marine invertebrate genera&lt;/title&gt;&lt;secondary-title&gt;Paleobiology&lt;/secondary-title&gt;&lt;/titles&gt;&lt;periodical&gt;&lt;full-title&gt;Paleobiology&lt;/full-title&gt;&lt;/periodical&gt;&lt;pages&gt;517-529&lt;/pages&gt;&lt;volume&gt;33&lt;/volume&gt;&lt;number&gt;4&lt;/number&gt;&lt;section&gt;517&lt;/section&gt;&lt;dates&gt;&lt;year&gt;2007&lt;/year&gt;&lt;pub-dates&gt;&lt;date&gt;2007/11/01&lt;/date&gt;&lt;/pub-dates&gt;&lt;/dates&gt;&lt;urls&gt;&lt;related-urls&gt;&lt;url&gt;&lt;style face="underline" font="default" size="100%"&gt;http://dx.doi.org/10.1666%2F06084.1 &lt;/style&gt;&lt;/url&gt;&lt;/related-urls&gt;&lt;/urls&gt;&lt;electronic-resource-num&gt;10.1666/06084.1&lt;/electronic-resource-num&gt;&lt;/record&gt;&lt;/Cite&gt;&lt;/EndNote&gt;</w:instrText>
      </w:r>
      <w:r w:rsidR="00A9540F">
        <w:rPr>
          <w:rFonts w:ascii="Times New Roman" w:hAnsi="Times New Roman"/>
        </w:rPr>
        <w:fldChar w:fldCharType="separate"/>
      </w:r>
      <w:r w:rsidR="00A9540F">
        <w:rPr>
          <w:rFonts w:ascii="Times New Roman" w:hAnsi="Times New Roman"/>
          <w:noProof/>
        </w:rPr>
        <w:t>Foote 2007</w:t>
      </w:r>
      <w:r w:rsidR="00A9540F">
        <w:rPr>
          <w:rFonts w:ascii="Times New Roman" w:hAnsi="Times New Roman"/>
        </w:rPr>
        <w:fldChar w:fldCharType="end"/>
      </w:r>
      <w:r w:rsidRPr="002346AE">
        <w:rPr>
          <w:rFonts w:ascii="Times New Roman" w:hAnsi="Times New Roman"/>
        </w:rPr>
        <w:t>).</w:t>
      </w:r>
      <w:r>
        <w:rPr>
          <w:rFonts w:ascii="Times New Roman" w:hAnsi="Times New Roman"/>
        </w:rPr>
        <w:t xml:space="preserve"> If dominant genera possess characteristics that give them an immediate advantage, then they may rise in dominance more rapidly than would be the case among a more typical taxon. Alternatively, they </w:t>
      </w:r>
      <w:r w:rsidR="0095214D">
        <w:rPr>
          <w:rFonts w:ascii="Times New Roman" w:hAnsi="Times New Roman"/>
        </w:rPr>
        <w:t xml:space="preserve">might </w:t>
      </w:r>
      <w:r>
        <w:rPr>
          <w:rFonts w:ascii="Times New Roman" w:hAnsi="Times New Roman"/>
        </w:rPr>
        <w:t xml:space="preserve">also have properties that allow them to persist at high levels of commonness longer than the majority of genera. This would again be the situation if they are more resistant to extinction. </w:t>
      </w:r>
    </w:p>
    <w:p w14:paraId="659FD5D3" w14:textId="1461A7DF" w:rsidR="00F24141" w:rsidRPr="00EC0597" w:rsidRDefault="00FF08E6" w:rsidP="00EC0597">
      <w:pPr>
        <w:spacing w:line="480" w:lineRule="auto"/>
        <w:rPr>
          <w:rFonts w:ascii="Times New Roman" w:hAnsi="Times New Roman"/>
          <w:szCs w:val="24"/>
        </w:rPr>
      </w:pPr>
      <w:r>
        <w:rPr>
          <w:rFonts w:ascii="Times New Roman" w:hAnsi="Times New Roman"/>
        </w:rPr>
        <w:tab/>
      </w:r>
      <w:r w:rsidRPr="002346AE">
        <w:rPr>
          <w:rFonts w:ascii="Times New Roman" w:hAnsi="Times New Roman"/>
        </w:rPr>
        <w:t>Finally, we also briefly reconsider explanations for</w:t>
      </w:r>
      <w:r>
        <w:rPr>
          <w:rFonts w:ascii="Times New Roman" w:hAnsi="Times New Roman"/>
        </w:rPr>
        <w:t xml:space="preserve"> the existence of dominant taxa. Plotnick and Wagner (</w:t>
      </w:r>
      <w:r w:rsidR="00D34CE2">
        <w:rPr>
          <w:rFonts w:ascii="Times New Roman" w:hAnsi="Times New Roman"/>
        </w:rPr>
        <w:fldChar w:fldCharType="begin"/>
      </w:r>
      <w:r w:rsidR="00D34CE2">
        <w:rPr>
          <w:rFonts w:ascii="Times New Roman" w:hAnsi="Times New Roman"/>
        </w:rPr>
        <w:instrText xml:space="preserve"> ADDIN EN.CITE &lt;EndNote&gt;&lt;Cite ExcludeAuth="1"&gt;&lt;Author&gt;Plotnick&lt;/Author&gt;&lt;Year&gt;2006&lt;/Year&gt;&lt;RecNum&gt;23&lt;/RecNum&gt;&lt;DisplayText&gt;2006&lt;/DisplayText&gt;&lt;record&gt;&lt;rec-number&gt;23&lt;/rec-number&gt;&lt;foreign-keys&gt;&lt;key app="EN" db-id="r2savzrxwddstne9dvmp0wderfxdtarefrzr" timestamp="1493841983"&gt;23&lt;/key&gt;&lt;/foreign-keys&gt;&lt;ref-type name="Journal Article"&gt;17&lt;/ref-type&gt;&lt;contributors&gt;&lt;authors&gt;&lt;author&gt;Roy E. Plotnick&lt;/author&gt;&lt;author&gt;Peter J. Wagner&lt;/author&gt;&lt;/authors&gt;&lt;/contributors&gt;&lt;titles&gt;&lt;title&gt;Round up the usual suspects: common genera in the fossil record and the nature of wastebasket taxa&lt;/title&gt;&lt;secondary-title&gt;Paleobiology&lt;/secondary-title&gt;&lt;/titles&gt;&lt;periodical&gt;&lt;full-title&gt;Paleobiology&lt;/full-title&gt;&lt;/periodical&gt;&lt;pages&gt;126 - 146&lt;/pages&gt;&lt;volume&gt;32&lt;/volume&gt;&lt;number&gt;1&lt;/number&gt;&lt;edition&gt;2006/01/01&lt;/edition&gt;&lt;section&gt;126&lt;/section&gt;&lt;dates&gt;&lt;year&gt;2006&lt;/year&gt;&lt;pub-dates&gt;&lt;date&gt;2006/01/01&lt;/date&gt;&lt;/pub-dates&gt;&lt;/dates&gt;&lt;urls&gt;&lt;/urls&gt;&lt;electronic-resource-num&gt;10.1666/04056.1&lt;/electronic-resource-num&gt;&lt;/record&gt;&lt;/Cite&gt;&lt;/EndNote&gt;</w:instrText>
      </w:r>
      <w:r w:rsidR="00D34CE2">
        <w:rPr>
          <w:rFonts w:ascii="Times New Roman" w:hAnsi="Times New Roman"/>
        </w:rPr>
        <w:fldChar w:fldCharType="separate"/>
      </w:r>
      <w:r w:rsidR="00D34CE2">
        <w:rPr>
          <w:rFonts w:ascii="Times New Roman" w:hAnsi="Times New Roman"/>
          <w:noProof/>
        </w:rPr>
        <w:t>2006</w:t>
      </w:r>
      <w:r w:rsidR="00D34CE2">
        <w:rPr>
          <w:rFonts w:ascii="Times New Roman" w:hAnsi="Times New Roman"/>
        </w:rPr>
        <w:fldChar w:fldCharType="end"/>
      </w:r>
      <w:r>
        <w:rPr>
          <w:rFonts w:ascii="Times New Roman" w:hAnsi="Times New Roman"/>
        </w:rPr>
        <w:t xml:space="preserve">) examine possible reasons for a taxon to be dominant in term of the number of occurrences. This could represent biological signal, such as the case with modern common species. Alternatively, they could represent artifacts of taxonomic practice. Here, we present a simple model </w:t>
      </w:r>
      <w:r w:rsidRPr="00C7158D">
        <w:rPr>
          <w:rFonts w:ascii="Times New Roman" w:hAnsi="Times New Roman"/>
          <w:szCs w:val="24"/>
        </w:rPr>
        <w:t xml:space="preserve">of morphological and phylogenetic diversification </w:t>
      </w:r>
      <w:r>
        <w:rPr>
          <w:rFonts w:ascii="Times New Roman" w:hAnsi="Times New Roman"/>
          <w:szCs w:val="24"/>
        </w:rPr>
        <w:t>and sampling that might account for some dominant taxa.</w:t>
      </w:r>
      <w:r w:rsidR="003B349C">
        <w:rPr>
          <w:rFonts w:ascii="Times New Roman" w:hAnsi="Times New Roman"/>
          <w:szCs w:val="24"/>
        </w:rPr>
        <w:t xml:space="preserve"> </w:t>
      </w:r>
    </w:p>
    <w:p w14:paraId="4E17886E" w14:textId="0CCAA39D" w:rsidR="00512EFA" w:rsidRDefault="00512EFA" w:rsidP="008A66AD">
      <w:pPr>
        <w:spacing w:line="480" w:lineRule="auto"/>
        <w:ind w:firstLine="360"/>
        <w:rPr>
          <w:rFonts w:ascii="Times New Roman" w:hAnsi="Times New Roman"/>
          <w:szCs w:val="24"/>
        </w:rPr>
      </w:pPr>
    </w:p>
    <w:p w14:paraId="54F36CAD" w14:textId="76F16352" w:rsidR="00512EFA" w:rsidRPr="00512EFA" w:rsidRDefault="00512EFA" w:rsidP="00512EFA">
      <w:pPr>
        <w:spacing w:line="480" w:lineRule="auto"/>
        <w:jc w:val="center"/>
        <w:rPr>
          <w:rFonts w:ascii="Times New Roman" w:hAnsi="Times New Roman"/>
          <w:b/>
          <w:szCs w:val="24"/>
        </w:rPr>
      </w:pPr>
      <w:r w:rsidRPr="00512EFA">
        <w:rPr>
          <w:rFonts w:ascii="Times New Roman" w:hAnsi="Times New Roman"/>
          <w:b/>
          <w:szCs w:val="24"/>
        </w:rPr>
        <w:t>Data</w:t>
      </w:r>
    </w:p>
    <w:p w14:paraId="53D9A8FD" w14:textId="157F4219" w:rsidR="00FF08E6" w:rsidRPr="00985B8A" w:rsidRDefault="00FF08E6" w:rsidP="008A66AD">
      <w:pPr>
        <w:spacing w:line="480" w:lineRule="auto"/>
        <w:ind w:firstLine="360"/>
        <w:rPr>
          <w:rFonts w:ascii="Times New Roman" w:hAnsi="Times New Roman"/>
          <w:szCs w:val="24"/>
        </w:rPr>
      </w:pPr>
      <w:r w:rsidRPr="00C7158D">
        <w:rPr>
          <w:rFonts w:ascii="Times New Roman" w:hAnsi="Times New Roman"/>
          <w:szCs w:val="24"/>
        </w:rPr>
        <w:t>We analyze brachiopods, gastropods, bivalves, cephalopods, trilobites, and echinoids. The basic data are the occurrences (appearance of a genus name in a collection) for each genus of these groups downloaded from the PaleoDB in October 2013, grouped into one of 49 bins approximately 10 million year each in duration (</w:t>
      </w:r>
      <w:r w:rsidR="00A13F3B">
        <w:rPr>
          <w:rFonts w:ascii="Times New Roman" w:hAnsi="Times New Roman"/>
          <w:noProof/>
          <w:szCs w:val="24"/>
        </w:rPr>
        <w:fldChar w:fldCharType="begin"/>
      </w:r>
      <w:r w:rsidR="00A13F3B">
        <w:rPr>
          <w:rFonts w:ascii="Times New Roman" w:hAnsi="Times New Roman"/>
          <w:noProof/>
          <w:szCs w:val="24"/>
        </w:rPr>
        <w:instrText xml:space="preserve"> ADDIN EN.CITE &lt;EndNote&gt;&lt;Cite&gt;&lt;Author&gt;Alroy&lt;/Author&gt;&lt;Year&gt;2001&lt;/Year&gt;&lt;RecNum&gt;2&lt;/RecNum&gt;&lt;DisplayText&gt;Alroy et al. 2001&lt;/DisplayText&gt;&lt;record&gt;&lt;rec-number&gt;2&lt;/rec-number&gt;&lt;foreign-keys&gt;&lt;key app="EN" db-id="r2savzrxwddstne9dvmp0wderfxdtarefrzr" timestamp="1493841983"&gt;2&lt;/key&gt;&lt;/foreign-keys&gt;&lt;ref-type name="Journal Article"&gt;17&lt;/ref-type&gt;&lt;contributors&gt;&lt;authors&gt;&lt;author&gt;John Alroy&lt;/author&gt;&lt;author&gt;Charles R. Marshall&lt;/author&gt;&lt;author&gt;Richard K. Bambach&lt;/author&gt;&lt;author&gt;K. Bezusko&lt;/author&gt;&lt;author&gt;Michael Foote&lt;/author&gt;&lt;author&gt;Frans T. Fürsich&lt;/author&gt;&lt;author&gt;Thor A. Hansen&lt;/author&gt;&lt;author&gt;Steven M. Holland&lt;/author&gt;&lt;author&gt;Linda C. Ivany&lt;/author&gt;&lt;author&gt;David Jablonski&lt;/author&gt;&lt;author&gt;David K. Jacobs&lt;/author&gt;&lt;author&gt;D. C. Jones&lt;/author&gt;&lt;author&gt;Matthew A. Kosnik&lt;/author&gt;&lt;author&gt;Scott Lidgard&lt;/author&gt;&lt;author&gt;S. Low&lt;/author&gt;&lt;author&gt;Arnold I. Miller&lt;/author&gt;&lt;author&gt;Philip M. Novack-Gottshall&lt;/author&gt;&lt;author&gt;Thomas D. Olszewski&lt;/author&gt;&lt;author&gt;Mark E. Patzkowsky&lt;/author&gt;&lt;author&gt;David M. Raup&lt;/author&gt;&lt;author&gt;Kaustuv Roy&lt;/author&gt;&lt;author&gt;J. John Sepkoski, Jr.&lt;/author&gt;&lt;author&gt;Michael G. Sommers&lt;/author&gt;&lt;author&gt;Peter J. Wagner&lt;/author&gt;&lt;author&gt;Andrew Webber&lt;/author&gt;&lt;/authors&gt;&lt;/contributors&gt;&lt;titles&gt;&lt;title&gt;Effects of sampling standardization on estimates of Phanerozoic marine diversity&lt;/title&gt;&lt;secondary-title&gt;Proceedings of the National Academy of Sciences, USA&lt;/secondary-title&gt;&lt;/titles&gt;&lt;periodical&gt;&lt;full-title&gt;Proceedings of the National Academy of Sciences, USA&lt;/full-title&gt;&lt;/periodical&gt;&lt;pages&gt;6261 - 6266&lt;/pages&gt;&lt;volume&gt;98&lt;/volume&gt;&lt;number&gt;11&lt;/number&gt;&lt;section&gt;6261&lt;/section&gt;&lt;keywords&gt;&lt;keyword&gt;Sampling Standardization&lt;/keyword&gt;&lt;keyword&gt;Diversity&lt;/keyword&gt;&lt;keyword&gt;Richness&lt;/keyword&gt;&lt;keyword&gt;Rarefaction&lt;/keyword&gt;&lt;/keywords&gt;&lt;dates&gt;&lt;year&gt;2001&lt;/year&gt;&lt;pub-dates&gt;&lt;date&gt;&lt;style face="normal" font="default" size="100%"&gt;2001&lt;/style&gt;&lt;style face="normal" font="default" size="12"&gt;/&lt;/style&gt;&lt;style face="normal" font="default" size="100%"&gt;05&lt;/style&gt;&lt;/date&gt;&lt;/pub-dates&gt;&lt;/dates&gt;&lt;label&gt;3637&lt;/label&gt;&lt;urls&gt;&lt;/urls&gt;&lt;/record&gt;&lt;/Cite&gt;&lt;/EndNote&gt;</w:instrText>
      </w:r>
      <w:r w:rsidR="00A13F3B">
        <w:rPr>
          <w:rFonts w:ascii="Times New Roman" w:hAnsi="Times New Roman"/>
          <w:noProof/>
          <w:szCs w:val="24"/>
        </w:rPr>
        <w:fldChar w:fldCharType="separate"/>
      </w:r>
      <w:r w:rsidR="00A13F3B">
        <w:rPr>
          <w:rFonts w:ascii="Times New Roman" w:hAnsi="Times New Roman"/>
          <w:noProof/>
          <w:szCs w:val="24"/>
        </w:rPr>
        <w:t>Alroy et al. 2001</w:t>
      </w:r>
      <w:r w:rsidR="00A13F3B">
        <w:rPr>
          <w:rFonts w:ascii="Times New Roman" w:hAnsi="Times New Roman"/>
          <w:noProof/>
          <w:szCs w:val="24"/>
        </w:rPr>
        <w:fldChar w:fldCharType="end"/>
      </w:r>
      <w:r w:rsidR="00A13F3B">
        <w:rPr>
          <w:rFonts w:ascii="Times New Roman" w:hAnsi="Times New Roman"/>
          <w:noProof/>
          <w:szCs w:val="24"/>
        </w:rPr>
        <w:t xml:space="preserve">; </w:t>
      </w:r>
      <w:r w:rsidR="00A13F3B">
        <w:rPr>
          <w:rFonts w:ascii="Times New Roman" w:hAnsi="Times New Roman"/>
          <w:noProof/>
          <w:szCs w:val="24"/>
        </w:rPr>
        <w:fldChar w:fldCharType="begin"/>
      </w:r>
      <w:r w:rsidR="00EA54AA">
        <w:rPr>
          <w:rFonts w:ascii="Times New Roman" w:hAnsi="Times New Roman"/>
          <w:noProof/>
          <w:szCs w:val="24"/>
        </w:rPr>
        <w:instrText xml:space="preserve"> ADDIN EN.CITE &lt;EndNote&gt;&lt;Cite&gt;&lt;Author&gt;Alroy&lt;/Author&gt;&lt;Year&gt;2008&lt;/Year&gt;&lt;RecNum&gt;25008&lt;/RecNum&gt;&lt;DisplayText&gt;Alroy et al. 2008&lt;/DisplayText&gt;&lt;record&gt;&lt;rec-number&gt;25008&lt;/rec-number&gt;&lt;foreign-keys&gt;&lt;key app="EN" db-id="wz00v599a2zpv4etvzgv2e93052sszxwve5v" timestamp="1503433479"&gt;25008&lt;/key&gt;&lt;/foreign-keys&gt;&lt;ref-type name="Journal Article"&gt;17&lt;/ref-type&gt;&lt;contributors&gt;&lt;authors&gt;&lt;author&gt;John Alroy&lt;/author&gt;&lt;author&gt;Martin Aberhan&lt;/author&gt;&lt;author&gt;David J. Bottjer&lt;/author&gt;&lt;author&gt;Michael Foote&lt;/author&gt;&lt;author&gt;F. T. Fürsich&lt;/author&gt;&lt;author&gt;P. J. Harries&lt;/author&gt;&lt;author&gt;A. J. W. Hendy&lt;/author&gt;&lt;author&gt;S. M. Holland&lt;/author&gt;&lt;author&gt;L. C. Ivany&lt;/author&gt;&lt;author&gt;W. Kiessling&lt;/author&gt;&lt;author&gt;M. A. Kosnik&lt;/author&gt;&lt;author&gt;C. R. Marshall&lt;/author&gt;&lt;author&gt;A. J. McGowan&lt;/author&gt;&lt;author&gt;A. I. Miller&lt;/author&gt;&lt;author&gt;T. D. Olszewski&lt;/author&gt;&lt;author&gt;M. E. Patzkowsky&lt;/author&gt;&lt;author&gt;S. E. Peters&lt;/author&gt;&lt;author&gt;L. Villier&lt;/author&gt;&lt;author&gt;P. J. Wagner&lt;/author&gt;&lt;author&gt;N. Bonuso&lt;/author&gt;&lt;author&gt;P. S. Borkow&lt;/author&gt;&lt;author&gt;B. Brenneis&lt;/author&gt;&lt;author&gt;M. E. Clapham&lt;/author&gt;&lt;author&gt;L. M. Fall&lt;/author&gt;&lt;author&gt;C. A. Ferguson&lt;/author&gt;&lt;author&gt;V. L. Hanson&lt;/author&gt;&lt;author&gt;A. Z. Krug&lt;/author&gt;&lt;author&gt;K. M. Layou&lt;/author&gt;&lt;author&gt;E. H. Leckey&lt;/author&gt;&lt;author&gt;S. Nürnberg&lt;/author&gt;&lt;author&gt;C. M. Powers&lt;/author&gt;&lt;author&gt;J. A. Sessa&lt;/author&gt;&lt;author&gt;C. Simpson&lt;/author&gt;&lt;author&gt;A. Tomasovych&lt;/author&gt;&lt;author&gt;C. C. Visaggi&lt;/author&gt;&lt;/authors&gt;&lt;/contributors&gt;&lt;titles&gt;&lt;title&gt;Phanerozoic trends in the global diversity of marine invertebrates&lt;/title&gt;&lt;secondary-title&gt;Science&lt;/secondary-title&gt;&lt;/titles&gt;&lt;periodical&gt;&lt;full-title&gt;Science&lt;/full-title&gt;&lt;/periodical&gt;&lt;pages&gt;97 - 100&lt;/pages&gt;&lt;volume&gt;321&lt;/volume&gt;&lt;section&gt;97&lt;/section&gt;&lt;dates&gt;&lt;year&gt;2008&lt;/year&gt;&lt;/dates&gt;&lt;urls&gt;&lt;/urls&gt;&lt;electronic-resource-num&gt;10.1126/science.1156963&lt;/electronic-resource-num&gt;&lt;/record&gt;&lt;/Cite&gt;&lt;/EndNote&gt;</w:instrText>
      </w:r>
      <w:r w:rsidR="00A13F3B">
        <w:rPr>
          <w:rFonts w:ascii="Times New Roman" w:hAnsi="Times New Roman"/>
          <w:noProof/>
          <w:szCs w:val="24"/>
        </w:rPr>
        <w:fldChar w:fldCharType="separate"/>
      </w:r>
      <w:r w:rsidR="00A13F3B">
        <w:rPr>
          <w:rFonts w:ascii="Times New Roman" w:hAnsi="Times New Roman"/>
          <w:noProof/>
          <w:szCs w:val="24"/>
        </w:rPr>
        <w:t>Alroy et al. 2008</w:t>
      </w:r>
      <w:r w:rsidR="00A13F3B">
        <w:rPr>
          <w:rFonts w:ascii="Times New Roman" w:hAnsi="Times New Roman"/>
          <w:noProof/>
          <w:szCs w:val="24"/>
        </w:rPr>
        <w:fldChar w:fldCharType="end"/>
      </w:r>
      <w:r w:rsidRPr="00C7158D">
        <w:rPr>
          <w:rFonts w:ascii="Times New Roman" w:hAnsi="Times New Roman"/>
          <w:szCs w:val="24"/>
        </w:rPr>
        <w:t>)</w:t>
      </w:r>
      <w:r w:rsidR="00F230EE">
        <w:rPr>
          <w:rFonts w:ascii="Times New Roman" w:hAnsi="Times New Roman"/>
          <w:szCs w:val="24"/>
        </w:rPr>
        <w:t xml:space="preserve">. </w:t>
      </w:r>
      <w:r w:rsidR="00A8596A" w:rsidRPr="00ED61AF">
        <w:rPr>
          <w:rFonts w:ascii="Times New Roman" w:hAnsi="Times New Roman"/>
        </w:rPr>
        <w:t xml:space="preserve">The data </w:t>
      </w:r>
      <w:r w:rsidR="00A8596A" w:rsidRPr="00ED61AF">
        <w:rPr>
          <w:rFonts w:ascii="Times New Roman" w:hAnsi="Times New Roman"/>
        </w:rPr>
        <w:lastRenderedPageBreak/>
        <w:t>that we use come from 6315 studies and/or published d</w:t>
      </w:r>
      <w:r w:rsidR="00624025">
        <w:rPr>
          <w:rFonts w:ascii="Times New Roman" w:hAnsi="Times New Roman"/>
        </w:rPr>
        <w:t>atasets.</w:t>
      </w:r>
      <w:r w:rsidR="00A8596A" w:rsidRPr="00ED61AF">
        <w:rPr>
          <w:rFonts w:ascii="Times New Roman" w:hAnsi="Times New Roman"/>
        </w:rPr>
        <w:t xml:space="preserve"> Twenty studies contributed over 1400 records each (</w:t>
      </w:r>
      <w:r w:rsidR="008A66AD">
        <w:rPr>
          <w:rFonts w:ascii="Times New Roman" w:hAnsi="Times New Roman"/>
        </w:rPr>
        <w:fldChar w:fldCharType="begin"/>
      </w:r>
      <w:r w:rsidR="008A66AD">
        <w:rPr>
          <w:rFonts w:ascii="Times New Roman" w:hAnsi="Times New Roman"/>
        </w:rPr>
        <w:instrText xml:space="preserve"> ADDIN EN.CITE &lt;EndNote&gt;&lt;Cite&gt;&lt;Author&gt;King&lt;/Author&gt;&lt;Year&gt;1931&lt;/Year&gt;&lt;RecNum&gt;78&lt;/RecNum&gt;&lt;DisplayText&gt;King 1931&lt;/DisplayText&gt;&lt;record&gt;&lt;rec-number&gt;78&lt;/rec-number&gt;&lt;foreign-keys&gt;&lt;key app="EN" db-id="r2savzrxwddstne9dvmp0wderfxdtarefrzr" timestamp="1509137750"&gt;78&lt;/key&gt;&lt;/foreign-keys&gt;&lt;ref-type name="Journal Article"&gt;17&lt;/ref-type&gt;&lt;contributors&gt;&lt;authors&gt;&lt;author&gt;King, R. E.&lt;/author&gt;&lt;/authors&gt;&lt;/contributors&gt;&lt;titles&gt;&lt;title&gt;The Geology of the Glass Mountains, Texas, Part II, Faunal summary and correlation of the Permian formations with description of Brachiopoda&lt;/title&gt;&lt;secondary-title&gt;The University of Texas Bulletin&lt;/secondary-title&gt;&lt;/titles&gt;&lt;periodical&gt;&lt;full-title&gt;The University of Texas Bulletin&lt;/full-title&gt;&lt;/periodical&gt;&lt;pages&gt;1-245&lt;/pages&gt;&lt;volume&gt;3042&lt;/volume&gt;&lt;section&gt;1&lt;/section&gt;&lt;dates&gt;&lt;year&gt;1931&lt;/year&gt;&lt;/dates&gt;&lt;urls&gt;&lt;/urls&gt;&lt;remote-database-name&gt;Paleobiology Database&lt;/remote-database-name&gt;&lt;remote-database-provider&gt;18203&lt;/remote-database-provider&gt;&lt;/record&gt;&lt;/Cite&gt;&lt;/EndNote&gt;</w:instrText>
      </w:r>
      <w:r w:rsidR="008A66AD">
        <w:rPr>
          <w:rFonts w:ascii="Times New Roman" w:hAnsi="Times New Roman"/>
        </w:rPr>
        <w:fldChar w:fldCharType="separate"/>
      </w:r>
      <w:r w:rsidR="008A66AD">
        <w:rPr>
          <w:rFonts w:ascii="Times New Roman" w:hAnsi="Times New Roman"/>
          <w:noProof/>
        </w:rPr>
        <w:t>King 1931</w:t>
      </w:r>
      <w:r w:rsidR="008A66AD">
        <w:rPr>
          <w:rFonts w:ascii="Times New Roman" w:hAnsi="Times New Roman"/>
        </w:rPr>
        <w:fldChar w:fldCharType="end"/>
      </w:r>
      <w:r w:rsidR="00C91433">
        <w:rPr>
          <w:rFonts w:ascii="Times New Roman" w:hAnsi="Times New Roman"/>
        </w:rPr>
        <w:t>;</w:t>
      </w:r>
      <w:r w:rsidR="00E137C3">
        <w:rPr>
          <w:rFonts w:ascii="Times New Roman" w:hAnsi="Times New Roman"/>
        </w:rPr>
        <w:t xml:space="preserve"> </w:t>
      </w:r>
      <w:r w:rsidR="008A66AD">
        <w:rPr>
          <w:rFonts w:ascii="Times New Roman" w:hAnsi="Times New Roman"/>
        </w:rPr>
        <w:fldChar w:fldCharType="begin"/>
      </w:r>
      <w:r w:rsidR="008A66AD">
        <w:rPr>
          <w:rFonts w:ascii="Times New Roman" w:hAnsi="Times New Roman"/>
        </w:rPr>
        <w:instrText xml:space="preserve"> ADDIN EN.CITE &lt;EndNote&gt;&lt;Cite&gt;&lt;Author&gt;Reed&lt;/Author&gt;&lt;Year&gt;1944&lt;/Year&gt;&lt;RecNum&gt;88&lt;/RecNum&gt;&lt;DisplayText&gt;Reed 1944&lt;/DisplayText&gt;&lt;record&gt;&lt;rec-number&gt;88&lt;/rec-number&gt;&lt;foreign-keys&gt;&lt;key app="EN" db-id="r2savzrxwddstne9dvmp0wderfxdtarefrzr" timestamp="1509138387"&gt;88&lt;/key&gt;&lt;/foreign-keys&gt;&lt;ref-type name="Journal Article"&gt;17&lt;/ref-type&gt;&lt;contributors&gt;&lt;authors&gt;&lt;author&gt;Reed, F. R. C.&lt;/author&gt;&lt;/authors&gt;&lt;/contributors&gt;&lt;titles&gt;&lt;title&gt;Brachiopoda and Mollusca from the Productus limestones of the Salt Range&lt;/title&gt;&lt;secondary-title&gt;Palaeontogica Indica, Memoirs of the Geological Survey of India, New Series&lt;/secondary-title&gt;&lt;/titles&gt;&lt;periodical&gt;&lt;full-title&gt;Palaeontogica Indica, Memoirs of the Geological Survey of India, New Series&lt;/full-title&gt;&lt;/periodical&gt;&lt;pages&gt;1-596&lt;/pages&gt;&lt;volume&gt;23&lt;/volume&gt;&lt;number&gt;2&lt;/number&gt;&lt;section&gt;1&lt;/section&gt;&lt;dates&gt;&lt;year&gt;1944&lt;/year&gt;&lt;/dates&gt;&lt;urls&gt;&lt;/urls&gt;&lt;remote-database-name&gt;Paleobiology Database&lt;/remote-database-name&gt;&lt;remote-database-provider&gt;28589&lt;/remote-database-provider&gt;&lt;/record&gt;&lt;/Cite&gt;&lt;/EndNote&gt;</w:instrText>
      </w:r>
      <w:r w:rsidR="008A66AD">
        <w:rPr>
          <w:rFonts w:ascii="Times New Roman" w:hAnsi="Times New Roman"/>
        </w:rPr>
        <w:fldChar w:fldCharType="separate"/>
      </w:r>
      <w:r w:rsidR="008A66AD">
        <w:rPr>
          <w:rFonts w:ascii="Times New Roman" w:hAnsi="Times New Roman"/>
          <w:noProof/>
        </w:rPr>
        <w:t>Reed 1944</w:t>
      </w:r>
      <w:r w:rsidR="008A66AD">
        <w:rPr>
          <w:rFonts w:ascii="Times New Roman" w:hAnsi="Times New Roman"/>
        </w:rPr>
        <w:fldChar w:fldCharType="end"/>
      </w:r>
      <w:r w:rsidR="002651EA">
        <w:rPr>
          <w:rFonts w:ascii="Times New Roman" w:hAnsi="Times New Roman"/>
        </w:rPr>
        <w:t xml:space="preserve">; </w:t>
      </w:r>
      <w:r w:rsidR="008A66AD">
        <w:rPr>
          <w:rFonts w:ascii="Times New Roman" w:hAnsi="Times New Roman"/>
        </w:rPr>
        <w:fldChar w:fldCharType="begin"/>
      </w:r>
      <w:r w:rsidR="008A66AD">
        <w:rPr>
          <w:rFonts w:ascii="Times New Roman" w:hAnsi="Times New Roman"/>
        </w:rPr>
        <w:instrText xml:space="preserve"> ADDIN EN.CITE &lt;EndNote&gt;&lt;Cite&gt;&lt;Author&gt;Gardner&lt;/Author&gt;&lt;Year&gt;1947&lt;/Year&gt;&lt;RecNum&gt;73&lt;/RecNum&gt;&lt;DisplayText&gt;Gardner 1947&lt;/DisplayText&gt;&lt;record&gt;&lt;rec-number&gt;73&lt;/rec-number&gt;&lt;foreign-keys&gt;&lt;key app="EN" db-id="r2savzrxwddstne9dvmp0wderfxdtarefrzr" timestamp="1509137624"&gt;73&lt;/key&gt;&lt;/foreign-keys&gt;&lt;ref-type name="Journal Article"&gt;17&lt;/ref-type&gt;&lt;contributors&gt;&lt;authors&gt;&lt;author&gt;Gardner, J. R.&lt;/author&gt;&lt;/authors&gt;&lt;/contributors&gt;&lt;titles&gt;&lt;title&gt;The Molluscan Fauna of the Alum Bluff Group of Florida&lt;/title&gt;&lt;secondary-title&gt;United States Geological Survey Professional Paper&lt;/secondary-title&gt;&lt;/titles&gt;&lt;periodical&gt;&lt;full-title&gt;United States Geological Survey Professional Paper&lt;/full-title&gt;&lt;/periodical&gt;&lt;pages&gt;1-709&lt;/pages&gt;&lt;number&gt;142A-H&lt;/number&gt;&lt;section&gt;1&lt;/section&gt;&lt;dates&gt;&lt;year&gt;1947&lt;/year&gt;&lt;/dates&gt;&lt;urls&gt;&lt;/urls&gt;&lt;remote-database-name&gt;Paleobiology Database&lt;/remote-database-name&gt;&lt;remote-database-provider&gt;11206&lt;/remote-database-provider&gt;&lt;/record&gt;&lt;/Cite&gt;&lt;/EndNote&gt;</w:instrText>
      </w:r>
      <w:r w:rsidR="008A66AD">
        <w:rPr>
          <w:rFonts w:ascii="Times New Roman" w:hAnsi="Times New Roman"/>
        </w:rPr>
        <w:fldChar w:fldCharType="separate"/>
      </w:r>
      <w:r w:rsidR="008A66AD">
        <w:rPr>
          <w:rFonts w:ascii="Times New Roman" w:hAnsi="Times New Roman"/>
          <w:noProof/>
        </w:rPr>
        <w:t>Gardner 1947</w:t>
      </w:r>
      <w:r w:rsidR="008A66AD">
        <w:rPr>
          <w:rFonts w:ascii="Times New Roman" w:hAnsi="Times New Roman"/>
        </w:rPr>
        <w:fldChar w:fldCharType="end"/>
      </w:r>
      <w:r w:rsidR="00E137C3">
        <w:rPr>
          <w:rFonts w:ascii="Times New Roman" w:hAnsi="Times New Roman"/>
        </w:rPr>
        <w:t xml:space="preserve">; </w:t>
      </w:r>
      <w:r w:rsidR="008A66AD">
        <w:rPr>
          <w:rFonts w:ascii="Times New Roman" w:hAnsi="Times New Roman"/>
        </w:rPr>
        <w:fldChar w:fldCharType="begin"/>
      </w:r>
      <w:r w:rsidR="008A66AD">
        <w:rPr>
          <w:rFonts w:ascii="Times New Roman" w:hAnsi="Times New Roman"/>
        </w:rPr>
        <w:instrText xml:space="preserve"> ADDIN EN.CITE &lt;EndNote&gt;&lt;Cite&gt;&lt;Author&gt;Besairie&lt;/Author&gt;&lt;Year&gt;1972&lt;/Year&gt;&lt;RecNum&gt;69&lt;/RecNum&gt;&lt;DisplayText&gt;Besairie and Collignon 1972&lt;/DisplayText&gt;&lt;record&gt;&lt;rec-number&gt;69&lt;/rec-number&gt;&lt;foreign-keys&gt;&lt;key app="EN" db-id="r2savzrxwddstne9dvmp0wderfxdtarefrzr" timestamp="1509137522"&gt;69&lt;/key&gt;&lt;/foreign-keys&gt;&lt;ref-type name="Journal Article"&gt;17&lt;/ref-type&gt;&lt;contributors&gt;&lt;authors&gt;&lt;author&gt;Besairie, H.&lt;/author&gt;&lt;author&gt;Collignon, M.&lt;/author&gt;&lt;/authors&gt;&lt;/contributors&gt;&lt;titles&gt;&lt;title&gt;Geologie de Madagascar I. Les Terrains Sedimentaires&lt;/title&gt;&lt;secondary-title&gt;Annales Geologiques de Madagascar&lt;/secondary-title&gt;&lt;/titles&gt;&lt;periodical&gt;&lt;full-title&gt;Annales Geologiques de Madagascar&lt;/full-title&gt;&lt;/periodical&gt;&lt;pages&gt;1-463&lt;/pages&gt;&lt;volume&gt;35&lt;/volume&gt;&lt;section&gt;1&lt;/section&gt;&lt;dates&gt;&lt;year&gt;1972&lt;/year&gt;&lt;/dates&gt;&lt;urls&gt;&lt;/urls&gt;&lt;remote-database-name&gt;Paleobiology Database&lt;/remote-database-name&gt;&lt;remote-database-provider&gt;8015&lt;/remote-database-provider&gt;&lt;language&gt;French&lt;/language&gt;&lt;/record&gt;&lt;/Cite&gt;&lt;/EndNote&gt;</w:instrText>
      </w:r>
      <w:r w:rsidR="008A66AD">
        <w:rPr>
          <w:rFonts w:ascii="Times New Roman" w:hAnsi="Times New Roman"/>
        </w:rPr>
        <w:fldChar w:fldCharType="separate"/>
      </w:r>
      <w:r w:rsidR="008A66AD">
        <w:rPr>
          <w:rFonts w:ascii="Times New Roman" w:hAnsi="Times New Roman"/>
          <w:noProof/>
        </w:rPr>
        <w:t>Besairie and Collignon 1972</w:t>
      </w:r>
      <w:r w:rsidR="008A66AD">
        <w:rPr>
          <w:rFonts w:ascii="Times New Roman" w:hAnsi="Times New Roman"/>
        </w:rPr>
        <w:fldChar w:fldCharType="end"/>
      </w:r>
      <w:r w:rsidR="00E137C3">
        <w:rPr>
          <w:rFonts w:ascii="Times New Roman" w:hAnsi="Times New Roman"/>
        </w:rPr>
        <w:t xml:space="preserve">; </w:t>
      </w:r>
      <w:r w:rsidR="008A66AD">
        <w:rPr>
          <w:rFonts w:ascii="Times New Roman" w:hAnsi="Times New Roman"/>
        </w:rPr>
        <w:fldChar w:fldCharType="begin"/>
      </w:r>
      <w:r w:rsidR="008A66AD">
        <w:rPr>
          <w:rFonts w:ascii="Times New Roman" w:hAnsi="Times New Roman"/>
        </w:rPr>
        <w:instrText xml:space="preserve"> ADDIN EN.CITE &lt;EndNote&gt;&lt;Cite&gt;&lt;Author&gt;Cooper&lt;/Author&gt;&lt;Year&gt;1977&lt;/Year&gt;&lt;RecNum&gt;70&lt;/RecNum&gt;&lt;DisplayText&gt;Cooper and Grant 1977&lt;/DisplayText&gt;&lt;record&gt;&lt;rec-number&gt;70&lt;/rec-number&gt;&lt;foreign-keys&gt;&lt;key app="EN" db-id="r2savzrxwddstne9dvmp0wderfxdtarefrzr" timestamp="1509137522"&gt;70&lt;/key&gt;&lt;/foreign-keys&gt;&lt;ref-type name="Journal Article"&gt;17&lt;/ref-type&gt;&lt;contributors&gt;&lt;authors&gt;&lt;author&gt;Cooper, G. A.&lt;/author&gt;&lt;author&gt;Grant, R. E.&lt;/author&gt;&lt;/authors&gt;&lt;/contributors&gt;&lt;titles&gt;&lt;title&gt;Permian Brachiopods of West Texas, VI&lt;/title&gt;&lt;secondary-title&gt;Smithsonian Contributions to Paleobiology&lt;/secondary-title&gt;&lt;/titles&gt;&lt;periodical&gt;&lt;full-title&gt;Smithsonian Contributions to Paleobiology&lt;/full-title&gt;&lt;/periodical&gt;&lt;pages&gt;3161-3370&lt;/pages&gt;&lt;volume&gt;32&lt;/volume&gt;&lt;section&gt;3161&lt;/section&gt;&lt;dates&gt;&lt;year&gt;1977&lt;/year&gt;&lt;/dates&gt;&lt;urls&gt;&lt;/urls&gt;&lt;remote-database-name&gt;Paleobiology Database&lt;/remote-database-name&gt;&lt;remote-database-provider&gt;11407&lt;/remote-database-provider&gt;&lt;/record&gt;&lt;/Cite&gt;&lt;/EndNote&gt;</w:instrText>
      </w:r>
      <w:r w:rsidR="008A66AD">
        <w:rPr>
          <w:rFonts w:ascii="Times New Roman" w:hAnsi="Times New Roman"/>
        </w:rPr>
        <w:fldChar w:fldCharType="separate"/>
      </w:r>
      <w:r w:rsidR="008A66AD">
        <w:rPr>
          <w:rFonts w:ascii="Times New Roman" w:hAnsi="Times New Roman"/>
          <w:noProof/>
        </w:rPr>
        <w:t>Cooper and Grant 1977</w:t>
      </w:r>
      <w:r w:rsidR="008A66AD">
        <w:rPr>
          <w:rFonts w:ascii="Times New Roman" w:hAnsi="Times New Roman"/>
        </w:rPr>
        <w:fldChar w:fldCharType="end"/>
      </w:r>
      <w:r w:rsidR="008A0F56">
        <w:rPr>
          <w:rFonts w:ascii="Times New Roman" w:hAnsi="Times New Roman"/>
        </w:rPr>
        <w:t xml:space="preserve">; </w:t>
      </w:r>
      <w:r w:rsidR="008A66AD">
        <w:rPr>
          <w:rFonts w:ascii="Times New Roman" w:hAnsi="Times New Roman"/>
        </w:rPr>
        <w:fldChar w:fldCharType="begin"/>
      </w:r>
      <w:r w:rsidR="008A66AD">
        <w:rPr>
          <w:rFonts w:ascii="Times New Roman" w:hAnsi="Times New Roman"/>
        </w:rPr>
        <w:instrText xml:space="preserve"> ADDIN EN.CITE &lt;EndNote&gt;&lt;Cite&gt;&lt;Author&gt;Toulmin&lt;/Author&gt;&lt;Year&gt;1977&lt;/Year&gt;&lt;RecNum&gt;84&lt;/RecNum&gt;&lt;DisplayText&gt;Toulmin 1977&lt;/DisplayText&gt;&lt;record&gt;&lt;rec-number&gt;84&lt;/rec-number&gt;&lt;foreign-keys&gt;&lt;key app="EN" db-id="r2savzrxwddstne9dvmp0wderfxdtarefrzr" timestamp="1509137873"&gt;84&lt;/key&gt;&lt;/foreign-keys&gt;&lt;ref-type name="Journal Article"&gt;17&lt;/ref-type&gt;&lt;contributors&gt;&lt;authors&gt;&lt;author&gt;Toulmin, L. D.&lt;/author&gt;&lt;/authors&gt;&lt;/contributors&gt;&lt;titles&gt;&lt;title&gt;Stratigraphic Distribution of Paleocene and Eocene Fossils in the Eastern Gulf Coast Region&lt;/title&gt;&lt;secondary-title&gt;Geological Survey of Alabama, Monograph&lt;/secondary-title&gt;&lt;/titles&gt;&lt;periodical&gt;&lt;full-title&gt;Geological Survey of Alabama, Monograph&lt;/full-title&gt;&lt;/periodical&gt;&lt;pages&gt;1-602&lt;/pages&gt;&lt;volume&gt;13&lt;/volume&gt;&lt;section&gt;1&lt;/section&gt;&lt;dates&gt;&lt;year&gt;1977&lt;/year&gt;&lt;/dates&gt;&lt;urls&gt;&lt;/urls&gt;&lt;remote-database-name&gt;Paleobiology Database&lt;/remote-database-name&gt;&lt;remote-database-provider&gt;124&lt;/remote-database-provider&gt;&lt;/record&gt;&lt;/Cite&gt;&lt;/EndNote&gt;</w:instrText>
      </w:r>
      <w:r w:rsidR="008A66AD">
        <w:rPr>
          <w:rFonts w:ascii="Times New Roman" w:hAnsi="Times New Roman"/>
        </w:rPr>
        <w:fldChar w:fldCharType="separate"/>
      </w:r>
      <w:r w:rsidR="008A66AD">
        <w:rPr>
          <w:rFonts w:ascii="Times New Roman" w:hAnsi="Times New Roman"/>
          <w:noProof/>
        </w:rPr>
        <w:t>Toulmin 1977</w:t>
      </w:r>
      <w:r w:rsidR="008A66AD">
        <w:rPr>
          <w:rFonts w:ascii="Times New Roman" w:hAnsi="Times New Roman"/>
        </w:rPr>
        <w:fldChar w:fldCharType="end"/>
      </w:r>
      <w:r w:rsidR="008A0F56">
        <w:rPr>
          <w:rFonts w:ascii="Times New Roman" w:hAnsi="Times New Roman"/>
        </w:rPr>
        <w:t xml:space="preserve">; </w:t>
      </w:r>
      <w:r w:rsidR="008A66AD">
        <w:rPr>
          <w:rFonts w:ascii="Times New Roman" w:hAnsi="Times New Roman"/>
        </w:rPr>
        <w:fldChar w:fldCharType="begin"/>
      </w:r>
      <w:r w:rsidR="008A66AD">
        <w:rPr>
          <w:rFonts w:ascii="Times New Roman" w:hAnsi="Times New Roman"/>
        </w:rPr>
        <w:instrText xml:space="preserve"> ADDIN EN.CITE &lt;EndNote&gt;&lt;Cite&gt;&lt;Author&gt;Woodring&lt;/Author&gt;&lt;Year&gt;1982&lt;/Year&gt;&lt;RecNum&gt;86&lt;/RecNum&gt;&lt;DisplayText&gt;Woodring 1982&lt;/DisplayText&gt;&lt;record&gt;&lt;rec-number&gt;86&lt;/rec-number&gt;&lt;foreign-keys&gt;&lt;key app="EN" db-id="r2savzrxwddstne9dvmp0wderfxdtarefrzr" timestamp="1509137929"&gt;86&lt;/key&gt;&lt;/foreign-keys&gt;&lt;ref-type name="Journal Article"&gt;17&lt;/ref-type&gt;&lt;contributors&gt;&lt;authors&gt;&lt;author&gt;Woodring, W. P.&lt;/author&gt;&lt;/authors&gt;&lt;/contributors&gt;&lt;titles&gt;&lt;title&gt;Geology and paleontology of canal zone and adjoing parts of Panama: Description of Tertiary mollusks (Pelecypods: Propeamussiidae to Cuspidariidae)&lt;/title&gt;&lt;secondary-title&gt;United States Geological Survey Professional Paper&lt;/secondary-title&gt;&lt;/titles&gt;&lt;periodical&gt;&lt;full-title&gt;United States Geological Survey Professional Paper&lt;/full-title&gt;&lt;/periodical&gt;&lt;volume&gt;306&lt;/volume&gt;&lt;number&gt;F&lt;/number&gt;&lt;dates&gt;&lt;year&gt;1982&lt;/year&gt;&lt;/dates&gt;&lt;urls&gt;&lt;/urls&gt;&lt;remote-database-name&gt;Paleobiology Database&lt;/remote-database-name&gt;&lt;remote-database-provider&gt;13359&lt;/remote-database-provider&gt;&lt;/record&gt;&lt;/Cite&gt;&lt;/EndNote&gt;</w:instrText>
      </w:r>
      <w:r w:rsidR="008A66AD">
        <w:rPr>
          <w:rFonts w:ascii="Times New Roman" w:hAnsi="Times New Roman"/>
        </w:rPr>
        <w:fldChar w:fldCharType="separate"/>
      </w:r>
      <w:r w:rsidR="008A66AD">
        <w:rPr>
          <w:rFonts w:ascii="Times New Roman" w:hAnsi="Times New Roman"/>
          <w:noProof/>
        </w:rPr>
        <w:t>Woodring 1982</w:t>
      </w:r>
      <w:r w:rsidR="008A66AD">
        <w:rPr>
          <w:rFonts w:ascii="Times New Roman" w:hAnsi="Times New Roman"/>
        </w:rPr>
        <w:fldChar w:fldCharType="end"/>
      </w:r>
      <w:r w:rsidR="008A66AD">
        <w:rPr>
          <w:rFonts w:ascii="Times New Roman" w:hAnsi="Times New Roman"/>
        </w:rPr>
        <w:t xml:space="preserve">; </w:t>
      </w:r>
      <w:r w:rsidR="008A66AD">
        <w:rPr>
          <w:rFonts w:ascii="Times New Roman" w:hAnsi="Times New Roman"/>
        </w:rPr>
        <w:fldChar w:fldCharType="begin"/>
      </w:r>
      <w:r w:rsidR="008A66AD">
        <w:rPr>
          <w:rFonts w:ascii="Times New Roman" w:hAnsi="Times New Roman"/>
        </w:rPr>
        <w:instrText xml:space="preserve"> ADDIN EN.CITE &lt;EndNote&gt;&lt;Cite&gt;&lt;Author&gt;Sohl&lt;/Author&gt;&lt;Year&gt;1983&lt;/Year&gt;&lt;RecNum&gt;81&lt;/RecNum&gt;&lt;DisplayText&gt;Sohl and Koch 1983&lt;/DisplayText&gt;&lt;record&gt;&lt;rec-number&gt;81&lt;/rec-number&gt;&lt;foreign-keys&gt;&lt;key app="EN" db-id="r2savzrxwddstne9dvmp0wderfxdtarefrzr" timestamp="1509137856"&gt;81&lt;/key&gt;&lt;/foreign-keys&gt;&lt;ref-type name="Journal Article"&gt;17&lt;/ref-type&gt;&lt;contributors&gt;&lt;authors&gt;&lt;author&gt;Sohl, N. F.&lt;/author&gt;&lt;author&gt;Koch, C. F.&lt;/author&gt;&lt;/authors&gt;&lt;/contributors&gt;&lt;titles&gt;&lt;title&gt;Upper Cretaceous (Maestrichtian) Mollusca from the Haustator bilira Assemblage Zone in the East Gulf Coastal Plain&lt;/title&gt;&lt;secondary-title&gt;United States Geological Survey Open File Report&lt;/secondary-title&gt;&lt;/titles&gt;&lt;periodical&gt;&lt;full-title&gt;United States Geological Survey Open File Report&lt;/full-title&gt;&lt;/periodical&gt;&lt;pages&gt;1-239&lt;/pages&gt;&lt;volume&gt;83-451&lt;/volume&gt;&lt;section&gt;1&lt;/section&gt;&lt;dates&gt;&lt;year&gt;1983&lt;/year&gt;&lt;/dates&gt;&lt;urls&gt;&lt;/urls&gt;&lt;remote-database-name&gt;Paleobiology Database&lt;/remote-database-name&gt;&lt;remote-database-provider&gt;283&lt;/remote-database-provider&gt;&lt;/record&gt;&lt;/Cite&gt;&lt;/EndNote&gt;</w:instrText>
      </w:r>
      <w:r w:rsidR="008A66AD">
        <w:rPr>
          <w:rFonts w:ascii="Times New Roman" w:hAnsi="Times New Roman"/>
        </w:rPr>
        <w:fldChar w:fldCharType="separate"/>
      </w:r>
      <w:r w:rsidR="008A66AD">
        <w:rPr>
          <w:rFonts w:ascii="Times New Roman" w:hAnsi="Times New Roman"/>
          <w:noProof/>
        </w:rPr>
        <w:t>Sohl and Koch 1983</w:t>
      </w:r>
      <w:r w:rsidR="008A66AD">
        <w:rPr>
          <w:rFonts w:ascii="Times New Roman" w:hAnsi="Times New Roman"/>
        </w:rPr>
        <w:fldChar w:fldCharType="end"/>
      </w:r>
      <w:r w:rsidR="008A0F56">
        <w:rPr>
          <w:rFonts w:ascii="Times New Roman" w:hAnsi="Times New Roman"/>
        </w:rPr>
        <w:t xml:space="preserve">; </w:t>
      </w:r>
      <w:r w:rsidR="008A66AD">
        <w:rPr>
          <w:rFonts w:ascii="Times New Roman" w:hAnsi="Times New Roman"/>
        </w:rPr>
        <w:fldChar w:fldCharType="begin"/>
      </w:r>
      <w:r w:rsidR="008A66AD">
        <w:rPr>
          <w:rFonts w:ascii="Times New Roman" w:hAnsi="Times New Roman"/>
        </w:rPr>
        <w:instrText xml:space="preserve"> ADDIN EN.CITE &lt;EndNote&gt;&lt;Cite&gt;&lt;Author&gt;Sohl&lt;/Author&gt;&lt;Year&gt;1984&lt;/Year&gt;&lt;RecNum&gt;82&lt;/RecNum&gt;&lt;DisplayText&gt;Sohl and Koch 1984&lt;/DisplayText&gt;&lt;record&gt;&lt;rec-number&gt;82&lt;/rec-number&gt;&lt;foreign-keys&gt;&lt;key app="EN" db-id="r2savzrxwddstne9dvmp0wderfxdtarefrzr" timestamp="1509137856"&gt;82&lt;/key&gt;&lt;/foreign-keys&gt;&lt;ref-type name="Journal Article"&gt;17&lt;/ref-type&gt;&lt;contributors&gt;&lt;authors&gt;&lt;author&gt;Sohl, N. F.&lt;/author&gt;&lt;author&gt;Koch, C. F.&lt;/author&gt;&lt;/authors&gt;&lt;/contributors&gt;&lt;titles&gt;&lt;title&gt;Upper Cretaceous (Maestrichtian) larger invertebrate Fossils from the Haustator bilira Assemblage Zone in the west gulf Coastal Plain&lt;/title&gt;&lt;secondary-title&gt;United States Geological Survey Open File Report&lt;/secondary-title&gt;&lt;/titles&gt;&lt;periodical&gt;&lt;full-title&gt;United States Geological Survey Open File Report&lt;/full-title&gt;&lt;/periodical&gt;&lt;pages&gt;1-282&lt;/pages&gt;&lt;volume&gt;84-687&lt;/volume&gt;&lt;section&gt;1&lt;/section&gt;&lt;dates&gt;&lt;year&gt;1984&lt;/year&gt;&lt;/dates&gt;&lt;urls&gt;&lt;/urls&gt;&lt;remote-database-name&gt;Paleobiology Database&lt;/remote-database-name&gt;&lt;remote-database-provider&gt;282&lt;/remote-database-provider&gt;&lt;/record&gt;&lt;/Cite&gt;&lt;/EndNote&gt;</w:instrText>
      </w:r>
      <w:r w:rsidR="008A66AD">
        <w:rPr>
          <w:rFonts w:ascii="Times New Roman" w:hAnsi="Times New Roman"/>
        </w:rPr>
        <w:fldChar w:fldCharType="separate"/>
      </w:r>
      <w:r w:rsidR="008A66AD">
        <w:rPr>
          <w:rFonts w:ascii="Times New Roman" w:hAnsi="Times New Roman"/>
          <w:noProof/>
        </w:rPr>
        <w:t>Sohl and Koch 1984</w:t>
      </w:r>
      <w:r w:rsidR="008A66AD">
        <w:rPr>
          <w:rFonts w:ascii="Times New Roman" w:hAnsi="Times New Roman"/>
        </w:rPr>
        <w:fldChar w:fldCharType="end"/>
      </w:r>
      <w:r w:rsidR="008A0F56">
        <w:rPr>
          <w:rFonts w:ascii="Times New Roman" w:hAnsi="Times New Roman"/>
        </w:rPr>
        <w:t xml:space="preserve">; </w:t>
      </w:r>
      <w:r w:rsidR="005F02BE">
        <w:rPr>
          <w:rFonts w:ascii="Times New Roman" w:hAnsi="Times New Roman"/>
        </w:rPr>
        <w:fldChar w:fldCharType="begin"/>
      </w:r>
      <w:r w:rsidR="005F02BE">
        <w:rPr>
          <w:rFonts w:ascii="Times New Roman" w:hAnsi="Times New Roman"/>
        </w:rPr>
        <w:instrText xml:space="preserve"> ADDIN EN.CITE &lt;EndNote&gt;&lt;Cite&gt;&lt;Author&gt;Gitton&lt;/Author&gt;&lt;Year&gt;1986&lt;/Year&gt;&lt;RecNum&gt;74&lt;/RecNum&gt;&lt;DisplayText&gt;Gitton et al. 1986&lt;/DisplayText&gt;&lt;record&gt;&lt;rec-number&gt;74&lt;/rec-number&gt;&lt;foreign-keys&gt;&lt;key app="EN" db-id="r2savzrxwddstne9dvmp0wderfxdtarefrzr" timestamp="1509137624"&gt;74&lt;/key&gt;&lt;/foreign-keys&gt;&lt;ref-type name="Journal Article"&gt;17&lt;/ref-type&gt;&lt;contributors&gt;&lt;authors&gt;&lt;author&gt;Gitton, J. L.&lt;/author&gt;&lt;author&gt;Lozouet, P.&lt;/author&gt;&lt;author&gt;Ph, Maestrati&lt;/author&gt;&lt;/authors&gt;&lt;/contributors&gt;&lt;titles&gt;&lt;title&gt;Biostratigraphie et paleoecologie des gisements types du Stampian de la region d&amp;apos;&amp;apos;Etampes (Essonne)&lt;/title&gt;&lt;secondary-title&gt;Geologie de la France&lt;/secondary-title&gt;&lt;/titles&gt;&lt;periodical&gt;&lt;full-title&gt;Geologie de la France&lt;/full-title&gt;&lt;/periodical&gt;&lt;pages&gt;3-101&lt;/pages&gt;&lt;number&gt;1&lt;/number&gt;&lt;section&gt;3&lt;/section&gt;&lt;dates&gt;&lt;year&gt;1986&lt;/year&gt;&lt;/dates&gt;&lt;urls&gt;&lt;/urls&gt;&lt;remote-database-name&gt;Paleobiology Database&lt;/remote-database-name&gt;&lt;remote-database-provider&gt;789&lt;/remote-database-provider&gt;&lt;language&gt;French&lt;/language&gt;&lt;/record&gt;&lt;/Cite&gt;&lt;/EndNote&gt;</w:instrText>
      </w:r>
      <w:r w:rsidR="005F02BE">
        <w:rPr>
          <w:rFonts w:ascii="Times New Roman" w:hAnsi="Times New Roman"/>
        </w:rPr>
        <w:fldChar w:fldCharType="separate"/>
      </w:r>
      <w:r w:rsidR="005F02BE">
        <w:rPr>
          <w:rFonts w:ascii="Times New Roman" w:hAnsi="Times New Roman"/>
          <w:noProof/>
        </w:rPr>
        <w:t>Gitton et al. 1986</w:t>
      </w:r>
      <w:r w:rsidR="005F02BE">
        <w:rPr>
          <w:rFonts w:ascii="Times New Roman" w:hAnsi="Times New Roman"/>
        </w:rPr>
        <w:fldChar w:fldCharType="end"/>
      </w:r>
      <w:r w:rsidR="005F02BE">
        <w:rPr>
          <w:rFonts w:ascii="Times New Roman" w:hAnsi="Times New Roman"/>
        </w:rPr>
        <w:t xml:space="preserve">; </w:t>
      </w:r>
      <w:r w:rsidR="008A66AD">
        <w:rPr>
          <w:rFonts w:ascii="Times New Roman" w:hAnsi="Times New Roman"/>
        </w:rPr>
        <w:fldChar w:fldCharType="begin"/>
      </w:r>
      <w:r w:rsidR="008A66AD">
        <w:rPr>
          <w:rFonts w:ascii="Times New Roman" w:hAnsi="Times New Roman"/>
        </w:rPr>
        <w:instrText xml:space="preserve"> ADDIN EN.CITE &lt;EndNote&gt;&lt;Cite&gt;&lt;Author&gt;Sohl&lt;/Author&gt;&lt;Year&gt;1987&lt;/Year&gt;&lt;RecNum&gt;83&lt;/RecNum&gt;&lt;DisplayText&gt;Sohl and Koch 1987&lt;/DisplayText&gt;&lt;record&gt;&lt;rec-number&gt;83&lt;/rec-number&gt;&lt;foreign-keys&gt;&lt;key app="EN" db-id="r2savzrxwddstne9dvmp0wderfxdtarefrzr" timestamp="1509137856"&gt;83&lt;/key&gt;&lt;/foreign-keys&gt;&lt;ref-type name="Journal Article"&gt;17&lt;/ref-type&gt;&lt;contributors&gt;&lt;authors&gt;&lt;author&gt;Sohl, N. F.&lt;/author&gt;&lt;author&gt;Koch, C. F.&lt;/author&gt;&lt;/authors&gt;&lt;/contributors&gt;&lt;titles&gt;&lt;title&gt;Upper Cretaceous (Maestrichtian) larger invertebrates from the Haustator bilira Assemblage Zone in the Atlan</w:instrText>
      </w:r>
      <w:r w:rsidR="008A66AD" w:rsidRPr="00596C75">
        <w:rPr>
          <w:rFonts w:ascii="Times New Roman" w:hAnsi="Times New Roman"/>
        </w:rPr>
        <w:instrText>tic Coastal Plain with further data for the East Gulf&lt;/title&gt;&lt;secondary-title&gt;United States Geological Survey Open File Report&lt;/secondary-title&gt;&lt;/titles&gt;&lt;periodical&gt;&lt;full-title&gt;United States Geological Survey Open File Report&lt;/full-title&gt;&lt;/periodical&gt;&lt;pages&gt;1-172&lt;/pages&gt;&lt;volume&gt;87-194&lt;/volume&gt;&lt;section&gt;1&lt;/section&gt;&lt;dates&gt;&lt;year&gt;1987&lt;/year&gt;&lt;/dates&gt;&lt;urls&gt;&lt;/urls&gt;&lt;remote-database-name&gt;Paleobiology Database&lt;/remote-database-name&gt;&lt;remote-database-provider&gt;281&lt;/remote-database-provider&gt;&lt;/record&gt;&lt;/Cite&gt;&lt;/EndNote&gt;</w:instrText>
      </w:r>
      <w:r w:rsidR="008A66AD">
        <w:rPr>
          <w:rFonts w:ascii="Times New Roman" w:hAnsi="Times New Roman"/>
        </w:rPr>
        <w:fldChar w:fldCharType="separate"/>
      </w:r>
      <w:r w:rsidR="008A66AD" w:rsidRPr="00596C75">
        <w:rPr>
          <w:rFonts w:ascii="Times New Roman" w:hAnsi="Times New Roman"/>
          <w:noProof/>
        </w:rPr>
        <w:t>Sohl and Koch 1987</w:t>
      </w:r>
      <w:r w:rsidR="008A66AD">
        <w:rPr>
          <w:rFonts w:ascii="Times New Roman" w:hAnsi="Times New Roman"/>
        </w:rPr>
        <w:fldChar w:fldCharType="end"/>
      </w:r>
      <w:r w:rsidR="008A0F56" w:rsidRPr="00596C75">
        <w:rPr>
          <w:rFonts w:ascii="Times New Roman" w:hAnsi="Times New Roman"/>
        </w:rPr>
        <w:t xml:space="preserve">; </w:t>
      </w:r>
      <w:r w:rsidR="008A66AD">
        <w:rPr>
          <w:rFonts w:ascii="Times New Roman" w:hAnsi="Times New Roman"/>
        </w:rPr>
        <w:fldChar w:fldCharType="begin"/>
      </w:r>
      <w:r w:rsidR="008A66AD" w:rsidRPr="00596C75">
        <w:rPr>
          <w:rFonts w:ascii="Times New Roman" w:hAnsi="Times New Roman"/>
        </w:rPr>
        <w:instrText xml:space="preserve"> ADDIN EN.CITE &lt;EndNote&gt;&lt;Cite&gt;&lt;Author&gt;Manivit&lt;/Author&gt;&lt;Year&gt;1990&lt;/Year&gt;&lt;RecNum&gt;79&lt;/RecNum&gt;&lt;DisplayText&gt;Manivit et al. 1990&lt;/DisplayText&gt;&lt;record&gt;&lt;rec-number&gt;79&lt;/rec-number&gt;&lt;foreign-keys&gt;&lt;key app="EN" db-id="r2savzrxwddstne9dvmp0wderfxdtarefrzr" timestamp="1509137750"&gt;79&lt;/key&gt;&lt;/foreign-keys&gt;&lt;ref-type name="Journal Article"&gt;17&lt;/ref-type&gt;&lt;contributors&gt;&lt;authors&gt;&lt;author&gt;Manivit, J.&lt;/author&gt;&lt;author&gt;Le Nindre, Y. M.&lt;/author&gt;&lt;author&gt;Vaslet, D.&lt;/author&gt;&lt;/authors&gt;&lt;/contributors&gt;&lt;titles&gt;&lt;title&gt;Le Jurassique D`Arabie Centrale&lt;/title&gt;&lt;secondary-title&gt;Document du BRGM&lt;/secondary-title&gt;&lt;/titles&gt;&lt;periodical&gt;&lt;full-title&gt;Document du BRGM&lt;/full-title&gt;&lt;/periodical&gt;&lt;pages&gt;25-519&lt;/pages&gt;&lt;volume&gt;4&lt;/volume&gt;&lt;number&gt;194&lt;/number&gt;&lt;section&gt;25&lt;/section&gt;&lt;dates&gt;&lt;year&gt;1990&lt;/year&gt;&lt;/dates&gt;&lt;urls&gt;&lt;/urls&gt;&lt;remote-database-name&gt;Paleobiology Database&lt;/remote-database-name&gt;&lt;remote-database-provider&gt;11728&lt;/remote-database-provider&gt;&lt;language&gt;French&lt;/language&gt;&lt;/record&gt;&lt;/Cite&gt;&lt;/EndNote&gt;</w:instrText>
      </w:r>
      <w:r w:rsidR="008A66AD">
        <w:rPr>
          <w:rFonts w:ascii="Times New Roman" w:hAnsi="Times New Roman"/>
        </w:rPr>
        <w:fldChar w:fldCharType="separate"/>
      </w:r>
      <w:r w:rsidR="008A66AD" w:rsidRPr="00596C75">
        <w:rPr>
          <w:rFonts w:ascii="Times New Roman" w:hAnsi="Times New Roman"/>
          <w:noProof/>
        </w:rPr>
        <w:t>Manivit et al. 1990</w:t>
      </w:r>
      <w:r w:rsidR="008A66AD">
        <w:rPr>
          <w:rFonts w:ascii="Times New Roman" w:hAnsi="Times New Roman"/>
        </w:rPr>
        <w:fldChar w:fldCharType="end"/>
      </w:r>
      <w:r w:rsidR="00F35434" w:rsidRPr="00596C75">
        <w:rPr>
          <w:rFonts w:ascii="Times New Roman" w:hAnsi="Times New Roman"/>
        </w:rPr>
        <w:t xml:space="preserve">; </w:t>
      </w:r>
      <w:r w:rsidR="008A66AD">
        <w:rPr>
          <w:rFonts w:ascii="Times New Roman" w:hAnsi="Times New Roman"/>
        </w:rPr>
        <w:fldChar w:fldCharType="begin"/>
      </w:r>
      <w:r w:rsidR="008A66AD" w:rsidRPr="00596C75">
        <w:rPr>
          <w:rFonts w:ascii="Times New Roman" w:hAnsi="Times New Roman"/>
        </w:rPr>
        <w:instrText xml:space="preserve"> ADDIN EN.CITE &lt;EndNote&gt;&lt;Cite&gt;&lt;Author&gt;Aberhan&lt;/Author&gt;&lt;Year&gt;1992&lt;/Year&gt;&lt;RecNum&gt;90&lt;/RecNum&gt;&lt;DisplayText&gt;Aberhan 1992&lt;/DisplayText&gt;&lt;record&gt;&lt;rec-number&gt;90&lt;/rec-number&gt;&lt;foreign-keys&gt;&lt;key app="EN" db-id="r2savzrxwddstne9dvmp0wderfxdtarefrzr" timestamp="1509302184"&gt;90&lt;/key&gt;&lt;/foreign-keys&gt;&lt;ref-type name="Journal Article"&gt;17&lt;/ref-type&gt;&lt;contributors&gt;&lt;authors&gt;&lt;author&gt;Aberhan, M.&lt;/author&gt;&lt;/authors&gt;&lt;/contributors&gt;&lt;titles&gt;&lt;title&gt;Palokologie und zeitliche Verbreitung benthischer Faunengemeinschaften im Unterjura von Chile&lt;/title&gt;&lt;secondary-title&gt;Beringeria&lt;/secondary-title&gt;&lt;/titles&gt;&lt;periodical&gt;&lt;full-title&gt;Beringeria&lt;/full-title&gt;&lt;/periodical&gt;&lt;pages&gt;1-174&lt;/pages&gt;&lt;volume&gt;5&lt;/volume&gt;&lt;section&gt;1&lt;/section&gt;&lt;dates&gt;&lt;year&gt;1992&lt;/year&gt;&lt;/dates&gt;&lt;urls&gt;&lt;/urls&gt;&lt;remote-database-name&gt;Paleobiology Database&lt;/remote-database-name&gt;&lt;remote-database-provider&gt;487&lt;/remote-database-provider&gt;&lt;language&gt;German&lt;/language&gt;&lt;/record&gt;&lt;/Cite&gt;&lt;/EndNote&gt;</w:instrText>
      </w:r>
      <w:r w:rsidR="008A66AD">
        <w:rPr>
          <w:rFonts w:ascii="Times New Roman" w:hAnsi="Times New Roman"/>
        </w:rPr>
        <w:fldChar w:fldCharType="separate"/>
      </w:r>
      <w:r w:rsidR="008A66AD" w:rsidRPr="00596C75">
        <w:rPr>
          <w:rFonts w:ascii="Times New Roman" w:hAnsi="Times New Roman"/>
          <w:noProof/>
        </w:rPr>
        <w:t>Aberhan 1992</w:t>
      </w:r>
      <w:r w:rsidR="008A66AD">
        <w:rPr>
          <w:rFonts w:ascii="Times New Roman" w:hAnsi="Times New Roman"/>
        </w:rPr>
        <w:fldChar w:fldCharType="end"/>
      </w:r>
      <w:r w:rsidR="00B466CB" w:rsidRPr="00596C75">
        <w:rPr>
          <w:rFonts w:ascii="Times New Roman" w:hAnsi="Times New Roman"/>
        </w:rPr>
        <w:t>;</w:t>
      </w:r>
      <w:r w:rsidR="00FE76B4" w:rsidRPr="00596C75">
        <w:rPr>
          <w:rFonts w:ascii="Times New Roman" w:hAnsi="Times New Roman"/>
        </w:rPr>
        <w:t xml:space="preserve"> </w:t>
      </w:r>
      <w:r w:rsidR="008A66AD">
        <w:rPr>
          <w:rFonts w:ascii="Times New Roman" w:hAnsi="Times New Roman"/>
        </w:rPr>
        <w:fldChar w:fldCharType="begin"/>
      </w:r>
      <w:r w:rsidR="008A66AD" w:rsidRPr="00596C75">
        <w:rPr>
          <w:rFonts w:ascii="Times New Roman" w:hAnsi="Times New Roman"/>
        </w:rPr>
        <w:instrText xml:space="preserve"> ADDIN EN.CITE &lt;EndNote&gt;&lt;Cite&gt;&lt;Author&gt;Tozer&lt;/Author&gt;&lt;Year&gt;1994&lt;/Year&gt;&lt;RecNum&gt;85&lt;/RecNum&gt;&lt;DisplayText&gt;Tozer 1994&lt;/DisplayText&gt;&lt;record&gt;&lt;rec-number&gt;85&lt;/rec-number&gt;&lt;foreign-keys&gt;&lt;key app="EN" db-id="r2savzrxwddstne9dvmp0wderfxdtarefrzr" timestamp="1509137874"&gt;85&lt;/key&gt;&lt;/foreign-keys&gt;&lt;ref-type name="Journal Article"&gt;17&lt;/ref-type&gt;&lt;contributors&gt;&lt;authors&gt;&lt;author&gt;Tozer, E. T.&lt;/author&gt;&lt;/authors&gt;&lt;/contributors&gt;&lt;titles&gt;&lt;title&gt;Canadian Triassic Ammonoid Faunas&lt;/title&gt;&lt;secondary-title&gt;Geological Survey of Canada Bulletin&lt;/secondary-title&gt;&lt;/titles&gt;&lt;periodical&gt;&lt;full-title&gt;Geological Survey of Canada Bulletin&lt;/full-title&gt;&lt;/periodical&gt;&lt;pages&gt;1-663&lt;/pages&gt;&lt;volume&gt;467&lt;/volume&gt;&lt;section&gt;1&lt;/section&gt;&lt;dates&gt;&lt;year&gt;1994&lt;/year&gt;&lt;/dates&gt;&lt;urls&gt;&lt;/urls&gt;&lt;remote-database-name&gt;Paleobiology Database&lt;/remote-database-name&gt;&lt;remote-database-provider&gt;11541&lt;/remote-database-provider&gt;&lt;/record&gt;&lt;/Cite&gt;&lt;/EndNote&gt;</w:instrText>
      </w:r>
      <w:r w:rsidR="008A66AD">
        <w:rPr>
          <w:rFonts w:ascii="Times New Roman" w:hAnsi="Times New Roman"/>
        </w:rPr>
        <w:fldChar w:fldCharType="separate"/>
      </w:r>
      <w:r w:rsidR="008A66AD" w:rsidRPr="00596C75">
        <w:rPr>
          <w:rFonts w:ascii="Times New Roman" w:hAnsi="Times New Roman"/>
          <w:noProof/>
        </w:rPr>
        <w:t>Tozer 1994</w:t>
      </w:r>
      <w:r w:rsidR="008A66AD">
        <w:rPr>
          <w:rFonts w:ascii="Times New Roman" w:hAnsi="Times New Roman"/>
        </w:rPr>
        <w:fldChar w:fldCharType="end"/>
      </w:r>
      <w:r w:rsidR="008A66AD" w:rsidRPr="00596C75">
        <w:rPr>
          <w:rFonts w:ascii="Times New Roman" w:hAnsi="Times New Roman"/>
        </w:rPr>
        <w:t xml:space="preserve">; </w:t>
      </w:r>
      <w:r w:rsidR="008A66AD">
        <w:rPr>
          <w:rFonts w:ascii="Times New Roman" w:hAnsi="Times New Roman"/>
        </w:rPr>
        <w:fldChar w:fldCharType="begin"/>
      </w:r>
      <w:r w:rsidR="008A66AD" w:rsidRPr="00596C75">
        <w:rPr>
          <w:rFonts w:ascii="Times New Roman" w:hAnsi="Times New Roman"/>
        </w:rPr>
        <w:instrText xml:space="preserve"> ADDIN EN.CITE &lt;EndNote&gt;&lt;Cite&gt;&lt;Author&gt;Jablonski&lt;/Author&gt;&lt;Year&gt;1995&lt;/Year&gt;&lt;RecNum&gt;87&lt;/RecNum&gt;&lt;DisplayText&gt;Jablonski and Raup 1995&lt;/DisplayText&gt;&lt;record&gt;&lt;rec-number&gt;87&lt;/rec-number&gt;&lt;foreign-</w:instrText>
      </w:r>
      <w:r w:rsidR="008A66AD" w:rsidRPr="007D71CF">
        <w:rPr>
          <w:rFonts w:ascii="Times New Roman" w:hAnsi="Times New Roman"/>
        </w:rPr>
        <w:instrText>keys&gt;&lt;key app="EN" db-id="r2savzrxwddstne9dvmp0wderfxdtarefrzr" timestamp="1509138100"&gt;87&lt;/key&gt;&lt;/foreign-keys&gt;&lt;ref-type name="Journal Article"&gt;17&lt;/ref-type&gt;&lt;contributors&gt;&lt;authors&gt;&lt;author&gt;Jablonski, D.&lt;/author&gt;&lt;author&gt;Raup, D. M.&lt;/author&gt;&lt;/authors&gt;&lt;/contributors&gt;&lt;titles&gt;&lt;title&gt;Selectivity of end-Cretaceous marine bivalve extinctions&lt;/title&gt;&lt;secondary-title&gt;Science&lt;/secondary-title&gt;&lt;/titles&gt;&lt;periodical&gt;&lt;full-title&gt;Science&lt;/full-title&gt;&lt;/periodical&gt;&lt;pages&gt;389 - 391&lt;/pages&gt;&lt;volume&gt;268&lt;/volume&gt;&lt;section&gt;389&lt;/section&gt;&lt;dates&gt;&lt;year&gt;1995&lt;/year&gt;&lt;/dates&gt;&lt;urls&gt;&lt;/urls&gt;&lt;electronic-resource-num&gt;10.1126/science.11536722&lt;/electronic-resource-num&gt;&lt;remote-database-name&gt;Paleobiology Database&lt;/remote-database-name&gt;&lt;remote-database-provider&gt;40&lt;/remote-database-provider&gt;&lt;/record&gt;&lt;/Cite&gt;&lt;/EndNote&gt;</w:instrText>
      </w:r>
      <w:r w:rsidR="008A66AD">
        <w:rPr>
          <w:rFonts w:ascii="Times New Roman" w:hAnsi="Times New Roman"/>
        </w:rPr>
        <w:fldChar w:fldCharType="separate"/>
      </w:r>
      <w:r w:rsidR="008A66AD" w:rsidRPr="007D71CF">
        <w:rPr>
          <w:rFonts w:ascii="Times New Roman" w:hAnsi="Times New Roman"/>
          <w:noProof/>
        </w:rPr>
        <w:t>Jablonski and Raup 1995</w:t>
      </w:r>
      <w:r w:rsidR="008A66AD">
        <w:rPr>
          <w:rFonts w:ascii="Times New Roman" w:hAnsi="Times New Roman"/>
        </w:rPr>
        <w:fldChar w:fldCharType="end"/>
      </w:r>
      <w:r w:rsidR="00FE76B4" w:rsidRPr="007D71CF">
        <w:rPr>
          <w:rFonts w:ascii="Times New Roman" w:hAnsi="Times New Roman"/>
        </w:rPr>
        <w:t>;</w:t>
      </w:r>
      <w:r w:rsidR="00E137C3" w:rsidRPr="007D71CF">
        <w:rPr>
          <w:rFonts w:ascii="Times New Roman" w:hAnsi="Times New Roman"/>
        </w:rPr>
        <w:t xml:space="preserve"> </w:t>
      </w:r>
      <w:r w:rsidR="008A66AD">
        <w:rPr>
          <w:rFonts w:ascii="Times New Roman" w:hAnsi="Times New Roman"/>
        </w:rPr>
        <w:fldChar w:fldCharType="begin"/>
      </w:r>
      <w:r w:rsidR="008A66AD" w:rsidRPr="007D71CF">
        <w:rPr>
          <w:rFonts w:ascii="Times New Roman" w:hAnsi="Times New Roman"/>
        </w:rPr>
        <w:instrText xml:space="preserve"> ADDIN EN.CITE &lt;EndNote&gt;&lt;Cite&gt;&lt;Author&gt;Fürsich&lt;/Author&gt;&lt;Year&gt;1999&lt;/Year&gt;&lt;RecNum&gt;71&lt;/RecNum&gt;&lt;DisplayText&gt;Fürsich 1999&lt;/DisplayText&gt;&lt;record&gt;&lt;rec-number&gt;71&lt;/rec-number&gt;&lt;foreign-keys&gt;&lt;key app="EN" db-id="r2savzrxwddstne9dvmp0wderfxdtarefrzr" timestamp="1509137624"&gt;71&lt;/key&gt;&lt;/foreign-keys&gt;&lt;ref-type name="Dataset"&gt;59&lt;/ref-type&gt;&lt;contributors&gt;&lt;authors&gt;&lt;author&gt;Fürsich, F. T.&lt;/author&gt;&lt;/authors&gt;&lt;/contributors&gt;&lt;titles&gt;&lt;title&gt;Unpublished data 1999&lt;/title&gt;&lt;/titles&gt;&lt;dates&gt;&lt;year&gt;1999&lt;/year&gt;&lt;/dates&gt;&lt;publisher&gt;Paleobiology Database&lt;/publisher&gt;&lt;urls&gt;&lt;/urls&gt;&lt;remote-database-name&gt;Paleobiology Database&lt;/remote-database-name&gt;&lt;remote-database-provider&gt;41&lt;/remote-database-provider&gt;&lt;/record&gt;&lt;/Cite&gt;&lt;/EndNote&gt;</w:instrText>
      </w:r>
      <w:r w:rsidR="008A66AD">
        <w:rPr>
          <w:rFonts w:ascii="Times New Roman" w:hAnsi="Times New Roman"/>
        </w:rPr>
        <w:fldChar w:fldCharType="separate"/>
      </w:r>
      <w:r w:rsidR="008A66AD" w:rsidRPr="007D71CF">
        <w:rPr>
          <w:rFonts w:ascii="Times New Roman" w:hAnsi="Times New Roman"/>
          <w:noProof/>
        </w:rPr>
        <w:t>Fürsich 1999</w:t>
      </w:r>
      <w:r w:rsidR="008A66AD">
        <w:rPr>
          <w:rFonts w:ascii="Times New Roman" w:hAnsi="Times New Roman"/>
        </w:rPr>
        <w:fldChar w:fldCharType="end"/>
      </w:r>
      <w:r w:rsidR="00A8596A" w:rsidRPr="007D71CF">
        <w:rPr>
          <w:rFonts w:ascii="Times New Roman" w:hAnsi="Times New Roman"/>
        </w:rPr>
        <w:t>;</w:t>
      </w:r>
      <w:r w:rsidR="00E137C3" w:rsidRPr="007D71CF">
        <w:rPr>
          <w:rFonts w:ascii="Times New Roman" w:hAnsi="Times New Roman"/>
        </w:rPr>
        <w:t xml:space="preserve"> </w:t>
      </w:r>
      <w:r w:rsidR="008A66AD">
        <w:rPr>
          <w:rFonts w:ascii="Times New Roman" w:hAnsi="Times New Roman"/>
        </w:rPr>
        <w:fldChar w:fldCharType="begin"/>
      </w:r>
      <w:r w:rsidR="008A66AD" w:rsidRPr="007D71CF">
        <w:rPr>
          <w:rFonts w:ascii="Times New Roman" w:hAnsi="Times New Roman"/>
        </w:rPr>
        <w:instrText xml:space="preserve"> ADDIN EN.CITE &lt;EndNote&gt;&lt;Cite&gt;&lt;Author&gt;Stygall-Rode&lt;/Author&gt;&lt;Year&gt;2004&lt;/Year&gt;&lt;RecNum&gt;80&lt;/RecNum&gt;&lt;DisplayText&gt;Stygall-Rode and Lieberman 2004&lt;/DisplayText&gt;&lt;record&gt;&lt;rec-number&gt;80&lt;/rec-number&gt;&lt;foreign-keys&gt;&lt;key app="EN" db-id="r2savzrxwddstne9dvmp0wderfxdtarefrzr" timestamp="1509137838"&gt;80&lt;/key&gt;&lt;/foreign-keys&gt;&lt;ref-type name="Journal Article"&gt;17&lt;/ref-type&gt;&lt;contributors&gt;&lt;authors&gt;&lt;author&gt;Stygall-Rode, A. L.&lt;/author&gt;&lt;author&gt;Lieberman, B. S.&lt;/author&gt;&lt;/authors&gt;&lt;/contributors&gt;&lt;titles&gt;&lt;title&gt;Using GIS to unlock the interactions between biogeography, environment, and evolution in middle and Late Devonian brachiopods and bivalves&lt;/title&gt;&lt;secondary-title&gt;Palaeogeography, Palaeoclimatology, Palaeoecology&lt;/secondary-title&gt;&lt;/titles&gt;&lt;periodical&gt;&lt;full-title&gt;Palaeogeography, Palaeoclimatology, Palaeoecology&lt;/full-title&gt;&lt;/periodical&gt;&lt;pages&gt;345-359&lt;/pages&gt;&lt;volume&gt;211&lt;/volume&gt;&lt;number&gt;3-4&lt;/number&gt;&lt;section&gt;345&lt;/section&gt;&lt;dates&gt;&lt;year&gt;2004&lt;/year&gt;&lt;/dates&gt;&lt;urls&gt;&lt;/urls&gt;&lt;remote-database-name&gt;Paleobiology Database&lt;/remote-database-name&gt;&lt;remote-database-provider&gt;14402&lt;/remote-database-provider&gt;&lt;/record&gt;&lt;/Cite&gt;&lt;/EndNote&gt;</w:instrText>
      </w:r>
      <w:r w:rsidR="008A66AD">
        <w:rPr>
          <w:rFonts w:ascii="Times New Roman" w:hAnsi="Times New Roman"/>
        </w:rPr>
        <w:fldChar w:fldCharType="separate"/>
      </w:r>
      <w:r w:rsidR="008A66AD" w:rsidRPr="0010662D">
        <w:rPr>
          <w:rFonts w:ascii="Times New Roman" w:hAnsi="Times New Roman"/>
          <w:noProof/>
        </w:rPr>
        <w:t>Stygall-Rode and Lieberman 2004</w:t>
      </w:r>
      <w:r w:rsidR="008A66AD">
        <w:rPr>
          <w:rFonts w:ascii="Times New Roman" w:hAnsi="Times New Roman"/>
        </w:rPr>
        <w:fldChar w:fldCharType="end"/>
      </w:r>
      <w:r w:rsidR="008A0F56" w:rsidRPr="0010662D">
        <w:rPr>
          <w:rFonts w:ascii="Times New Roman" w:hAnsi="Times New Roman"/>
        </w:rPr>
        <w:t>;</w:t>
      </w:r>
      <w:r w:rsidR="001C3C2F" w:rsidRPr="0010662D">
        <w:rPr>
          <w:rFonts w:ascii="Times New Roman" w:hAnsi="Times New Roman"/>
        </w:rPr>
        <w:t xml:space="preserve"> </w:t>
      </w:r>
      <w:r w:rsidR="001C3C2F">
        <w:rPr>
          <w:rFonts w:ascii="Times New Roman" w:hAnsi="Times New Roman"/>
        </w:rPr>
        <w:fldChar w:fldCharType="begin"/>
      </w:r>
      <w:r w:rsidR="001C3C2F" w:rsidRPr="0010662D">
        <w:rPr>
          <w:rFonts w:ascii="Times New Roman" w:hAnsi="Times New Roman"/>
        </w:rPr>
        <w:instrText xml:space="preserve"> ADDIN EN.CITE &lt;EndNote&gt;&lt;Cite&gt;&lt;Author&gt;Fürsich&lt;/Author&gt;&lt;Year&gt;2006&lt;/Year&gt;&lt;RecNum&gt;72&lt;/RecNum&gt;&lt;DisplayText&gt;Fürsich 2006&lt;/DisplayText&gt;&lt;record&gt;&lt;rec-number&gt;72&lt;/rec-number&gt;&lt;foreign-keys&gt;&lt;key app="EN" db-id="r2savzrxwddstne9dvmp0wderfxdtarefrzr" timestamp="1509137624"&gt;72&lt;/key&gt;&lt;/foreign-keys&gt;&lt;ref-type name="Dataset"&gt;59&lt;/ref-type&gt;&lt;contributors&gt;&lt;authors&gt;&lt;a</w:instrText>
      </w:r>
      <w:r w:rsidR="001C3C2F">
        <w:rPr>
          <w:rFonts w:ascii="Times New Roman" w:hAnsi="Times New Roman"/>
        </w:rPr>
        <w:instrText>uthor&gt;Fürsich, F. T.&lt;/author&gt;&lt;/authors&gt;&lt;/contributors&gt;&lt;titles&gt;&lt;title&gt;Unpublished data from Kachchh&lt;/title&gt;&lt;/titles&gt;&lt;dates&gt;&lt;year&gt;2006&lt;/year&gt;&lt;/dates&gt;&lt;publisher&gt;Paleobiology Database&lt;/publisher&gt;&lt;urls&gt;&lt;/urls&gt;&lt;remote-database-name&gt;Paleobiology Database&lt;/remote-database-name&gt;&lt;remote-database-provider&gt;17728&lt;/remote-database-provider&gt;&lt;/record&gt;&lt;/Cite&gt;&lt;/EndNote&gt;</w:instrText>
      </w:r>
      <w:r w:rsidR="001C3C2F">
        <w:rPr>
          <w:rFonts w:ascii="Times New Roman" w:hAnsi="Times New Roman"/>
        </w:rPr>
        <w:fldChar w:fldCharType="separate"/>
      </w:r>
      <w:r w:rsidR="001C3C2F">
        <w:rPr>
          <w:rFonts w:ascii="Times New Roman" w:hAnsi="Times New Roman"/>
          <w:noProof/>
        </w:rPr>
        <w:t>Fürsich 2006</w:t>
      </w:r>
      <w:r w:rsidR="001C3C2F">
        <w:rPr>
          <w:rFonts w:ascii="Times New Roman" w:hAnsi="Times New Roman"/>
        </w:rPr>
        <w:fldChar w:fldCharType="end"/>
      </w:r>
      <w:r w:rsidR="00A8596A" w:rsidRPr="001C3C2F">
        <w:rPr>
          <w:rFonts w:ascii="Times New Roman" w:hAnsi="Times New Roman"/>
        </w:rPr>
        <w:t>;</w:t>
      </w:r>
      <w:r w:rsidR="00FE76B4" w:rsidRPr="001C3C2F">
        <w:rPr>
          <w:rFonts w:ascii="Times New Roman" w:hAnsi="Times New Roman"/>
        </w:rPr>
        <w:t xml:space="preserve"> </w:t>
      </w:r>
      <w:r w:rsidR="008A66AD">
        <w:rPr>
          <w:rFonts w:ascii="Times New Roman" w:hAnsi="Times New Roman"/>
        </w:rPr>
        <w:fldChar w:fldCharType="begin"/>
      </w:r>
      <w:r w:rsidR="008A66AD" w:rsidRPr="001C3C2F">
        <w:rPr>
          <w:rFonts w:ascii="Times New Roman" w:hAnsi="Times New Roman"/>
        </w:rPr>
        <w:instrText xml:space="preserve"> ADDIN EN.CITE &lt;EndNote&gt;&lt;Cite&gt;&lt;Author&gt;Holland&lt;/Author&gt;&lt;Year&gt;2007&lt;/Year&gt;&lt;RecNum&gt;77&lt;/RecNum&gt;&lt;DisplayText&gt;Holland and Patzkowsky 2007&lt;/DisplayText&gt;&lt;record&gt;&lt;rec-number&gt;77&lt;/rec-number&gt;&lt;foreign-keys&gt;&lt;key app="EN" db-id="r2savzrxwddstne9dvmp0wderfxdtarefrzr" timestamp="1509137678"&gt;77&lt;/key&gt;&lt;/foreign-keys&gt;&lt;ref-type name="Journal Article"&gt;17&lt;/ref-type&gt;&lt;contributors&gt;&lt;authors&gt;&lt;author&gt;Holland, S. M.&lt;/author&gt;&lt;author&gt;Patzkowsky, M. E.&lt;/author&gt;&lt;/authors&gt;&lt;/contributors&gt;&lt;titles&gt;&lt;title&gt;Gradient ecology of a biotic invasion: biofacies of the type Cincinnatian Series (Upper Ordovician), Cincinnati, Ohio region, USA&lt;/title&gt;&lt;secondary-title&gt;Palaios&lt;/secondary-title&gt;&lt;/titles&gt;&lt;periodical&gt;&lt;full-title&gt;Palaios&lt;/full-title&gt;&lt;/periodical&gt;&lt;pages&gt;408-423&lt;/pages&gt;&lt;volume&gt;22&lt;/volume&gt;&lt;section&gt;408&lt;/section&gt;&lt;dates&gt;&lt;year&gt;2007&lt;/year&gt;&lt;/dates&gt;&lt;urls&gt;&lt;/urls&gt;&lt;remote-database-name&gt;Paleobiology Database&lt;/remote-database-name&gt;&lt;remote-database-provider&gt;24429&lt;/remote-database-provider&gt;&lt;/record&gt;&lt;/Cite&gt;&lt;/EndNote&gt;</w:instrText>
      </w:r>
      <w:r w:rsidR="008A66AD">
        <w:rPr>
          <w:rFonts w:ascii="Times New Roman" w:hAnsi="Times New Roman"/>
        </w:rPr>
        <w:fldChar w:fldCharType="separate"/>
      </w:r>
      <w:r w:rsidR="008A66AD" w:rsidRPr="001C3C2F">
        <w:rPr>
          <w:rFonts w:ascii="Times New Roman" w:hAnsi="Times New Roman"/>
          <w:noProof/>
        </w:rPr>
        <w:t>Holland and Patzkowsky 2007</w:t>
      </w:r>
      <w:r w:rsidR="008A66AD">
        <w:rPr>
          <w:rFonts w:ascii="Times New Roman" w:hAnsi="Times New Roman"/>
        </w:rPr>
        <w:fldChar w:fldCharType="end"/>
      </w:r>
      <w:r w:rsidR="00FE76B4" w:rsidRPr="001C3C2F">
        <w:rPr>
          <w:rFonts w:ascii="Times New Roman" w:hAnsi="Times New Roman"/>
        </w:rPr>
        <w:t xml:space="preserve">; </w:t>
      </w:r>
      <w:r w:rsidR="008A66AD">
        <w:rPr>
          <w:rFonts w:ascii="Times New Roman" w:hAnsi="Times New Roman"/>
        </w:rPr>
        <w:fldChar w:fldCharType="begin"/>
      </w:r>
      <w:r w:rsidR="008A66AD" w:rsidRPr="001C3C2F">
        <w:rPr>
          <w:rFonts w:ascii="Times New Roman" w:hAnsi="Times New Roman"/>
        </w:rPr>
        <w:instrText xml:space="preserve"> ADDIN EN.CITE &lt;EndNote&gt;&lt;Cite&gt;&lt;Author&gt;Hendy&lt;/Author&gt;&lt;Year&gt;2008&lt;/Year&gt;&lt;RecNum&gt;76&lt;/RecNum&gt;&lt;DisplayText&gt;Hendy et al. 2008&lt;/DisplayText&gt;&lt;record&gt;&lt;rec-number&gt;76&lt;/rec-number&gt;&lt;foreign-keys&gt;&lt;key app="EN" db-id="r2savzrxwddstne9dvmp0wderfxdtarefrzr" timestamp="1509137678"&gt;76&lt;/key&gt;&lt;/foreign-keys&gt;&lt;ref-type name="Dataset"&gt;59&lt;/ref-type&gt;&lt;contributors&gt;&lt;authors&gt;&lt;author&gt;Hendy, A. J. W.&lt;/author&gt;&lt;author&gt;Buick, D. P.&lt;/author&gt;&lt;author&gt;Bulinski, K. V.&lt;/author&gt;&lt;author&gt;Ferguson, C. A.&lt;/author&gt;&lt;author&gt;Miller, A. I.&lt;/author&gt;&lt;/authors&gt;&lt;/contributors&gt;&lt;titles&gt;&lt;title&gt;Unpublished census data from Atlantic coastal plain and circum-Caribbean Neogene assemblages and taxonomic opinions&lt;/title&gt;&lt;/titles&gt;&lt;dates&gt;&lt;year&gt;2008&lt;/year&gt;&lt;/dates&gt;&lt;publisher&gt;Paleobiology Database&lt;/publisher&gt;&lt;urls&gt;&lt;/urls&gt;&lt;remote-database-name&gt;Paleobiology Database&lt;/remote-database-name&gt;&lt;remote-database-provider&gt;19909&lt;/remote-database-provider&gt;&lt;/record&gt;&lt;/Cite&gt;&lt;/EndNote&gt;</w:instrText>
      </w:r>
      <w:r w:rsidR="008A66AD">
        <w:rPr>
          <w:rFonts w:ascii="Times New Roman" w:hAnsi="Times New Roman"/>
        </w:rPr>
        <w:fldChar w:fldCharType="separate"/>
      </w:r>
      <w:r w:rsidR="008A66AD" w:rsidRPr="001C3C2F">
        <w:rPr>
          <w:rFonts w:ascii="Times New Roman" w:hAnsi="Times New Roman"/>
          <w:noProof/>
        </w:rPr>
        <w:t>Hendy et al. 2008</w:t>
      </w:r>
      <w:r w:rsidR="008A66AD">
        <w:rPr>
          <w:rFonts w:ascii="Times New Roman" w:hAnsi="Times New Roman"/>
        </w:rPr>
        <w:fldChar w:fldCharType="end"/>
      </w:r>
      <w:r w:rsidR="00A8596A" w:rsidRPr="001C3C2F">
        <w:rPr>
          <w:rFonts w:ascii="Times New Roman" w:hAnsi="Times New Roman"/>
        </w:rPr>
        <w:t>)</w:t>
      </w:r>
      <w:r w:rsidR="00F230EE">
        <w:rPr>
          <w:rFonts w:ascii="Times New Roman" w:hAnsi="Times New Roman"/>
        </w:rPr>
        <w:t xml:space="preserve">. </w:t>
      </w:r>
      <w:r w:rsidR="00985B8A" w:rsidRPr="00985B8A">
        <w:rPr>
          <w:rFonts w:ascii="Times New Roman" w:hAnsi="Times New Roman"/>
        </w:rPr>
        <w:t xml:space="preserve">A full </w:t>
      </w:r>
      <w:r w:rsidR="007D0F5B" w:rsidRPr="00985B8A">
        <w:rPr>
          <w:rFonts w:ascii="Times New Roman" w:hAnsi="Times New Roman"/>
        </w:rPr>
        <w:t>bibliography is given as a supplementary file</w:t>
      </w:r>
      <w:r w:rsidR="003A71D4">
        <w:rPr>
          <w:rFonts w:ascii="Times New Roman" w:hAnsi="Times New Roman"/>
        </w:rPr>
        <w:t xml:space="preserve"> (see also </w:t>
      </w:r>
      <w:r w:rsidR="003A71D4">
        <w:rPr>
          <w:rFonts w:ascii="Times New Roman" w:hAnsi="Times New Roman"/>
        </w:rPr>
        <w:fldChar w:fldCharType="begin"/>
      </w:r>
      <w:r w:rsidR="003A71D4">
        <w:rPr>
          <w:rFonts w:ascii="Times New Roman" w:hAnsi="Times New Roman"/>
        </w:rPr>
        <w:instrText xml:space="preserve"> ADDIN EN.CITE &lt;EndNote&gt;&lt;Cite&gt;&lt;Author&gt;Wagner&lt;/Author&gt;&lt;Year&gt;in press&lt;/Year&gt;&lt;RecNum&gt;97&lt;/RecNum&gt;&lt;DisplayText&gt;Wagner et al. in press&lt;/DisplayText&gt;&lt;record&gt;&lt;rec-number&gt;97&lt;/rec-number&gt;&lt;foreign-keys&gt;&lt;key app="EN" db-id="r2savzrxwddstne9dvmp0wderfxdtarefrzr" timestamp="1520017719"&gt;97&lt;/key&gt;&lt;/foreign-keys&gt;&lt;ref-type name="Journal Article"&gt;17&lt;/ref-type&gt;&lt;contributors&gt;&lt;authors&gt;&lt;author&gt;Peter J. Wagner&lt;/author&gt;&lt;author&gt;Plotnick, Roy E.&lt;/author&gt;&lt;author&gt;Lyons, S. Kathleen&lt;/author&gt;&lt;/authors&gt;&lt;/contributors&gt;&lt;titles&gt;&lt;title&gt;Evidence for trait-based dominance in occupancy among fossil taxa and the decoupling of macroecological and macroevolutionary success&lt;/title&gt;&lt;secondary-title&gt;The American Naturalist&lt;/secondary-title&gt;&lt;/titles&gt;&lt;periodical&gt;&lt;full-title&gt;The American Naturalist&lt;/full-title&gt;&lt;/periodical&gt;&lt;dates&gt;&lt;year&gt;in press&lt;/year&gt;&lt;/dates&gt;&lt;urls&gt;&lt;/urls&gt;&lt;/record&gt;&lt;/Cite&gt;&lt;/EndNote&gt;</w:instrText>
      </w:r>
      <w:r w:rsidR="003A71D4">
        <w:rPr>
          <w:rFonts w:ascii="Times New Roman" w:hAnsi="Times New Roman"/>
        </w:rPr>
        <w:fldChar w:fldCharType="separate"/>
      </w:r>
      <w:r w:rsidR="003A71D4">
        <w:rPr>
          <w:rFonts w:ascii="Times New Roman" w:hAnsi="Times New Roman"/>
          <w:noProof/>
        </w:rPr>
        <w:t>Wagner et al. in press</w:t>
      </w:r>
      <w:r w:rsidR="003A71D4">
        <w:rPr>
          <w:rFonts w:ascii="Times New Roman" w:hAnsi="Times New Roman"/>
        </w:rPr>
        <w:fldChar w:fldCharType="end"/>
      </w:r>
      <w:r w:rsidR="003A71D4">
        <w:rPr>
          <w:rFonts w:ascii="Times New Roman" w:hAnsi="Times New Roman"/>
        </w:rPr>
        <w:t>)</w:t>
      </w:r>
      <w:r w:rsidR="007D0F5B" w:rsidRPr="00985B8A">
        <w:rPr>
          <w:rFonts w:ascii="Times New Roman" w:hAnsi="Times New Roman"/>
        </w:rPr>
        <w:t>.</w:t>
      </w:r>
    </w:p>
    <w:p w14:paraId="6034CA8C" w14:textId="5DE2FFAC" w:rsidR="00FF08E6" w:rsidRPr="00C7158D" w:rsidRDefault="00FF08E6" w:rsidP="008A66AD">
      <w:pPr>
        <w:spacing w:line="480" w:lineRule="auto"/>
        <w:ind w:firstLine="360"/>
        <w:rPr>
          <w:rFonts w:ascii="Times New Roman" w:hAnsi="Times New Roman"/>
          <w:szCs w:val="24"/>
        </w:rPr>
      </w:pPr>
      <w:r w:rsidRPr="00C7158D">
        <w:rPr>
          <w:rFonts w:ascii="Times New Roman" w:hAnsi="Times New Roman"/>
          <w:szCs w:val="24"/>
        </w:rPr>
        <w:t xml:space="preserve">We exclude genus-only records (e.g., </w:t>
      </w:r>
      <w:r w:rsidRPr="00C7158D">
        <w:rPr>
          <w:rFonts w:ascii="Times New Roman" w:hAnsi="Times New Roman"/>
          <w:i/>
          <w:szCs w:val="24"/>
        </w:rPr>
        <w:t xml:space="preserve">Bellerophon </w:t>
      </w:r>
      <w:r w:rsidRPr="00C7158D">
        <w:rPr>
          <w:rFonts w:ascii="Times New Roman" w:hAnsi="Times New Roman"/>
          <w:szCs w:val="24"/>
        </w:rPr>
        <w:t xml:space="preserve">sp. or </w:t>
      </w:r>
      <w:r w:rsidRPr="00C7158D">
        <w:rPr>
          <w:rFonts w:ascii="Times New Roman" w:hAnsi="Times New Roman"/>
          <w:i/>
          <w:szCs w:val="24"/>
        </w:rPr>
        <w:t xml:space="preserve">Turritella </w:t>
      </w:r>
      <w:r w:rsidRPr="00C7158D">
        <w:rPr>
          <w:rFonts w:ascii="Times New Roman" w:hAnsi="Times New Roman"/>
          <w:szCs w:val="24"/>
        </w:rPr>
        <w:t xml:space="preserve">sp.) for two reasons. One, the relational </w:t>
      </w:r>
      <w:r w:rsidR="00AB5C3A" w:rsidRPr="00C7158D">
        <w:rPr>
          <w:rFonts w:ascii="Times New Roman" w:hAnsi="Times New Roman"/>
          <w:szCs w:val="24"/>
        </w:rPr>
        <w:t>taxonom</w:t>
      </w:r>
      <w:r w:rsidR="00AB5C3A">
        <w:rPr>
          <w:rFonts w:ascii="Times New Roman" w:hAnsi="Times New Roman"/>
          <w:szCs w:val="24"/>
        </w:rPr>
        <w:t>ic</w:t>
      </w:r>
      <w:r w:rsidR="00AB5C3A" w:rsidRPr="00C7158D">
        <w:rPr>
          <w:rFonts w:ascii="Times New Roman" w:hAnsi="Times New Roman"/>
          <w:szCs w:val="24"/>
        </w:rPr>
        <w:t xml:space="preserve"> </w:t>
      </w:r>
      <w:r w:rsidRPr="00C7158D">
        <w:rPr>
          <w:rFonts w:ascii="Times New Roman" w:hAnsi="Times New Roman"/>
          <w:szCs w:val="24"/>
        </w:rPr>
        <w:t>fields in the Paleobiology Database cannot “correct” the generic occurrence if the unnamed sampled species subsequently is reassigned to another genus. Two, many such occurrences fall outside of the stratigraphic ranges of named species placed in those genera, which casts doubt on the veracity of the assignments (</w:t>
      </w:r>
      <w:r w:rsidR="00A13F3B">
        <w:rPr>
          <w:rFonts w:ascii="Times New Roman" w:hAnsi="Times New Roman"/>
          <w:noProof/>
          <w:szCs w:val="24"/>
        </w:rPr>
        <w:fldChar w:fldCharType="begin"/>
      </w:r>
      <w:r w:rsidR="00A13F3B">
        <w:rPr>
          <w:rFonts w:ascii="Times New Roman" w:hAnsi="Times New Roman"/>
          <w:noProof/>
          <w:szCs w:val="24"/>
        </w:rPr>
        <w:instrText xml:space="preserve"> ADDIN EN.CITE &lt;EndNote&gt;&lt;Cite&gt;&lt;Author&gt;Wagner&lt;/Author&gt;&lt;Year&gt;2007&lt;/Year&gt;&lt;RecNum&gt;35&lt;/RecNum&gt;&lt;DisplayText&gt;Wagner et al. 2007&lt;/DisplayText&gt;&lt;record&gt;&lt;rec-number&gt;35&lt;/rec-number&gt;&lt;foreign-keys&gt;&lt;key app="EN" db-id="r2savzrxwddstne9dvmp0wderfxdtarefrzr" timestamp="1493841983"&gt;35&lt;/key&gt;&lt;/foreign-keys&gt;&lt;ref-type name="Journal Article"&gt;17&lt;/ref-type&gt;&lt;contributors&gt;&lt;authors&gt;&lt;author&gt;Peter J. Wagner&lt;/author&gt;&lt;author&gt;Martin Aberhan&lt;/author&gt;&lt;author&gt;Austin Hendy&lt;/author&gt;&lt;author&gt;Wolfgang Kiessling&lt;/author&gt;&lt;/authors&gt;&lt;/contributors&gt;&lt;titles&gt;&lt;title&gt;The effects of taxonomic standardization on sampling-standardized estimates of historical diversityz&lt;/title&gt;&lt;secondary-title&gt;Proceedings of the Royal Society of London, Series B. Biological Sciences&lt;/secondary-title&gt;&lt;/titles&gt;&lt;periodical&gt;&lt;full-title&gt;Proceedings of the Royal Society of London, Series B. Biological Sciences&lt;/full-title&gt;&lt;/periodical&gt;&lt;pages&gt;439 - 444&lt;/pages&gt;&lt;volume&gt;274&lt;/volume&gt;&lt;number&gt;1608&lt;/number&gt;&lt;section&gt;439&lt;/section&gt;&lt;dates&gt;&lt;year&gt;2007&lt;/year&gt;&lt;pub-dates&gt;&lt;date&gt;&lt;style face="normal" font="default" size="100%"&gt;2007&lt;/style&gt;&lt;style face="normal" font="default" size="12"&gt;/&lt;/style&gt;&lt;style face="normal" font="default" size="100%"&gt;02&lt;/style&gt;&lt;/date&gt;&lt;/pub-dates&gt;&lt;/dates&gt;&lt;urls&gt;&lt;/urls&gt;&lt;electronic-resource-num&gt;10.1098/rspb.2006.3742&lt;/electronic-resource-num&gt;&lt;/record&gt;&lt;/Cite&gt;&lt;/EndNote&gt;</w:instrText>
      </w:r>
      <w:r w:rsidR="00A13F3B">
        <w:rPr>
          <w:rFonts w:ascii="Times New Roman" w:hAnsi="Times New Roman"/>
          <w:noProof/>
          <w:szCs w:val="24"/>
        </w:rPr>
        <w:fldChar w:fldCharType="separate"/>
      </w:r>
      <w:r w:rsidR="00A13F3B">
        <w:rPr>
          <w:rFonts w:ascii="Times New Roman" w:hAnsi="Times New Roman"/>
          <w:noProof/>
          <w:szCs w:val="24"/>
        </w:rPr>
        <w:t>Wagner et al. 2007</w:t>
      </w:r>
      <w:r w:rsidR="00A13F3B">
        <w:rPr>
          <w:rFonts w:ascii="Times New Roman" w:hAnsi="Times New Roman"/>
          <w:noProof/>
          <w:szCs w:val="24"/>
        </w:rPr>
        <w:fldChar w:fldCharType="end"/>
      </w:r>
      <w:r w:rsidRPr="00C7158D">
        <w:rPr>
          <w:rFonts w:ascii="Times New Roman" w:hAnsi="Times New Roman"/>
          <w:szCs w:val="24"/>
        </w:rPr>
        <w:t xml:space="preserve">). For the remaining records, we vet species names extensively. This </w:t>
      </w:r>
      <w:r w:rsidR="00CB221E" w:rsidRPr="00C7158D">
        <w:rPr>
          <w:rFonts w:ascii="Times New Roman" w:hAnsi="Times New Roman"/>
          <w:szCs w:val="24"/>
        </w:rPr>
        <w:t>include</w:t>
      </w:r>
      <w:r w:rsidR="00CB221E">
        <w:rPr>
          <w:rFonts w:ascii="Times New Roman" w:hAnsi="Times New Roman"/>
          <w:szCs w:val="24"/>
        </w:rPr>
        <w:t>s</w:t>
      </w:r>
      <w:r w:rsidR="00CB221E" w:rsidRPr="00C7158D">
        <w:rPr>
          <w:rFonts w:ascii="Times New Roman" w:hAnsi="Times New Roman"/>
          <w:szCs w:val="24"/>
        </w:rPr>
        <w:t xml:space="preserve"> </w:t>
      </w:r>
      <w:r w:rsidRPr="00C7158D">
        <w:rPr>
          <w:rFonts w:ascii="Times New Roman" w:hAnsi="Times New Roman"/>
          <w:szCs w:val="24"/>
        </w:rPr>
        <w:t>checking for misspelling and converting all specific names to gender-neutral versions so that “</w:t>
      </w:r>
      <w:r w:rsidRPr="00C7158D">
        <w:rPr>
          <w:rFonts w:ascii="Times New Roman" w:hAnsi="Times New Roman"/>
          <w:i/>
          <w:szCs w:val="24"/>
        </w:rPr>
        <w:t>umbilicata,</w:t>
      </w:r>
      <w:r w:rsidRPr="00C7158D">
        <w:rPr>
          <w:rFonts w:ascii="Times New Roman" w:hAnsi="Times New Roman"/>
          <w:szCs w:val="24"/>
        </w:rPr>
        <w:t>” “</w:t>
      </w:r>
      <w:r w:rsidRPr="00C7158D">
        <w:rPr>
          <w:rFonts w:ascii="Times New Roman" w:hAnsi="Times New Roman"/>
          <w:i/>
          <w:szCs w:val="24"/>
        </w:rPr>
        <w:t>umbilicatus</w:t>
      </w:r>
      <w:r w:rsidRPr="00C7158D">
        <w:rPr>
          <w:rFonts w:ascii="Times New Roman" w:hAnsi="Times New Roman"/>
          <w:szCs w:val="24"/>
        </w:rPr>
        <w:t>” and “</w:t>
      </w:r>
      <w:r w:rsidRPr="00C7158D">
        <w:rPr>
          <w:rFonts w:ascii="Times New Roman" w:hAnsi="Times New Roman"/>
          <w:i/>
          <w:szCs w:val="24"/>
        </w:rPr>
        <w:t>umbilicatum</w:t>
      </w:r>
      <w:r w:rsidRPr="00C7158D">
        <w:rPr>
          <w:rFonts w:ascii="Times New Roman" w:hAnsi="Times New Roman"/>
          <w:szCs w:val="24"/>
        </w:rPr>
        <w:t>” all are considered to be the same species name</w:t>
      </w:r>
      <w:r w:rsidR="003A71D4">
        <w:rPr>
          <w:rFonts w:ascii="Times New Roman" w:hAnsi="Times New Roman"/>
          <w:szCs w:val="24"/>
        </w:rPr>
        <w:t xml:space="preserve"> (</w:t>
      </w:r>
      <w:r w:rsidR="003A71D4">
        <w:rPr>
          <w:rFonts w:ascii="Times New Roman" w:hAnsi="Times New Roman"/>
          <w:szCs w:val="24"/>
        </w:rPr>
        <w:fldChar w:fldCharType="begin"/>
      </w:r>
      <w:r w:rsidR="003A71D4">
        <w:rPr>
          <w:rFonts w:ascii="Times New Roman" w:hAnsi="Times New Roman"/>
          <w:szCs w:val="24"/>
        </w:rPr>
        <w:instrText xml:space="preserve"> ADDIN EN.CITE &lt;EndNote&gt;&lt;Cite&gt;&lt;Author&gt;Wagner&lt;/Author&gt;&lt;Year&gt;in press&lt;/Year&gt;&lt;RecNum&gt;97&lt;/RecNum&gt;&lt;DisplayText&gt;Wagner et al. in press&lt;/DisplayText&gt;&lt;record&gt;&lt;rec-number&gt;97&lt;/rec-number&gt;&lt;foreign-keys&gt;&lt;key app="EN" db-id="r2savzrxwddstne9dvmp0wderfxdtarefrzr" timestamp="1520017719"&gt;97&lt;/key&gt;&lt;/foreign-keys&gt;&lt;ref-type name="Journal Article"&gt;17&lt;/ref-type&gt;&lt;contributors&gt;&lt;authors&gt;&lt;author&gt;Peter J. Wagner&lt;/author&gt;&lt;author&gt;Plotnick, Roy E.&lt;/author&gt;&lt;author&gt;Lyons, S. Kathleen&lt;/author&gt;&lt;/authors&gt;&lt;/contributors&gt;&lt;titles&gt;&lt;title&gt;Evidence for trait-based dominance in occupancy among fossil taxa and the decoupling of macroecological and macroevolutionary success&lt;/title&gt;&lt;secondary-title&gt;The American Naturalist&lt;/secondary-title&gt;&lt;/titles&gt;&lt;periodical&gt;&lt;full-title&gt;The American Naturalist&lt;/full-title&gt;&lt;/periodical&gt;&lt;dates&gt;&lt;year&gt;in press&lt;/year&gt;&lt;/dates&gt;&lt;urls&gt;&lt;/urls&gt;&lt;/record&gt;&lt;/Cite&gt;&lt;/EndNote&gt;</w:instrText>
      </w:r>
      <w:r w:rsidR="003A71D4">
        <w:rPr>
          <w:rFonts w:ascii="Times New Roman" w:hAnsi="Times New Roman"/>
          <w:szCs w:val="24"/>
        </w:rPr>
        <w:fldChar w:fldCharType="separate"/>
      </w:r>
      <w:r w:rsidR="003A71D4">
        <w:rPr>
          <w:rFonts w:ascii="Times New Roman" w:hAnsi="Times New Roman"/>
          <w:noProof/>
          <w:szCs w:val="24"/>
        </w:rPr>
        <w:t>Wagner et al. in press</w:t>
      </w:r>
      <w:r w:rsidR="003A71D4">
        <w:rPr>
          <w:rFonts w:ascii="Times New Roman" w:hAnsi="Times New Roman"/>
          <w:szCs w:val="24"/>
        </w:rPr>
        <w:fldChar w:fldCharType="end"/>
      </w:r>
      <w:r w:rsidR="003A71D4">
        <w:rPr>
          <w:rFonts w:ascii="Times New Roman" w:hAnsi="Times New Roman"/>
          <w:szCs w:val="24"/>
        </w:rPr>
        <w:t>)</w:t>
      </w:r>
      <w:r w:rsidRPr="00C7158D">
        <w:rPr>
          <w:rFonts w:ascii="Times New Roman" w:hAnsi="Times New Roman"/>
          <w:szCs w:val="24"/>
        </w:rPr>
        <w:t xml:space="preserve">. </w:t>
      </w:r>
    </w:p>
    <w:p w14:paraId="644B587D" w14:textId="1B388A5B" w:rsidR="00FF08E6" w:rsidRPr="00C7158D" w:rsidRDefault="009B1EC9" w:rsidP="008A66AD">
      <w:pPr>
        <w:spacing w:line="480" w:lineRule="auto"/>
        <w:ind w:firstLine="360"/>
        <w:rPr>
          <w:rFonts w:ascii="Times New Roman" w:hAnsi="Times New Roman"/>
          <w:szCs w:val="24"/>
        </w:rPr>
      </w:pPr>
      <w:r>
        <w:rPr>
          <w:rFonts w:ascii="Times New Roman" w:hAnsi="Times New Roman"/>
          <w:szCs w:val="24"/>
        </w:rPr>
        <w:t>We treat subgenera as genera</w:t>
      </w:r>
      <w:r w:rsidR="00F230EE">
        <w:rPr>
          <w:rFonts w:ascii="Times New Roman" w:hAnsi="Times New Roman"/>
          <w:szCs w:val="24"/>
        </w:rPr>
        <w:t xml:space="preserve">. </w:t>
      </w:r>
      <w:r w:rsidR="00FF08E6" w:rsidRPr="00C7158D">
        <w:rPr>
          <w:rFonts w:ascii="Times New Roman" w:hAnsi="Times New Roman"/>
          <w:szCs w:val="24"/>
        </w:rPr>
        <w:t xml:space="preserve">In part, this simply follow the protocols of earlier diversity studies using genera (e.g., </w:t>
      </w:r>
      <w:r w:rsidR="00261146">
        <w:rPr>
          <w:rFonts w:ascii="Times New Roman" w:hAnsi="Times New Roman"/>
          <w:noProof/>
          <w:szCs w:val="24"/>
        </w:rPr>
        <w:fldChar w:fldCharType="begin"/>
      </w:r>
      <w:r w:rsidR="00261146">
        <w:rPr>
          <w:rFonts w:ascii="Times New Roman" w:hAnsi="Times New Roman"/>
          <w:noProof/>
          <w:szCs w:val="24"/>
        </w:rPr>
        <w:instrText xml:space="preserve"> ADDIN EN.CITE &lt;EndNote&gt;&lt;Cite&gt;&lt;Author&gt;Sepkoski&lt;/Author&gt;&lt;Year&gt;1997&lt;/Year&gt;&lt;RecNum&gt;26&lt;/RecNum&gt;&lt;DisplayText&gt;Sepkoski 1997&lt;/DisplayText&gt;&lt;record&gt;&lt;rec-number&gt;26&lt;/rec-number&gt;&lt;foreign-keys&gt;&lt;key app="EN" db-id="r2savzrxwddstne9dvmp0wderfxdtarefrzr" timestamp="1493841983"&gt;26&lt;/key&gt;&lt;/foreign-keys&gt;&lt;ref-type name="Journal Article"&gt;17&lt;/ref-type&gt;&lt;contributors&gt;&lt;authors&gt;&lt;author&gt;Sepkoski, J. John, Jr.&lt;/author&gt;&lt;/authors&gt;&lt;/contributors&gt;&lt;titles&gt;&lt;title&gt;Biodiversity: past, present and future&lt;/title&gt;&lt;secondary-title&gt;Journal of Paleontology&lt;/secondary-title&gt;&lt;/titles&gt;&lt;periodical&gt;&lt;full-title&gt;Journal of Paleontology&lt;/full-title&gt;&lt;/periodical&gt;&lt;pages&gt;533 - 539&lt;/pages&gt;&lt;volume&gt;71&lt;/volume&gt;&lt;number&gt;4&lt;/number&gt;&lt;section&gt;533&lt;/section&gt;&lt;keywords&gt;&lt;keyword&gt;Diversity&lt;/keyword&gt;&lt;/keywords&gt;&lt;dates&gt;&lt;year&gt;1997&lt;/year&gt;&lt;pub-dates&gt;&lt;date&gt;&lt;style face="normal" font="default" size="100%"&gt;1997&lt;/style&gt;&lt;style face="normal" font="default" size="12"&gt;/&lt;/style&gt;&lt;style face="normal" font="default" size="100%"&gt;07&lt;/style&gt;&lt;/date&gt;&lt;/pub-dates&gt;&lt;/dates&gt;&lt;label&gt;2827&lt;/label&gt;&lt;urls&gt;&lt;/urls&gt;&lt;/record&gt;&lt;/Cite&gt;&lt;/EndNote&gt;</w:instrText>
      </w:r>
      <w:r w:rsidR="00261146">
        <w:rPr>
          <w:rFonts w:ascii="Times New Roman" w:hAnsi="Times New Roman"/>
          <w:noProof/>
          <w:szCs w:val="24"/>
        </w:rPr>
        <w:fldChar w:fldCharType="separate"/>
      </w:r>
      <w:r w:rsidR="00261146">
        <w:rPr>
          <w:rFonts w:ascii="Times New Roman" w:hAnsi="Times New Roman"/>
          <w:noProof/>
          <w:szCs w:val="24"/>
        </w:rPr>
        <w:t>Sepkoski 1997</w:t>
      </w:r>
      <w:r w:rsidR="00261146">
        <w:rPr>
          <w:rFonts w:ascii="Times New Roman" w:hAnsi="Times New Roman"/>
          <w:noProof/>
          <w:szCs w:val="24"/>
        </w:rPr>
        <w:fldChar w:fldCharType="end"/>
      </w:r>
      <w:r w:rsidR="00FF08E6" w:rsidRPr="00C7158D">
        <w:rPr>
          <w:rFonts w:ascii="Times New Roman" w:hAnsi="Times New Roman"/>
          <w:szCs w:val="24"/>
        </w:rPr>
        <w:t xml:space="preserve">). However, this also is because genera and subgenera are used inconsistently in published papers and thus in the data entered in the PaleoDB. Although taxonomic fields “fix” these ranks to the latest opinion in many genera/subgenera, they do not yet do so for all cases. </w:t>
      </w:r>
    </w:p>
    <w:p w14:paraId="398EA860" w14:textId="4C94ABD8" w:rsidR="00FF08E6" w:rsidRPr="00C7158D" w:rsidRDefault="00FF08E6" w:rsidP="008A66AD">
      <w:pPr>
        <w:spacing w:line="480" w:lineRule="auto"/>
        <w:ind w:firstLine="360"/>
        <w:rPr>
          <w:rFonts w:ascii="Times New Roman" w:hAnsi="Times New Roman"/>
          <w:szCs w:val="24"/>
        </w:rPr>
      </w:pPr>
      <w:r w:rsidRPr="00C7158D">
        <w:rPr>
          <w:rFonts w:ascii="Times New Roman" w:hAnsi="Times New Roman"/>
          <w:szCs w:val="24"/>
        </w:rPr>
        <w:t xml:space="preserve"> Many collections represent different beds from the same formation in the same densely sampled stratigraphic section. A genus might be known only from that formation at that section yet have numerous occurrences by being found in multiple beds within a few meters of each </w:t>
      </w:r>
      <w:r w:rsidRPr="00C7158D">
        <w:rPr>
          <w:rFonts w:ascii="Times New Roman" w:hAnsi="Times New Roman"/>
          <w:szCs w:val="24"/>
        </w:rPr>
        <w:lastRenderedPageBreak/>
        <w:t>other. Similarly, there are some general areas in which sediments from a general time interval are very well-sampled (e.g., Middle and Upper Ordovician strata from the Cincinnati Arch r</w:t>
      </w:r>
      <w:r>
        <w:rPr>
          <w:rFonts w:ascii="Times New Roman" w:hAnsi="Times New Roman"/>
          <w:szCs w:val="24"/>
        </w:rPr>
        <w:t>egion.)  Moreover, the highly uneven spatial patterns</w:t>
      </w:r>
      <w:r w:rsidRPr="00C7158D">
        <w:rPr>
          <w:rFonts w:ascii="Times New Roman" w:hAnsi="Times New Roman"/>
          <w:szCs w:val="24"/>
        </w:rPr>
        <w:t xml:space="preserve"> of </w:t>
      </w:r>
      <w:r>
        <w:rPr>
          <w:rFonts w:ascii="Times New Roman" w:hAnsi="Times New Roman"/>
          <w:szCs w:val="24"/>
        </w:rPr>
        <w:t xml:space="preserve">sedimentary </w:t>
      </w:r>
      <w:r w:rsidRPr="00C7158D">
        <w:rPr>
          <w:rFonts w:ascii="Times New Roman" w:hAnsi="Times New Roman"/>
          <w:szCs w:val="24"/>
        </w:rPr>
        <w:t>rocks make</w:t>
      </w:r>
      <w:r>
        <w:rPr>
          <w:rFonts w:ascii="Times New Roman" w:hAnsi="Times New Roman"/>
          <w:szCs w:val="24"/>
        </w:rPr>
        <w:t xml:space="preserve"> the distributions of </w:t>
      </w:r>
      <w:r w:rsidRPr="00C7158D">
        <w:rPr>
          <w:rFonts w:ascii="Times New Roman" w:hAnsi="Times New Roman"/>
          <w:szCs w:val="24"/>
        </w:rPr>
        <w:t>localities clumped (</w:t>
      </w:r>
      <w:r w:rsidR="00DA296D">
        <w:rPr>
          <w:rFonts w:ascii="Times New Roman" w:hAnsi="Times New Roman"/>
          <w:noProof/>
          <w:szCs w:val="24"/>
        </w:rPr>
        <w:fldChar w:fldCharType="begin"/>
      </w:r>
      <w:r w:rsidR="00EA54AA">
        <w:rPr>
          <w:rFonts w:ascii="Times New Roman" w:hAnsi="Times New Roman"/>
          <w:noProof/>
          <w:szCs w:val="24"/>
        </w:rPr>
        <w:instrText xml:space="preserve"> ADDIN EN.CITE &lt;EndNote&gt;&lt;Cite&gt;&lt;Author&gt;Plotnick&lt;/Author&gt;&lt;Year&gt;2017&lt;/Year&gt;&lt;RecNum&gt;24498&lt;/RecNum&gt;&lt;DisplayText&gt;Plotnick 2017&lt;/DisplayText&gt;&lt;record&gt;&lt;rec-number&gt;24498&lt;/rec-number&gt;&lt;foreign-keys&gt;&lt;key app="EN" db-id="wz00v599a2zpv4etvzgv2e93052sszxwve5v" timestamp="1488983279"&gt;24498&lt;/key&gt;&lt;/foreign-keys&gt;&lt;ref-type name="Journal Article"&gt;17&lt;/ref-type&gt;&lt;contributors&gt;&lt;authors&gt;&lt;author&gt;Plotnick, Roy E.&lt;/author&gt;&lt;/authors&gt;&lt;/contributors&gt;&lt;titles&gt;&lt;title&gt;Recurrent hierarchical patterns and the fractal distribution of fossil localities&lt;/title&gt;&lt;secondary-title&gt;Geology&lt;/secondary-title&gt;&lt;/titles&gt;&lt;periodical&gt;&lt;full-title&gt;Geology&lt;/full-title&gt;&lt;/periodical&gt;&lt;pages&gt;295-298&lt;/pages&gt;&lt;volume&gt;45&lt;/volume&gt;&lt;number&gt;4&lt;/number&gt;&lt;dates&gt;&lt;year&gt;2017&lt;/year&gt;&lt;/dates&gt;&lt;urls&gt;&lt;/urls&gt;&lt;electronic-resource-num&gt;10.1130/g38828.1&lt;/electronic-resource-num&gt;&lt;/record&gt;&lt;/Cite&gt;&lt;/EndNote&gt;</w:instrText>
      </w:r>
      <w:r w:rsidR="00DA296D">
        <w:rPr>
          <w:rFonts w:ascii="Times New Roman" w:hAnsi="Times New Roman"/>
          <w:noProof/>
          <w:szCs w:val="24"/>
        </w:rPr>
        <w:fldChar w:fldCharType="separate"/>
      </w:r>
      <w:r w:rsidR="00DA296D">
        <w:rPr>
          <w:rFonts w:ascii="Times New Roman" w:hAnsi="Times New Roman"/>
          <w:noProof/>
          <w:szCs w:val="24"/>
        </w:rPr>
        <w:t>Plotnick 2017</w:t>
      </w:r>
      <w:r w:rsidR="00DA296D">
        <w:rPr>
          <w:rFonts w:ascii="Times New Roman" w:hAnsi="Times New Roman"/>
          <w:noProof/>
          <w:szCs w:val="24"/>
        </w:rPr>
        <w:fldChar w:fldCharType="end"/>
      </w:r>
      <w:r w:rsidRPr="00C7158D">
        <w:rPr>
          <w:rFonts w:ascii="Times New Roman" w:hAnsi="Times New Roman"/>
          <w:szCs w:val="24"/>
        </w:rPr>
        <w:t>)</w:t>
      </w:r>
      <w:r>
        <w:rPr>
          <w:rFonts w:ascii="Times New Roman" w:hAnsi="Times New Roman"/>
          <w:szCs w:val="24"/>
        </w:rPr>
        <w:t xml:space="preserve">. </w:t>
      </w:r>
      <w:r w:rsidRPr="00C7158D">
        <w:rPr>
          <w:rFonts w:ascii="Times New Roman" w:hAnsi="Times New Roman"/>
          <w:szCs w:val="24"/>
        </w:rPr>
        <w:t xml:space="preserve">Such “binge sampling” will raise commonness estimates for taxa restricted to those regions (see </w:t>
      </w:r>
      <w:r w:rsidR="008B34B4">
        <w:rPr>
          <w:rFonts w:ascii="Times New Roman" w:hAnsi="Times New Roman"/>
          <w:noProof/>
          <w:szCs w:val="24"/>
        </w:rPr>
        <w:fldChar w:fldCharType="begin"/>
      </w:r>
      <w:r w:rsidR="008B34B4">
        <w:rPr>
          <w:rFonts w:ascii="Times New Roman" w:hAnsi="Times New Roman"/>
          <w:noProof/>
          <w:szCs w:val="24"/>
        </w:rPr>
        <w:instrText xml:space="preserve"> ADDIN EN.CITE &lt;EndNote&gt;&lt;Cite&gt;&lt;Author&gt;Raup&lt;/Author&gt;&lt;Year&gt;1972&lt;/Year&gt;&lt;RecNum&gt;24&lt;/RecNum&gt;&lt;DisplayText&gt;Raup 1972&lt;/DisplayText&gt;&lt;record&gt;&lt;rec-number&gt;24&lt;/rec-number&gt;&lt;foreign-keys&gt;&lt;key app="EN" db-id="r2savzrxwddstne9dvmp0wderfxdtarefrzr" timestamp="1493841983"&gt;24&lt;/key&gt;&lt;/foreign-keys&gt;&lt;ref-type name="Journal Article"&gt;17&lt;/ref-type&gt;&lt;contributors&gt;&lt;authors&gt;&lt;author&gt;David M. Raup&lt;/author&gt;&lt;/authors&gt;&lt;/contributors&gt;&lt;titles&gt;&lt;title&gt;Taxonomic diversity during the Phanerozoic&lt;/title&gt;&lt;secondary-title&gt;Science&lt;/secondary-title&gt;&lt;/titles&gt;&lt;periodical&gt;&lt;full-title&gt;Science&lt;/full-title&gt;&lt;/periodical&gt;&lt;pages&gt;1065 - 1071&lt;/pages&gt;&lt;volume&gt;177&lt;/volume&gt;&lt;section&gt;1065&lt;/section&gt;&lt;dates&gt;&lt;year&gt;1972&lt;/year&gt;&lt;/dates&gt;&lt;urls&gt;&lt;/urls&gt;&lt;/record&gt;&lt;/Cite&gt;&lt;/EndNote&gt;</w:instrText>
      </w:r>
      <w:r w:rsidR="008B34B4">
        <w:rPr>
          <w:rFonts w:ascii="Times New Roman" w:hAnsi="Times New Roman"/>
          <w:noProof/>
          <w:szCs w:val="24"/>
        </w:rPr>
        <w:fldChar w:fldCharType="separate"/>
      </w:r>
      <w:r w:rsidR="008B34B4">
        <w:rPr>
          <w:rFonts w:ascii="Times New Roman" w:hAnsi="Times New Roman"/>
          <w:noProof/>
          <w:szCs w:val="24"/>
        </w:rPr>
        <w:t>Raup 1972</w:t>
      </w:r>
      <w:r w:rsidR="008B34B4">
        <w:rPr>
          <w:rFonts w:ascii="Times New Roman" w:hAnsi="Times New Roman"/>
          <w:noProof/>
          <w:szCs w:val="24"/>
        </w:rPr>
        <w:fldChar w:fldCharType="end"/>
      </w:r>
      <w:r w:rsidRPr="00C7158D">
        <w:rPr>
          <w:rFonts w:ascii="Times New Roman" w:hAnsi="Times New Roman"/>
          <w:szCs w:val="24"/>
        </w:rPr>
        <w:t>)</w:t>
      </w:r>
      <w:r>
        <w:rPr>
          <w:rFonts w:ascii="Times New Roman" w:hAnsi="Times New Roman"/>
          <w:szCs w:val="24"/>
        </w:rPr>
        <w:t xml:space="preserve">. </w:t>
      </w:r>
      <w:r w:rsidRPr="00C7158D">
        <w:rPr>
          <w:rFonts w:ascii="Times New Roman" w:hAnsi="Times New Roman"/>
          <w:szCs w:val="24"/>
        </w:rPr>
        <w:t xml:space="preserve">This also introduces </w:t>
      </w:r>
      <w:r w:rsidRPr="002346AE">
        <w:rPr>
          <w:rFonts w:ascii="Times New Roman" w:hAnsi="Times New Roman"/>
          <w:szCs w:val="24"/>
        </w:rPr>
        <w:t>another</w:t>
      </w:r>
      <w:r w:rsidRPr="00C7158D">
        <w:rPr>
          <w:rFonts w:ascii="Times New Roman" w:hAnsi="Times New Roman"/>
          <w:szCs w:val="24"/>
        </w:rPr>
        <w:t xml:space="preserve"> major way in which fossil occurrences differ from occupancy: in principle, a taxon occupying one area might have numerous occurrences</w:t>
      </w:r>
      <w:r>
        <w:rPr>
          <w:rFonts w:ascii="Times New Roman" w:hAnsi="Times New Roman"/>
          <w:szCs w:val="24"/>
        </w:rPr>
        <w:t xml:space="preserve"> if that area is well-sampled. </w:t>
      </w:r>
      <w:r w:rsidRPr="00C7158D">
        <w:rPr>
          <w:rFonts w:ascii="Times New Roman" w:hAnsi="Times New Roman"/>
          <w:szCs w:val="24"/>
        </w:rPr>
        <w:t xml:space="preserve">We control for this by only counting localities from the same </w:t>
      </w:r>
      <w:r w:rsidR="00E22D72">
        <w:rPr>
          <w:rFonts w:ascii="Times New Roman" w:hAnsi="Times New Roman"/>
          <w:szCs w:val="24"/>
        </w:rPr>
        <w:t>formation</w:t>
      </w:r>
      <w:r w:rsidRPr="00C7158D">
        <w:rPr>
          <w:rFonts w:ascii="Times New Roman" w:hAnsi="Times New Roman"/>
          <w:szCs w:val="24"/>
        </w:rPr>
        <w:t xml:space="preserve"> that were greater than one kilometer away from the closest locality from that formation also bearing the species in question. (In cases where rock units are ranked as members in some papers but formations in others, we used the latest opinions of that unit; </w:t>
      </w:r>
      <w:r w:rsidR="004D04CB">
        <w:rPr>
          <w:rFonts w:ascii="Times New Roman" w:hAnsi="Times New Roman"/>
          <w:noProof/>
          <w:szCs w:val="24"/>
        </w:rPr>
        <w:fldChar w:fldCharType="begin"/>
      </w:r>
      <w:r w:rsidR="004D04CB">
        <w:rPr>
          <w:rFonts w:ascii="Times New Roman" w:hAnsi="Times New Roman"/>
          <w:noProof/>
          <w:szCs w:val="24"/>
        </w:rPr>
        <w:instrText xml:space="preserve"> ADDIN EN.CITE &lt;EndNote&gt;&lt;Cite&gt;&lt;Author&gt;Darroch&lt;/Author&gt;&lt;Year&gt;2015&lt;/Year&gt;&lt;RecNum&gt;6&lt;/RecNum&gt;&lt;DisplayText&gt;Darroch and Wagner 2015&lt;/DisplayText&gt;&lt;record&gt;&lt;rec-number&gt;6&lt;/rec-number&gt;&lt;foreign-keys&gt;&lt;key app="EN" db-id="r2savzrxwddstne9dvmp0wderfxdtarefrzr" timestamp="1493841983"&gt;6&lt;/key&gt;&lt;/foreign-keys&gt;&lt;ref-type name="Journal Article"&gt;17&lt;/ref-type&gt;&lt;contributors&gt;&lt;authors&gt;&lt;author&gt;Darroch, Simon Alistair Francis&lt;/author&gt;&lt;author&gt;Wagner, Peter J.&lt;/author&gt;&lt;/authors&gt;&lt;/contributors&gt;&lt;titles&gt;&lt;title&gt;Response of beta diversity to pulses of Ordovician-Silurian mass extinction&lt;/title&gt;&lt;secondary-title&gt;Ecology&lt;/secondary-title&gt;&lt;/titles&gt;&lt;periodical&gt;&lt;full-title&gt;Ecology&lt;/full-title&gt;&lt;/periodical&gt;&lt;pages&gt;532–549&lt;/pages&gt;&lt;volume&gt;96&lt;/volume&gt;&lt;number&gt;2&lt;/number&gt;&lt;edition&gt;2014/07/15&lt;/edition&gt;&lt;section&gt;532&lt;/section&gt;&lt;keywords&gt;&lt;keyword&gt;beta diversity&lt;/keyword&gt;&lt;keyword&gt;brachiopods&lt;/keyword&gt;&lt;keyword&gt;climate change&lt;/keyword&gt;&lt;keyword&gt;glaciation&lt;/keyword&gt;&lt;keyword&gt;mass extinction&lt;/keyword&gt;&lt;keyword&gt;Ordovician&lt;/keyword&gt;&lt;keyword&gt;Silurian&lt;/keyword&gt;&lt;/keywords&gt;&lt;dates&gt;&lt;year&gt;2015&lt;/year&gt;&lt;pub-dates&gt;&lt;date&gt;2015/02/27&lt;/date&gt;&lt;/pub-dates&gt;&lt;/dates&gt;&lt;publisher&gt;Ecological Society of America&lt;/publisher&gt;&lt;isbn&gt;0012-9658&lt;/isbn&gt;&lt;urls&gt;&lt;related-urls&gt;&lt;url&gt;http://dx.doi.org/10.1890/14-1061.1&lt;/url&gt;&lt;url&gt;http://www.esajournals.org/doi/pdf/10.1890/14-1061.1&lt;/url&gt;&lt;/related-urls&gt;&lt;/urls&gt;&lt;electronic-resource-num&gt;10.1890/14-1061.1&lt;/electronic-resource-num&gt;&lt;access-date&gt;2014/08/05&lt;/access-date&gt;&lt;/record&gt;&lt;/Cite&gt;&lt;/EndNote&gt;</w:instrText>
      </w:r>
      <w:r w:rsidR="004D04CB">
        <w:rPr>
          <w:rFonts w:ascii="Times New Roman" w:hAnsi="Times New Roman"/>
          <w:noProof/>
          <w:szCs w:val="24"/>
        </w:rPr>
        <w:fldChar w:fldCharType="separate"/>
      </w:r>
      <w:r w:rsidR="004D04CB">
        <w:rPr>
          <w:rFonts w:ascii="Times New Roman" w:hAnsi="Times New Roman"/>
          <w:noProof/>
          <w:szCs w:val="24"/>
        </w:rPr>
        <w:t>Darroch and Wagner 2015</w:t>
      </w:r>
      <w:r w:rsidR="004D04CB">
        <w:rPr>
          <w:rFonts w:ascii="Times New Roman" w:hAnsi="Times New Roman"/>
          <w:noProof/>
          <w:szCs w:val="24"/>
        </w:rPr>
        <w:fldChar w:fldCharType="end"/>
      </w:r>
      <w:r w:rsidR="003A71D4">
        <w:rPr>
          <w:rFonts w:ascii="Times New Roman" w:hAnsi="Times New Roman"/>
          <w:noProof/>
          <w:szCs w:val="24"/>
        </w:rPr>
        <w:t xml:space="preserve">; </w:t>
      </w:r>
      <w:r w:rsidR="003A71D4">
        <w:rPr>
          <w:rFonts w:ascii="Times New Roman" w:hAnsi="Times New Roman"/>
          <w:noProof/>
          <w:szCs w:val="24"/>
        </w:rPr>
        <w:fldChar w:fldCharType="begin"/>
      </w:r>
      <w:r w:rsidR="003A71D4">
        <w:rPr>
          <w:rFonts w:ascii="Times New Roman" w:hAnsi="Times New Roman"/>
          <w:noProof/>
          <w:szCs w:val="24"/>
        </w:rPr>
        <w:instrText xml:space="preserve"> ADDIN EN.CITE &lt;EndNote&gt;&lt;Cite&gt;&lt;Author&gt;Wagner&lt;/Author&gt;&lt;Year&gt;in press&lt;/Year&gt;&lt;RecNum&gt;97&lt;/RecNum&gt;&lt;DisplayText&gt;Wagner et al. in press&lt;/DisplayText&gt;&lt;record&gt;&lt;rec-number&gt;97&lt;/rec-number&gt;&lt;foreign-keys&gt;&lt;key app="EN" db-id="r2savzrxwddstne9dvmp0wderfxdtarefrzr" timestamp="1520017719"&gt;97&lt;/key&gt;&lt;/foreign-keys&gt;&lt;ref-type name="Journal Article"&gt;17&lt;/ref-type&gt;&lt;contributors&gt;&lt;authors&gt;&lt;author&gt;Peter J. Wagner&lt;/author&gt;&lt;author&gt;Plotnick, Roy E.&lt;/author&gt;&lt;author&gt;Lyons, S. Kathleen&lt;/author&gt;&lt;/authors&gt;&lt;/contributors&gt;&lt;titles&gt;&lt;title&gt;Evidence for trait-based dominance in occupancy among fossil taxa and the decoupling of macroecological and macroevolutionary success&lt;/title&gt;&lt;secondary-title&gt;The American Naturalist&lt;/secondary-title&gt;&lt;/titles&gt;&lt;periodical&gt;&lt;full-title&gt;The American Naturalist&lt;/full-title&gt;&lt;/periodical&gt;&lt;dates&gt;&lt;year&gt;in press&lt;/year&gt;&lt;/dates&gt;&lt;urls&gt;&lt;/urls&gt;&lt;/record&gt;&lt;/Cite&gt;&lt;/EndNote&gt;</w:instrText>
      </w:r>
      <w:r w:rsidR="003A71D4">
        <w:rPr>
          <w:rFonts w:ascii="Times New Roman" w:hAnsi="Times New Roman"/>
          <w:noProof/>
          <w:szCs w:val="24"/>
        </w:rPr>
        <w:fldChar w:fldCharType="separate"/>
      </w:r>
      <w:r w:rsidR="003A71D4">
        <w:rPr>
          <w:rFonts w:ascii="Times New Roman" w:hAnsi="Times New Roman"/>
          <w:noProof/>
          <w:szCs w:val="24"/>
        </w:rPr>
        <w:t>Wagner et al. in press</w:t>
      </w:r>
      <w:r w:rsidR="003A71D4">
        <w:rPr>
          <w:rFonts w:ascii="Times New Roman" w:hAnsi="Times New Roman"/>
          <w:noProof/>
          <w:szCs w:val="24"/>
        </w:rPr>
        <w:fldChar w:fldCharType="end"/>
      </w:r>
      <w:r w:rsidRPr="00C7158D">
        <w:rPr>
          <w:rFonts w:ascii="Times New Roman" w:hAnsi="Times New Roman"/>
          <w:szCs w:val="24"/>
        </w:rPr>
        <w:t>.)  Thus, if there are three localities from Formation X within 1 km of each other, one “unique” locality is tallied for species occur</w:t>
      </w:r>
      <w:r>
        <w:rPr>
          <w:rFonts w:ascii="Times New Roman" w:hAnsi="Times New Roman"/>
          <w:szCs w:val="24"/>
        </w:rPr>
        <w:t xml:space="preserve">ring at those three localities. </w:t>
      </w:r>
      <w:r w:rsidRPr="002346AE">
        <w:rPr>
          <w:rFonts w:ascii="Times New Roman" w:hAnsi="Times New Roman"/>
          <w:szCs w:val="24"/>
        </w:rPr>
        <w:t xml:space="preserve">The result is that each locality effectively equals a </w:t>
      </w:r>
      <w:r w:rsidR="007566FD">
        <w:rPr>
          <w:rFonts w:ascii="Times New Roman" w:hAnsi="Times New Roman"/>
          <w:szCs w:val="24"/>
        </w:rPr>
        <w:t>two</w:t>
      </w:r>
      <w:r w:rsidRPr="002346AE">
        <w:rPr>
          <w:rFonts w:ascii="Times New Roman" w:hAnsi="Times New Roman"/>
          <w:szCs w:val="24"/>
        </w:rPr>
        <w:t>-kilometer diameter equal area bin.</w:t>
      </w:r>
      <w:r>
        <w:rPr>
          <w:rFonts w:ascii="Times New Roman" w:hAnsi="Times New Roman"/>
          <w:szCs w:val="24"/>
        </w:rPr>
        <w:t xml:space="preserve"> </w:t>
      </w:r>
    </w:p>
    <w:p w14:paraId="30DE331B" w14:textId="790F022F" w:rsidR="00FF08E6" w:rsidRPr="00C7158D" w:rsidRDefault="00FF08E6" w:rsidP="008A66AD">
      <w:pPr>
        <w:spacing w:line="480" w:lineRule="auto"/>
        <w:ind w:firstLine="360"/>
        <w:rPr>
          <w:rFonts w:ascii="Times New Roman" w:hAnsi="Times New Roman"/>
          <w:szCs w:val="24"/>
        </w:rPr>
      </w:pPr>
      <w:r w:rsidRPr="00C7158D">
        <w:rPr>
          <w:rFonts w:ascii="Times New Roman" w:hAnsi="Times New Roman"/>
          <w:szCs w:val="24"/>
        </w:rPr>
        <w:t>After “correcting” for binge-sampling, we analyze those species (and genera) representing 248</w:t>
      </w:r>
      <w:r w:rsidR="0061251F">
        <w:rPr>
          <w:rFonts w:ascii="Times New Roman" w:hAnsi="Times New Roman"/>
          <w:szCs w:val="24"/>
        </w:rPr>
        <w:t>,</w:t>
      </w:r>
      <w:r w:rsidRPr="00C7158D">
        <w:rPr>
          <w:rFonts w:ascii="Times New Roman" w:hAnsi="Times New Roman"/>
          <w:szCs w:val="24"/>
        </w:rPr>
        <w:t>938 occurrences from 28</w:t>
      </w:r>
      <w:r w:rsidR="0061251F">
        <w:rPr>
          <w:rFonts w:ascii="Times New Roman" w:hAnsi="Times New Roman"/>
          <w:szCs w:val="24"/>
        </w:rPr>
        <w:t>,</w:t>
      </w:r>
      <w:r w:rsidRPr="00C7158D">
        <w:rPr>
          <w:rFonts w:ascii="Times New Roman" w:hAnsi="Times New Roman"/>
          <w:szCs w:val="24"/>
        </w:rPr>
        <w:t>259 localities. Counting each combination of taxon and time independently (i.e., each genus that occurs in multiple bins is tallied for each bin), there were a total of 31,058 total combinations of genus and time bin</w:t>
      </w:r>
      <w:r>
        <w:rPr>
          <w:rFonts w:ascii="Times New Roman" w:hAnsi="Times New Roman"/>
          <w:szCs w:val="24"/>
        </w:rPr>
        <w:t xml:space="preserve">. </w:t>
      </w:r>
    </w:p>
    <w:p w14:paraId="69F96740" w14:textId="77777777" w:rsidR="00FF08E6" w:rsidRPr="007B3C31" w:rsidRDefault="00FF08E6" w:rsidP="008A66AD">
      <w:pPr>
        <w:spacing w:line="480" w:lineRule="auto"/>
        <w:jc w:val="center"/>
        <w:rPr>
          <w:rFonts w:ascii="Times New Roman" w:hAnsi="Times New Roman"/>
          <w:b/>
          <w:szCs w:val="24"/>
        </w:rPr>
      </w:pPr>
      <w:r w:rsidRPr="007B3C31">
        <w:rPr>
          <w:rFonts w:ascii="Times New Roman" w:hAnsi="Times New Roman"/>
          <w:b/>
          <w:szCs w:val="24"/>
        </w:rPr>
        <w:t>Methods</w:t>
      </w:r>
    </w:p>
    <w:p w14:paraId="1FFAEB87" w14:textId="667448CE" w:rsidR="00FF08E6" w:rsidRDefault="00FF08E6" w:rsidP="008A66AD">
      <w:pPr>
        <w:spacing w:line="480" w:lineRule="auto"/>
        <w:ind w:firstLine="360"/>
        <w:rPr>
          <w:rFonts w:ascii="Times New Roman" w:hAnsi="Times New Roman"/>
          <w:szCs w:val="24"/>
        </w:rPr>
      </w:pPr>
      <w:r w:rsidRPr="00C7158D">
        <w:rPr>
          <w:rFonts w:ascii="Times New Roman" w:hAnsi="Times New Roman"/>
          <w:szCs w:val="24"/>
        </w:rPr>
        <w:t>For each of the six focal classes, we rank each genus in each bin</w:t>
      </w:r>
      <w:r>
        <w:rPr>
          <w:rFonts w:ascii="Times New Roman" w:hAnsi="Times New Roman"/>
          <w:szCs w:val="24"/>
        </w:rPr>
        <w:t xml:space="preserve"> by number of occurrences. </w:t>
      </w:r>
      <w:r w:rsidR="007121E9">
        <w:rPr>
          <w:rFonts w:ascii="Times New Roman" w:hAnsi="Times New Roman"/>
          <w:szCs w:val="24"/>
        </w:rPr>
        <w:t>This includes both extinct and extant genera. W</w:t>
      </w:r>
      <w:r>
        <w:rPr>
          <w:rFonts w:ascii="Times New Roman" w:hAnsi="Times New Roman"/>
          <w:szCs w:val="24"/>
        </w:rPr>
        <w:t xml:space="preserve">e also rank genera within a pooled group of the classes. For our first analysis, we consider a genus to be dominant if it ranked within the top ten </w:t>
      </w:r>
      <w:r w:rsidR="00FD1625">
        <w:rPr>
          <w:rFonts w:ascii="Times New Roman" w:hAnsi="Times New Roman"/>
          <w:szCs w:val="24"/>
        </w:rPr>
        <w:t xml:space="preserve">or the top twenty </w:t>
      </w:r>
      <w:r>
        <w:rPr>
          <w:rFonts w:ascii="Times New Roman" w:hAnsi="Times New Roman"/>
          <w:szCs w:val="24"/>
        </w:rPr>
        <w:t xml:space="preserve">within its class. Because some classes had very low generic richness in some </w:t>
      </w:r>
      <w:r>
        <w:rPr>
          <w:rFonts w:ascii="Times New Roman" w:hAnsi="Times New Roman"/>
          <w:szCs w:val="24"/>
        </w:rPr>
        <w:lastRenderedPageBreak/>
        <w:t>bins (e.g., echinoids in Jurassic 3), we only use</w:t>
      </w:r>
      <w:r w:rsidRPr="00C7158D">
        <w:rPr>
          <w:rFonts w:ascii="Times New Roman" w:hAnsi="Times New Roman"/>
          <w:szCs w:val="24"/>
        </w:rPr>
        <w:t xml:space="preserve"> bins with at least forty genera in </w:t>
      </w:r>
      <w:r>
        <w:rPr>
          <w:rFonts w:ascii="Times New Roman" w:hAnsi="Times New Roman"/>
          <w:szCs w:val="24"/>
        </w:rPr>
        <w:t xml:space="preserve">both that bin and the prior one. The top ten typically captured between 15-20% of all occurrences for their class in a bin. </w:t>
      </w:r>
      <w:r w:rsidRPr="00C7158D">
        <w:rPr>
          <w:rFonts w:ascii="Times New Roman" w:hAnsi="Times New Roman"/>
          <w:szCs w:val="24"/>
        </w:rPr>
        <w:t>For analyses using all</w:t>
      </w:r>
      <w:r w:rsidR="00FD1625">
        <w:rPr>
          <w:rFonts w:ascii="Times New Roman" w:hAnsi="Times New Roman"/>
          <w:szCs w:val="24"/>
        </w:rPr>
        <w:t xml:space="preserve"> six classes, genera in the top </w:t>
      </w:r>
      <w:r>
        <w:rPr>
          <w:rFonts w:ascii="Times New Roman" w:hAnsi="Times New Roman"/>
          <w:szCs w:val="24"/>
        </w:rPr>
        <w:t>twenty</w:t>
      </w:r>
      <w:r w:rsidRPr="00C7158D">
        <w:rPr>
          <w:rFonts w:ascii="Times New Roman" w:hAnsi="Times New Roman"/>
          <w:szCs w:val="24"/>
        </w:rPr>
        <w:t xml:space="preserve"> (including those tied for #20) are considered </w:t>
      </w:r>
      <w:r>
        <w:rPr>
          <w:rFonts w:ascii="Times New Roman" w:hAnsi="Times New Roman"/>
          <w:szCs w:val="24"/>
        </w:rPr>
        <w:t>dominant.</w:t>
      </w:r>
      <w:r w:rsidR="00CE1FD4">
        <w:rPr>
          <w:rFonts w:ascii="Times New Roman" w:hAnsi="Times New Roman"/>
          <w:szCs w:val="24"/>
        </w:rPr>
        <w:t xml:space="preserve"> </w:t>
      </w:r>
    </w:p>
    <w:p w14:paraId="782A5562" w14:textId="704C568D" w:rsidR="00FF08E6" w:rsidRPr="00C7158D" w:rsidRDefault="00FF08E6" w:rsidP="008A66AD">
      <w:pPr>
        <w:spacing w:line="480" w:lineRule="auto"/>
        <w:ind w:firstLine="360"/>
        <w:rPr>
          <w:rFonts w:ascii="Times New Roman" w:hAnsi="Times New Roman"/>
          <w:szCs w:val="24"/>
        </w:rPr>
      </w:pPr>
      <w:r w:rsidRPr="00C7158D">
        <w:rPr>
          <w:rFonts w:ascii="Times New Roman" w:hAnsi="Times New Roman"/>
          <w:szCs w:val="24"/>
        </w:rPr>
        <w:t xml:space="preserve">As a measure of turnover among dominant genera, we determine how many </w:t>
      </w:r>
      <w:r>
        <w:rPr>
          <w:rFonts w:ascii="Times New Roman" w:hAnsi="Times New Roman"/>
          <w:szCs w:val="24"/>
        </w:rPr>
        <w:t>dominant</w:t>
      </w:r>
      <w:r w:rsidRPr="00C7158D">
        <w:rPr>
          <w:rFonts w:ascii="Times New Roman" w:hAnsi="Times New Roman"/>
          <w:szCs w:val="24"/>
        </w:rPr>
        <w:t xml:space="preserve"> gen</w:t>
      </w:r>
      <w:r>
        <w:rPr>
          <w:rFonts w:ascii="Times New Roman" w:hAnsi="Times New Roman"/>
          <w:szCs w:val="24"/>
        </w:rPr>
        <w:t>era in a bin are holdovers from that status in the</w:t>
      </w:r>
      <w:r w:rsidRPr="00C7158D">
        <w:rPr>
          <w:rFonts w:ascii="Times New Roman" w:hAnsi="Times New Roman"/>
          <w:szCs w:val="24"/>
        </w:rPr>
        <w:t xml:space="preserve"> previous bin, independent of exact rank in that group</w:t>
      </w:r>
      <w:r>
        <w:rPr>
          <w:rFonts w:ascii="Times New Roman" w:hAnsi="Times New Roman"/>
          <w:szCs w:val="24"/>
        </w:rPr>
        <w:t xml:space="preserve"> (</w:t>
      </w:r>
      <w:r w:rsidR="00F230EE">
        <w:rPr>
          <w:rFonts w:ascii="Times New Roman" w:hAnsi="Times New Roman"/>
          <w:szCs w:val="24"/>
        </w:rPr>
        <w:t>Fig.</w:t>
      </w:r>
      <w:r>
        <w:rPr>
          <w:rFonts w:ascii="Times New Roman" w:hAnsi="Times New Roman"/>
          <w:szCs w:val="24"/>
        </w:rPr>
        <w:t xml:space="preserve"> </w:t>
      </w:r>
      <w:r w:rsidR="00F230EE">
        <w:rPr>
          <w:rFonts w:ascii="Times New Roman" w:hAnsi="Times New Roman"/>
          <w:szCs w:val="24"/>
        </w:rPr>
        <w:t>2</w:t>
      </w:r>
      <w:r>
        <w:rPr>
          <w:rFonts w:ascii="Times New Roman" w:hAnsi="Times New Roman"/>
          <w:szCs w:val="24"/>
        </w:rPr>
        <w:t xml:space="preserve">A; Table </w:t>
      </w:r>
      <w:r w:rsidR="00F230EE">
        <w:rPr>
          <w:rFonts w:ascii="Times New Roman" w:hAnsi="Times New Roman"/>
          <w:szCs w:val="24"/>
        </w:rPr>
        <w:t>2</w:t>
      </w:r>
      <w:r>
        <w:rPr>
          <w:rFonts w:ascii="Times New Roman" w:hAnsi="Times New Roman"/>
          <w:szCs w:val="24"/>
        </w:rPr>
        <w:t>). For the combined classes, i</w:t>
      </w:r>
      <w:r w:rsidRPr="00C7158D">
        <w:rPr>
          <w:rFonts w:ascii="Times New Roman" w:hAnsi="Times New Roman"/>
          <w:szCs w:val="24"/>
        </w:rPr>
        <w:t xml:space="preserve">n cases where there are 2+ genera sharing the rank of #20, we add the proportion of #20 genera that are holdovers to the </w:t>
      </w:r>
      <w:r>
        <w:rPr>
          <w:rFonts w:ascii="Times New Roman" w:hAnsi="Times New Roman"/>
          <w:szCs w:val="24"/>
        </w:rPr>
        <w:t xml:space="preserve">number of the Top 19 that are. </w:t>
      </w:r>
      <w:r w:rsidRPr="00C7158D">
        <w:rPr>
          <w:rFonts w:ascii="Times New Roman" w:hAnsi="Times New Roman"/>
          <w:szCs w:val="24"/>
        </w:rPr>
        <w:t>So, if 9 of the top 19 are holdovers, and 3 of 5 genera tied at #20 are holdovers, then we tally 9+</w:t>
      </w:r>
      <w:r w:rsidRPr="00C7158D">
        <w:rPr>
          <w:rFonts w:ascii="Cambria Math" w:eastAsia="Calibri" w:hAnsi="Cambria Math" w:cs="Cambria Math"/>
          <w:szCs w:val="24"/>
        </w:rPr>
        <w:t>⅗</w:t>
      </w:r>
      <w:r w:rsidRPr="00C7158D">
        <w:rPr>
          <w:rFonts w:ascii="Times New Roman" w:hAnsi="Times New Roman"/>
          <w:szCs w:val="24"/>
        </w:rPr>
        <w:t>=9.6</w:t>
      </w:r>
      <w:r w:rsidR="00B3489F">
        <w:rPr>
          <w:rFonts w:ascii="Times New Roman" w:hAnsi="Times New Roman"/>
          <w:szCs w:val="24"/>
        </w:rPr>
        <w:t xml:space="preserve">. </w:t>
      </w:r>
      <w:r w:rsidR="00660173">
        <w:rPr>
          <w:rFonts w:ascii="Times New Roman" w:hAnsi="Times New Roman"/>
          <w:szCs w:val="24"/>
        </w:rPr>
        <w:t xml:space="preserve">To determine if the different classes show matching patterns of turnover, </w:t>
      </w:r>
      <w:r>
        <w:rPr>
          <w:rFonts w:ascii="Times New Roman" w:hAnsi="Times New Roman"/>
          <w:szCs w:val="24"/>
        </w:rPr>
        <w:t>we</w:t>
      </w:r>
      <w:r w:rsidRPr="00C7158D">
        <w:rPr>
          <w:rFonts w:ascii="Times New Roman" w:hAnsi="Times New Roman"/>
          <w:szCs w:val="24"/>
        </w:rPr>
        <w:t xml:space="preserve"> use Spearman rank correlation to measure associations among unlagged time series for the different classes (Table </w:t>
      </w:r>
      <w:r w:rsidR="00C721D6">
        <w:rPr>
          <w:rFonts w:ascii="Times New Roman" w:hAnsi="Times New Roman"/>
          <w:szCs w:val="24"/>
        </w:rPr>
        <w:t>3</w:t>
      </w:r>
      <w:r w:rsidRPr="00C7158D">
        <w:rPr>
          <w:rFonts w:ascii="Times New Roman" w:hAnsi="Times New Roman"/>
          <w:szCs w:val="24"/>
        </w:rPr>
        <w:t>).</w:t>
      </w:r>
      <w:r w:rsidR="00CE1FD4">
        <w:rPr>
          <w:rFonts w:ascii="Times New Roman" w:hAnsi="Times New Roman"/>
          <w:szCs w:val="24"/>
        </w:rPr>
        <w:t xml:space="preserve"> </w:t>
      </w:r>
      <w:r w:rsidR="00CE1FD4" w:rsidRPr="00EA54AA">
        <w:rPr>
          <w:rFonts w:ascii="Times New Roman" w:hAnsi="Times New Roman"/>
          <w:szCs w:val="24"/>
        </w:rPr>
        <w:t xml:space="preserve">We also performed an analysis where we examined turnover among the top 5% of all genera per bin for the combined classes </w:t>
      </w:r>
      <w:r w:rsidR="0061566E" w:rsidRPr="00EA54AA">
        <w:rPr>
          <w:rFonts w:ascii="Times New Roman" w:hAnsi="Times New Roman"/>
          <w:szCs w:val="24"/>
        </w:rPr>
        <w:t xml:space="preserve">and top 10% of all genera per bin for individual clades </w:t>
      </w:r>
      <w:r w:rsidR="00CE1FD4" w:rsidRPr="00EA54AA">
        <w:rPr>
          <w:rFonts w:ascii="Times New Roman" w:hAnsi="Times New Roman"/>
          <w:szCs w:val="24"/>
        </w:rPr>
        <w:t>(</w:t>
      </w:r>
      <w:r w:rsidR="00B2483E">
        <w:rPr>
          <w:rFonts w:ascii="Times New Roman" w:hAnsi="Times New Roman"/>
          <w:szCs w:val="24"/>
        </w:rPr>
        <w:t xml:space="preserve">Supp. </w:t>
      </w:r>
      <w:r w:rsidR="00CE1FD4" w:rsidRPr="00EA54AA">
        <w:rPr>
          <w:rFonts w:ascii="Times New Roman" w:hAnsi="Times New Roman"/>
          <w:szCs w:val="24"/>
        </w:rPr>
        <w:t>Fig</w:t>
      </w:r>
      <w:r w:rsidR="00B2483E">
        <w:rPr>
          <w:rFonts w:ascii="Times New Roman" w:hAnsi="Times New Roman"/>
          <w:szCs w:val="24"/>
        </w:rPr>
        <w:t>.</w:t>
      </w:r>
      <w:r w:rsidR="00CE1FD4" w:rsidRPr="00EA54AA">
        <w:rPr>
          <w:rFonts w:ascii="Times New Roman" w:hAnsi="Times New Roman"/>
          <w:szCs w:val="24"/>
        </w:rPr>
        <w:t xml:space="preserve"> 2).</w:t>
      </w:r>
      <w:r w:rsidR="0061566E" w:rsidRPr="00EA54AA">
        <w:rPr>
          <w:rFonts w:ascii="Times New Roman" w:hAnsi="Times New Roman"/>
          <w:szCs w:val="24"/>
        </w:rPr>
        <w:t xml:space="preserve">  H</w:t>
      </w:r>
      <w:r w:rsidR="0061566E">
        <w:rPr>
          <w:rFonts w:ascii="Times New Roman" w:hAnsi="Times New Roman"/>
          <w:szCs w:val="24"/>
        </w:rPr>
        <w:t>oldovers here are</w:t>
      </w:r>
      <w:r w:rsidR="00CE1FD4">
        <w:rPr>
          <w:rFonts w:ascii="Times New Roman" w:hAnsi="Times New Roman"/>
          <w:szCs w:val="24"/>
        </w:rPr>
        <w:t xml:space="preserve"> </w:t>
      </w:r>
      <w:r w:rsidR="0061566E">
        <w:rPr>
          <w:rFonts w:ascii="Times New Roman" w:hAnsi="Times New Roman"/>
          <w:szCs w:val="24"/>
        </w:rPr>
        <w:t xml:space="preserve">shared genera divided by the maximum possible shared genera: if one interval has 20 genera in the top 5% and the next has 22 genera, then they can share (at most) 20 genera.  </w:t>
      </w:r>
    </w:p>
    <w:p w14:paraId="0B1A8B6A" w14:textId="2C80371E" w:rsidR="00FF08E6" w:rsidRDefault="00FF08E6" w:rsidP="008A66AD">
      <w:pPr>
        <w:spacing w:line="480" w:lineRule="auto"/>
        <w:ind w:firstLine="360"/>
        <w:rPr>
          <w:rFonts w:ascii="Times New Roman" w:hAnsi="Times New Roman"/>
          <w:szCs w:val="24"/>
        </w:rPr>
      </w:pPr>
      <w:r w:rsidRPr="00C7158D">
        <w:rPr>
          <w:rFonts w:ascii="Times New Roman" w:hAnsi="Times New Roman"/>
          <w:szCs w:val="24"/>
        </w:rPr>
        <w:t xml:space="preserve"> </w:t>
      </w:r>
      <w:r w:rsidRPr="00EA54AA">
        <w:rPr>
          <w:rFonts w:ascii="Times New Roman" w:hAnsi="Times New Roman"/>
          <w:szCs w:val="24"/>
        </w:rPr>
        <w:t>In our second analysis, we consider a dominant genus to be one that</w:t>
      </w:r>
      <w:r w:rsidR="00E73F9E" w:rsidRPr="00EA54AA">
        <w:rPr>
          <w:rFonts w:ascii="Times New Roman" w:hAnsi="Times New Roman"/>
          <w:szCs w:val="24"/>
        </w:rPr>
        <w:t xml:space="preserve"> either </w:t>
      </w:r>
      <w:r w:rsidRPr="00EA54AA">
        <w:rPr>
          <w:rFonts w:ascii="Times New Roman" w:hAnsi="Times New Roman"/>
          <w:szCs w:val="24"/>
        </w:rPr>
        <w:t xml:space="preserve">reaches the top twenty </w:t>
      </w:r>
      <w:r w:rsidR="00E73F9E" w:rsidRPr="00EA54AA">
        <w:rPr>
          <w:rFonts w:ascii="Times New Roman" w:hAnsi="Times New Roman"/>
          <w:szCs w:val="24"/>
        </w:rPr>
        <w:t xml:space="preserve">or was among the top 5% </w:t>
      </w:r>
      <w:r w:rsidRPr="00EA54AA">
        <w:rPr>
          <w:rFonts w:ascii="Times New Roman" w:hAnsi="Times New Roman"/>
          <w:szCs w:val="24"/>
        </w:rPr>
        <w:t xml:space="preserve">for at least one bin </w:t>
      </w:r>
      <w:r w:rsidR="00E73F9E" w:rsidRPr="00EA54AA">
        <w:rPr>
          <w:rFonts w:ascii="Times New Roman" w:hAnsi="Times New Roman"/>
          <w:szCs w:val="24"/>
        </w:rPr>
        <w:t xml:space="preserve">within the </w:t>
      </w:r>
      <w:r w:rsidRPr="00EA54AA">
        <w:rPr>
          <w:rFonts w:ascii="Times New Roman" w:hAnsi="Times New Roman"/>
          <w:szCs w:val="24"/>
        </w:rPr>
        <w:t>combined six target classes</w:t>
      </w:r>
      <w:r w:rsidR="00E73F9E" w:rsidRPr="00EA54AA">
        <w:rPr>
          <w:rFonts w:ascii="Times New Roman" w:hAnsi="Times New Roman"/>
          <w:szCs w:val="24"/>
        </w:rPr>
        <w:t>.</w:t>
      </w:r>
      <w:r w:rsidR="00E73F9E">
        <w:rPr>
          <w:rFonts w:ascii="Times New Roman" w:hAnsi="Times New Roman"/>
          <w:szCs w:val="24"/>
        </w:rPr>
        <w:t xml:space="preserve"> </w:t>
      </w:r>
      <w:r w:rsidRPr="00C7158D">
        <w:rPr>
          <w:rFonts w:ascii="Times New Roman" w:hAnsi="Times New Roman"/>
          <w:szCs w:val="24"/>
        </w:rPr>
        <w:t xml:space="preserve">We calculate absolute rates of origination and extinction among only those genera </w:t>
      </w:r>
      <w:r>
        <w:rPr>
          <w:rFonts w:ascii="Times New Roman" w:hAnsi="Times New Roman"/>
          <w:szCs w:val="24"/>
        </w:rPr>
        <w:t xml:space="preserve">and only among the remaining genera. These rates </w:t>
      </w:r>
      <w:r w:rsidRPr="00C7158D">
        <w:rPr>
          <w:rFonts w:ascii="Times New Roman" w:hAnsi="Times New Roman"/>
          <w:szCs w:val="24"/>
        </w:rPr>
        <w:t>are comparable to similar rates calculated by other studies using the entire pool of genera (</w:t>
      </w:r>
      <w:r w:rsidR="00A13F3B">
        <w:rPr>
          <w:rFonts w:ascii="Times New Roman" w:hAnsi="Times New Roman"/>
          <w:noProof/>
          <w:szCs w:val="24"/>
        </w:rPr>
        <w:fldChar w:fldCharType="begin"/>
      </w:r>
      <w:r w:rsidR="00EA54AA">
        <w:rPr>
          <w:rFonts w:ascii="Times New Roman" w:hAnsi="Times New Roman"/>
          <w:noProof/>
          <w:szCs w:val="24"/>
        </w:rPr>
        <w:instrText xml:space="preserve"> ADDIN EN.CITE &lt;EndNote&gt;&lt;Cite&gt;&lt;Author&gt;Alroy&lt;/Author&gt;&lt;Year&gt;2008&lt;/Year&gt;&lt;RecNum&gt;25008&lt;/RecNum&gt;&lt;DisplayText&gt;Alroy et al. 2008&lt;/DisplayText&gt;&lt;record&gt;&lt;rec-number&gt;25008&lt;/rec-number&gt;&lt;foreign-keys&gt;&lt;key app="EN" db-id="wz00v599a2zpv4etvzgv2e93052sszxwve5v" timestamp="1503433479"&gt;25008&lt;/key&gt;&lt;/foreign-keys&gt;&lt;ref-type name="Journal Article"&gt;17&lt;/ref-type&gt;&lt;contributors&gt;&lt;authors&gt;&lt;author&gt;John Alroy&lt;/author&gt;&lt;author&gt;Martin Aberhan&lt;/author&gt;&lt;author&gt;David J. Bottjer&lt;/author&gt;&lt;author&gt;Michael Foote&lt;/author&gt;&lt;author&gt;F. T. Fürsich&lt;/author&gt;&lt;author&gt;P. J. Harries&lt;/author&gt;&lt;author&gt;A. J. W. Hendy&lt;/author&gt;&lt;author&gt;S. M. Holland&lt;/author&gt;&lt;author&gt;L. C. Ivany&lt;/author&gt;&lt;author&gt;W. Kiessling&lt;/author&gt;&lt;author&gt;M. A. Kosnik&lt;/author&gt;&lt;author&gt;C. R. Marshall&lt;/author&gt;&lt;author&gt;A. J. McGowan&lt;/author&gt;&lt;author&gt;A. I. Miller&lt;/author&gt;&lt;author&gt;T. D. Olszewski&lt;/author&gt;&lt;author&gt;M. E. Patzkowsky&lt;/author&gt;&lt;author&gt;S. E. Peters&lt;/author&gt;&lt;author&gt;L. Villier&lt;/author&gt;&lt;author&gt;P. J. Wagner&lt;/author&gt;&lt;author&gt;N. Bonuso&lt;/author&gt;&lt;author&gt;P. S. Borkow&lt;/author&gt;&lt;author&gt;B. Brenneis&lt;/author&gt;&lt;author&gt;M. E. Clapham&lt;/author&gt;&lt;author&gt;L. M. Fall&lt;/author&gt;&lt;author&gt;C. A. Ferguson&lt;/author&gt;&lt;author&gt;V. L. Hanson&lt;/author&gt;&lt;author&gt;A. Z. Krug&lt;/author&gt;&lt;author&gt;K. M. Layou&lt;/author&gt;&lt;author&gt;E. H. Leckey&lt;/author&gt;&lt;author&gt;S. Nürnberg&lt;/author&gt;&lt;author&gt;C. M. Powers&lt;/author&gt;&lt;author&gt;J. A. Sessa&lt;/author&gt;&lt;author&gt;C. Simpson&lt;/author&gt;&lt;author&gt;A. Tomasovych&lt;/author&gt;&lt;author&gt;C. C. Visaggi&lt;/author&gt;&lt;/authors&gt;&lt;/contributors&gt;&lt;titles&gt;&lt;title&gt;Phanerozoic trends in the global diversity of marine invertebrates&lt;/title&gt;&lt;secondary-title&gt;Science&lt;/secondary-title&gt;&lt;/titles&gt;&lt;periodical&gt;&lt;full-title&gt;Science&lt;/full-title&gt;&lt;/periodical&gt;&lt;pages&gt;97 - 100&lt;/pages&gt;&lt;volume&gt;321&lt;/volume&gt;&lt;section&gt;97&lt;/section&gt;&lt;dates&gt;&lt;year&gt;2008&lt;/year&gt;&lt;/dates&gt;&lt;urls&gt;&lt;/urls&gt;&lt;electronic-resource-num&gt;10.1126/science.1156963&lt;/electronic-resource-num&gt;&lt;/record&gt;&lt;/Cite&gt;&lt;/EndNote&gt;</w:instrText>
      </w:r>
      <w:r w:rsidR="00A13F3B">
        <w:rPr>
          <w:rFonts w:ascii="Times New Roman" w:hAnsi="Times New Roman"/>
          <w:noProof/>
          <w:szCs w:val="24"/>
        </w:rPr>
        <w:fldChar w:fldCharType="separate"/>
      </w:r>
      <w:r w:rsidR="00A13F3B">
        <w:rPr>
          <w:rFonts w:ascii="Times New Roman" w:hAnsi="Times New Roman"/>
          <w:noProof/>
          <w:szCs w:val="24"/>
        </w:rPr>
        <w:t>Alroy et al. 2008</w:t>
      </w:r>
      <w:r w:rsidR="00A13F3B">
        <w:rPr>
          <w:rFonts w:ascii="Times New Roman" w:hAnsi="Times New Roman"/>
          <w:noProof/>
          <w:szCs w:val="24"/>
        </w:rPr>
        <w:fldChar w:fldCharType="end"/>
      </w:r>
      <w:r w:rsidRPr="00C7158D">
        <w:rPr>
          <w:rFonts w:ascii="Times New Roman" w:hAnsi="Times New Roman"/>
          <w:szCs w:val="24"/>
        </w:rPr>
        <w:t>).</w:t>
      </w:r>
      <w:r w:rsidR="00CE1FD4">
        <w:rPr>
          <w:rFonts w:ascii="Times New Roman" w:hAnsi="Times New Roman"/>
          <w:szCs w:val="24"/>
        </w:rPr>
        <w:t xml:space="preserve"> </w:t>
      </w:r>
      <w:r w:rsidR="00E73F9E">
        <w:rPr>
          <w:rFonts w:ascii="Times New Roman" w:hAnsi="Times New Roman"/>
          <w:szCs w:val="24"/>
        </w:rPr>
        <w:t xml:space="preserve"> </w:t>
      </w:r>
    </w:p>
    <w:p w14:paraId="146309E6" w14:textId="1689F751" w:rsidR="00FF08E6" w:rsidRPr="00C7158D" w:rsidRDefault="00FF08E6" w:rsidP="008A66AD">
      <w:pPr>
        <w:spacing w:line="480" w:lineRule="auto"/>
        <w:ind w:firstLine="360"/>
        <w:rPr>
          <w:rFonts w:ascii="Times New Roman" w:hAnsi="Times New Roman"/>
          <w:szCs w:val="24"/>
        </w:rPr>
      </w:pPr>
      <w:r>
        <w:rPr>
          <w:rFonts w:ascii="Times New Roman" w:hAnsi="Times New Roman"/>
          <w:szCs w:val="24"/>
        </w:rPr>
        <w:t xml:space="preserve">Similarly, in the third analysis we again focus on the individual classes and consider a dominant genus to be any within the class that were </w:t>
      </w:r>
      <w:r w:rsidRPr="00C7158D">
        <w:rPr>
          <w:rFonts w:ascii="Times New Roman" w:hAnsi="Times New Roman"/>
          <w:szCs w:val="24"/>
        </w:rPr>
        <w:t>in the top ten for at least one bin</w:t>
      </w:r>
      <w:r>
        <w:rPr>
          <w:rFonts w:ascii="Times New Roman" w:hAnsi="Times New Roman"/>
          <w:szCs w:val="24"/>
        </w:rPr>
        <w:t>. W</w:t>
      </w:r>
      <w:r w:rsidRPr="00C7158D">
        <w:rPr>
          <w:rFonts w:ascii="Times New Roman" w:hAnsi="Times New Roman"/>
          <w:szCs w:val="24"/>
        </w:rPr>
        <w:t xml:space="preserve">e </w:t>
      </w:r>
      <w:r w:rsidRPr="00C7158D">
        <w:rPr>
          <w:rFonts w:ascii="Times New Roman" w:hAnsi="Times New Roman"/>
          <w:szCs w:val="24"/>
        </w:rPr>
        <w:lastRenderedPageBreak/>
        <w:t>consider only extinct genera that ra</w:t>
      </w:r>
      <w:r>
        <w:rPr>
          <w:rFonts w:ascii="Times New Roman" w:hAnsi="Times New Roman"/>
          <w:szCs w:val="24"/>
        </w:rPr>
        <w:t xml:space="preserve">nged over at least three bins. </w:t>
      </w:r>
      <w:r w:rsidRPr="00C7158D">
        <w:rPr>
          <w:rFonts w:ascii="Times New Roman" w:hAnsi="Times New Roman"/>
          <w:szCs w:val="24"/>
        </w:rPr>
        <w:t xml:space="preserve">Using extinct genera only restricted the study to taxa with (apparently) completed histories; note that this eliminates many high-ranked extant Cenozoic taxa, such as </w:t>
      </w:r>
      <w:r w:rsidRPr="00C7158D">
        <w:rPr>
          <w:rFonts w:ascii="Times New Roman" w:hAnsi="Times New Roman"/>
          <w:i/>
          <w:szCs w:val="24"/>
        </w:rPr>
        <w:t>Turritella</w:t>
      </w:r>
      <w:r w:rsidRPr="00C7158D">
        <w:rPr>
          <w:rFonts w:ascii="Times New Roman" w:hAnsi="Times New Roman"/>
          <w:szCs w:val="24"/>
        </w:rPr>
        <w:t>.</w:t>
      </w:r>
      <w:r>
        <w:rPr>
          <w:rFonts w:ascii="Times New Roman" w:hAnsi="Times New Roman"/>
          <w:szCs w:val="24"/>
        </w:rPr>
        <w:t xml:space="preserve"> </w:t>
      </w:r>
      <w:r w:rsidRPr="00C7158D">
        <w:rPr>
          <w:rFonts w:ascii="Times New Roman" w:hAnsi="Times New Roman"/>
          <w:szCs w:val="24"/>
        </w:rPr>
        <w:t xml:space="preserve">For every genus, we count how many times it was on the </w:t>
      </w:r>
      <w:r w:rsidR="00335A8C">
        <w:rPr>
          <w:rFonts w:ascii="Times New Roman" w:hAnsi="Times New Roman"/>
          <w:szCs w:val="24"/>
        </w:rPr>
        <w:t xml:space="preserve">top ten </w:t>
      </w:r>
      <w:r w:rsidRPr="00C7158D">
        <w:rPr>
          <w:rFonts w:ascii="Times New Roman" w:hAnsi="Times New Roman"/>
          <w:szCs w:val="24"/>
        </w:rPr>
        <w:t>list (</w:t>
      </w:r>
      <w:r w:rsidRPr="00C7158D">
        <w:rPr>
          <w:rFonts w:ascii="Times New Roman" w:hAnsi="Times New Roman"/>
          <w:i/>
          <w:szCs w:val="24"/>
        </w:rPr>
        <w:t>count)</w:t>
      </w:r>
      <w:r w:rsidRPr="00C7158D">
        <w:rPr>
          <w:rFonts w:ascii="Times New Roman" w:hAnsi="Times New Roman"/>
          <w:szCs w:val="24"/>
        </w:rPr>
        <w:t xml:space="preserve"> and the sum of its ranks within that list for those bins (</w:t>
      </w:r>
      <w:r w:rsidRPr="00C7158D">
        <w:rPr>
          <w:rFonts w:ascii="Times New Roman" w:hAnsi="Times New Roman"/>
          <w:i/>
          <w:szCs w:val="24"/>
        </w:rPr>
        <w:t>summed ranks</w:t>
      </w:r>
      <w:r w:rsidRPr="00C7158D">
        <w:rPr>
          <w:rFonts w:ascii="Times New Roman" w:hAnsi="Times New Roman"/>
          <w:szCs w:val="24"/>
        </w:rPr>
        <w:t xml:space="preserve">), where 10 = rank #1 </w:t>
      </w:r>
      <w:r w:rsidR="00335A8C">
        <w:rPr>
          <w:rFonts w:ascii="Times New Roman" w:hAnsi="Times New Roman"/>
          <w:szCs w:val="24"/>
        </w:rPr>
        <w:t xml:space="preserve">(most common) </w:t>
      </w:r>
      <w:r w:rsidRPr="00C7158D">
        <w:rPr>
          <w:rFonts w:ascii="Times New Roman" w:hAnsi="Times New Roman"/>
          <w:szCs w:val="24"/>
        </w:rPr>
        <w:t>in the bin to 1 for rank #10</w:t>
      </w:r>
      <w:r w:rsidR="00335A8C">
        <w:rPr>
          <w:rFonts w:ascii="Times New Roman" w:hAnsi="Times New Roman"/>
          <w:szCs w:val="24"/>
        </w:rPr>
        <w:t xml:space="preserve"> (tenth most common)</w:t>
      </w:r>
      <w:r w:rsidRPr="00C7158D">
        <w:rPr>
          <w:rFonts w:ascii="Times New Roman" w:hAnsi="Times New Roman"/>
          <w:szCs w:val="24"/>
        </w:rPr>
        <w:t xml:space="preserve">. Taxa with tied rankings are given the average ranking (e.g., 2.5 for two tied for second), allowing for non-integer ranks. For example, a genus that remains in the top ten for three bins and has ranks of 7, 2, and 4 within those bins would have a count of 3 and a summed rank of 20, whereas a genus that was ninth most dominant for a single bin would have a count of 1 and a summed rank of 2. High values of summed ranks and counts for a genus thus indicate greater dominance for longer periods of time. We produce frequency distributions of number of counts and of summed ranks for each taxonomic class. Because classes were of different total sizes, we divided total counts and the total summed ranks for each group by number of genera within the bins (Table </w:t>
      </w:r>
      <w:r w:rsidR="00C721D6">
        <w:rPr>
          <w:rFonts w:ascii="Times New Roman" w:hAnsi="Times New Roman"/>
          <w:szCs w:val="24"/>
        </w:rPr>
        <w:t>4)</w:t>
      </w:r>
      <w:r w:rsidRPr="00C7158D">
        <w:rPr>
          <w:rFonts w:ascii="Times New Roman" w:hAnsi="Times New Roman"/>
          <w:szCs w:val="24"/>
        </w:rPr>
        <w:t xml:space="preserve">. Higher mean values for both metrics represent greater persistence at higher rank for the genera in the class; e.g. lower turnover at the top ranks. </w:t>
      </w:r>
    </w:p>
    <w:p w14:paraId="367F6C5C" w14:textId="63A82E5F" w:rsidR="00FF08E6" w:rsidRPr="00C7158D" w:rsidRDefault="00FF08E6" w:rsidP="008A66AD">
      <w:pPr>
        <w:spacing w:line="480" w:lineRule="auto"/>
        <w:ind w:firstLine="360"/>
        <w:rPr>
          <w:rFonts w:ascii="Times New Roman" w:hAnsi="Times New Roman"/>
          <w:szCs w:val="24"/>
        </w:rPr>
      </w:pPr>
      <w:r>
        <w:rPr>
          <w:rFonts w:ascii="Times New Roman" w:hAnsi="Times New Roman"/>
          <w:szCs w:val="24"/>
        </w:rPr>
        <w:t>In the next two analyses, we again use the combined six target classes and define a dominant genus as one that r</w:t>
      </w:r>
      <w:r w:rsidRPr="00C7158D">
        <w:rPr>
          <w:rFonts w:ascii="Times New Roman" w:hAnsi="Times New Roman"/>
          <w:szCs w:val="24"/>
        </w:rPr>
        <w:t>each</w:t>
      </w:r>
      <w:r>
        <w:rPr>
          <w:rFonts w:ascii="Times New Roman" w:hAnsi="Times New Roman"/>
          <w:szCs w:val="24"/>
        </w:rPr>
        <w:t>es</w:t>
      </w:r>
      <w:r w:rsidRPr="00C7158D">
        <w:rPr>
          <w:rFonts w:ascii="Times New Roman" w:hAnsi="Times New Roman"/>
          <w:szCs w:val="24"/>
        </w:rPr>
        <w:t xml:space="preserve"> the top twenty for at least one bin</w:t>
      </w:r>
      <w:r>
        <w:rPr>
          <w:rFonts w:ascii="Times New Roman" w:hAnsi="Times New Roman"/>
          <w:szCs w:val="24"/>
        </w:rPr>
        <w:t xml:space="preserve">. </w:t>
      </w:r>
      <w:r w:rsidRPr="00C7158D">
        <w:rPr>
          <w:rFonts w:ascii="Times New Roman" w:hAnsi="Times New Roman"/>
          <w:szCs w:val="24"/>
        </w:rPr>
        <w:t xml:space="preserve">We divide the number of occurrences for each genus by that of the most dominant genus in that interval to calculate the </w:t>
      </w:r>
      <w:r w:rsidRPr="00C7158D">
        <w:rPr>
          <w:rFonts w:ascii="Times New Roman" w:hAnsi="Times New Roman"/>
          <w:i/>
          <w:szCs w:val="24"/>
        </w:rPr>
        <w:t>proportion of maximum occurrences per interval</w:t>
      </w:r>
      <w:r w:rsidRPr="00C7158D">
        <w:rPr>
          <w:rFonts w:ascii="Times New Roman" w:hAnsi="Times New Roman"/>
          <w:szCs w:val="24"/>
        </w:rPr>
        <w:t xml:space="preserve">; e.g., a value of 0.2 means a genus has 20% of the occurrences of the most </w:t>
      </w:r>
      <w:r>
        <w:rPr>
          <w:rFonts w:ascii="Times New Roman" w:hAnsi="Times New Roman"/>
          <w:szCs w:val="24"/>
        </w:rPr>
        <w:t>common</w:t>
      </w:r>
      <w:r w:rsidRPr="00C7158D">
        <w:rPr>
          <w:rFonts w:ascii="Times New Roman" w:hAnsi="Times New Roman"/>
          <w:szCs w:val="24"/>
        </w:rPr>
        <w:t xml:space="preserve"> one in that bin. Unsampled range-through genera are included, with a score of 0%</w:t>
      </w:r>
      <w:r w:rsidR="00B3489F">
        <w:rPr>
          <w:rFonts w:ascii="Times New Roman" w:hAnsi="Times New Roman"/>
          <w:szCs w:val="24"/>
        </w:rPr>
        <w:t xml:space="preserve">. </w:t>
      </w:r>
      <w:r w:rsidRPr="00C7158D">
        <w:rPr>
          <w:rFonts w:ascii="Times New Roman" w:hAnsi="Times New Roman"/>
          <w:szCs w:val="24"/>
        </w:rPr>
        <w:t>We rescale occurrences relative to the most commonly occurring genus for two reasons</w:t>
      </w:r>
      <w:r w:rsidR="00B3489F">
        <w:rPr>
          <w:rFonts w:ascii="Times New Roman" w:hAnsi="Times New Roman"/>
          <w:szCs w:val="24"/>
        </w:rPr>
        <w:t xml:space="preserve">. </w:t>
      </w:r>
      <w:r w:rsidRPr="00C7158D">
        <w:rPr>
          <w:rFonts w:ascii="Times New Roman" w:hAnsi="Times New Roman"/>
          <w:szCs w:val="24"/>
        </w:rPr>
        <w:t xml:space="preserve">One, we expect the most common genus in an interval with 1000 collections to have about twice the occurrences of the most common genus in an interval with </w:t>
      </w:r>
      <w:r w:rsidRPr="00C7158D">
        <w:rPr>
          <w:rFonts w:ascii="Times New Roman" w:hAnsi="Times New Roman"/>
          <w:szCs w:val="24"/>
        </w:rPr>
        <w:lastRenderedPageBreak/>
        <w:t>500 collections</w:t>
      </w:r>
      <w:r w:rsidR="00B3489F">
        <w:rPr>
          <w:rFonts w:ascii="Times New Roman" w:hAnsi="Times New Roman"/>
          <w:szCs w:val="24"/>
        </w:rPr>
        <w:t xml:space="preserve">. </w:t>
      </w:r>
      <w:r w:rsidRPr="00C7158D">
        <w:rPr>
          <w:rFonts w:ascii="Times New Roman" w:hAnsi="Times New Roman"/>
          <w:szCs w:val="24"/>
        </w:rPr>
        <w:t>Two, we expect the most common genus in a bin with high beta diversity to have fewer occurrences than the most common genus in a bin with low beta diversity</w:t>
      </w:r>
      <w:r w:rsidR="00B3489F">
        <w:rPr>
          <w:rFonts w:ascii="Times New Roman" w:hAnsi="Times New Roman"/>
          <w:szCs w:val="24"/>
        </w:rPr>
        <w:t xml:space="preserve">. </w:t>
      </w:r>
      <w:r w:rsidRPr="00C7158D">
        <w:rPr>
          <w:rFonts w:ascii="Times New Roman" w:hAnsi="Times New Roman"/>
          <w:szCs w:val="24"/>
        </w:rPr>
        <w:t>Thus, this “relative dominance” offers a partial correction for both sampling and biological factors affecting how many occurrences we expect from comparably dominant genera in different time bins.</w:t>
      </w:r>
      <w:r>
        <w:rPr>
          <w:rFonts w:ascii="Times New Roman" w:hAnsi="Times New Roman"/>
          <w:szCs w:val="24"/>
        </w:rPr>
        <w:t xml:space="preserve"> </w:t>
      </w:r>
      <w:r w:rsidRPr="00C7158D">
        <w:rPr>
          <w:rFonts w:ascii="Times New Roman" w:hAnsi="Times New Roman"/>
          <w:szCs w:val="24"/>
        </w:rPr>
        <w:t>We did this for taxa with durations of three to eleven bins (</w:t>
      </w:r>
      <w:r w:rsidR="00F230EE">
        <w:rPr>
          <w:rFonts w:ascii="Times New Roman" w:hAnsi="Times New Roman"/>
          <w:szCs w:val="24"/>
        </w:rPr>
        <w:t>Fig.</w:t>
      </w:r>
      <w:r w:rsidRPr="00C7158D">
        <w:rPr>
          <w:rFonts w:ascii="Times New Roman" w:hAnsi="Times New Roman"/>
          <w:szCs w:val="24"/>
        </w:rPr>
        <w:t xml:space="preserve"> 3). Thus, for all genera that persisted for three bins (regardless of whether those three bins were in the Ordovician or the Cenozoic), we determined the relative dominance in bins 1, 2, and 3 for both the </w:t>
      </w:r>
      <w:r>
        <w:rPr>
          <w:rFonts w:ascii="Times New Roman" w:hAnsi="Times New Roman"/>
          <w:szCs w:val="24"/>
        </w:rPr>
        <w:t>dominant</w:t>
      </w:r>
      <w:r w:rsidRPr="00C7158D">
        <w:rPr>
          <w:rFonts w:ascii="Times New Roman" w:hAnsi="Times New Roman"/>
          <w:szCs w:val="24"/>
        </w:rPr>
        <w:t xml:space="preserve"> (</w:t>
      </w:r>
      <w:r w:rsidR="00F230EE">
        <w:rPr>
          <w:rFonts w:ascii="Times New Roman" w:hAnsi="Times New Roman"/>
          <w:szCs w:val="24"/>
        </w:rPr>
        <w:t>Fig.</w:t>
      </w:r>
      <w:r w:rsidRPr="00C7158D">
        <w:rPr>
          <w:rFonts w:ascii="Times New Roman" w:hAnsi="Times New Roman"/>
          <w:szCs w:val="24"/>
        </w:rPr>
        <w:t xml:space="preserve"> </w:t>
      </w:r>
      <w:r w:rsidR="00C721D6">
        <w:rPr>
          <w:rFonts w:ascii="Times New Roman" w:hAnsi="Times New Roman"/>
          <w:szCs w:val="24"/>
        </w:rPr>
        <w:t>4</w:t>
      </w:r>
      <w:r w:rsidRPr="00C7158D">
        <w:rPr>
          <w:rFonts w:ascii="Times New Roman" w:hAnsi="Times New Roman"/>
          <w:szCs w:val="24"/>
        </w:rPr>
        <w:t>, grey boxes) and</w:t>
      </w:r>
      <w:r>
        <w:rPr>
          <w:rFonts w:ascii="Times New Roman" w:hAnsi="Times New Roman"/>
          <w:szCs w:val="24"/>
        </w:rPr>
        <w:t xml:space="preserve"> rarer</w:t>
      </w:r>
      <w:r w:rsidRPr="00C7158D">
        <w:rPr>
          <w:rFonts w:ascii="Times New Roman" w:hAnsi="Times New Roman"/>
          <w:szCs w:val="24"/>
        </w:rPr>
        <w:t xml:space="preserve"> g</w:t>
      </w:r>
      <w:r>
        <w:rPr>
          <w:rFonts w:ascii="Times New Roman" w:hAnsi="Times New Roman"/>
          <w:szCs w:val="24"/>
        </w:rPr>
        <w:t>enera (</w:t>
      </w:r>
      <w:r w:rsidR="00F230EE">
        <w:rPr>
          <w:rFonts w:ascii="Times New Roman" w:hAnsi="Times New Roman"/>
          <w:szCs w:val="24"/>
        </w:rPr>
        <w:t>Fig.</w:t>
      </w:r>
      <w:r>
        <w:rPr>
          <w:rFonts w:ascii="Times New Roman" w:hAnsi="Times New Roman"/>
          <w:szCs w:val="24"/>
        </w:rPr>
        <w:t xml:space="preserve"> </w:t>
      </w:r>
      <w:r w:rsidR="00C721D6">
        <w:rPr>
          <w:rFonts w:ascii="Times New Roman" w:hAnsi="Times New Roman"/>
          <w:szCs w:val="24"/>
        </w:rPr>
        <w:t>4</w:t>
      </w:r>
      <w:r>
        <w:rPr>
          <w:rFonts w:ascii="Times New Roman" w:hAnsi="Times New Roman"/>
          <w:szCs w:val="24"/>
        </w:rPr>
        <w:t xml:space="preserve">, white boxes). </w:t>
      </w:r>
      <w:r w:rsidRPr="00C7158D">
        <w:rPr>
          <w:rFonts w:ascii="Times New Roman" w:hAnsi="Times New Roman"/>
          <w:szCs w:val="24"/>
        </w:rPr>
        <w:t xml:space="preserve">If a genus is very common relative to the most common contemporaneous genus when it first appears, then it will have a high value in the first bin; conversely, a high value in the last bin implies the genus was very common relative to the most common genus when it was last sampled. We calculate the medians of the frequency distributions for the top twenty (asterisks) and the remaining genera (crosses). This analysis allows us to assess whether there is a difference in the trajectories of relative dominance between </w:t>
      </w:r>
      <w:r>
        <w:rPr>
          <w:rFonts w:ascii="Times New Roman" w:hAnsi="Times New Roman"/>
          <w:szCs w:val="24"/>
        </w:rPr>
        <w:t xml:space="preserve">dominant and rarer </w:t>
      </w:r>
      <w:r w:rsidRPr="00C7158D">
        <w:rPr>
          <w:rFonts w:ascii="Times New Roman" w:hAnsi="Times New Roman"/>
          <w:szCs w:val="24"/>
        </w:rPr>
        <w:t>genera and whether there are differences between short-ranged and long-ranged genera. We also compared the ranks of common and less common genera at the times of first and last appearance (</w:t>
      </w:r>
      <w:r w:rsidR="00F230EE">
        <w:rPr>
          <w:rFonts w:ascii="Times New Roman" w:hAnsi="Times New Roman"/>
          <w:szCs w:val="24"/>
        </w:rPr>
        <w:t>Fig.</w:t>
      </w:r>
      <w:r w:rsidRPr="00C7158D">
        <w:rPr>
          <w:rFonts w:ascii="Times New Roman" w:hAnsi="Times New Roman"/>
          <w:szCs w:val="24"/>
        </w:rPr>
        <w:t xml:space="preserve"> </w:t>
      </w:r>
      <w:r w:rsidR="00C721D6">
        <w:rPr>
          <w:rFonts w:ascii="Times New Roman" w:hAnsi="Times New Roman"/>
          <w:szCs w:val="24"/>
        </w:rPr>
        <w:t>5</w:t>
      </w:r>
      <w:r w:rsidRPr="00C7158D">
        <w:rPr>
          <w:rFonts w:ascii="Times New Roman" w:hAnsi="Times New Roman"/>
          <w:szCs w:val="24"/>
        </w:rPr>
        <w:t xml:space="preserve">). </w:t>
      </w:r>
    </w:p>
    <w:p w14:paraId="516CDAEA" w14:textId="4DE1159C" w:rsidR="00FF08E6" w:rsidRPr="00C7158D" w:rsidRDefault="00FF08E6" w:rsidP="008A66AD">
      <w:pPr>
        <w:spacing w:line="480" w:lineRule="auto"/>
        <w:ind w:firstLine="360"/>
        <w:rPr>
          <w:rFonts w:ascii="Times New Roman" w:hAnsi="Times New Roman"/>
          <w:szCs w:val="24"/>
        </w:rPr>
      </w:pPr>
      <w:r>
        <w:rPr>
          <w:rFonts w:ascii="Times New Roman" w:hAnsi="Times New Roman"/>
          <w:szCs w:val="24"/>
        </w:rPr>
        <w:t>In our final analysis, we use center-of-gravity (CG)</w:t>
      </w:r>
      <w:r w:rsidRPr="00C7158D">
        <w:rPr>
          <w:rFonts w:ascii="Times New Roman" w:hAnsi="Times New Roman"/>
          <w:szCs w:val="24"/>
        </w:rPr>
        <w:t xml:space="preserve"> statistics </w:t>
      </w:r>
      <w:r>
        <w:rPr>
          <w:rFonts w:ascii="Times New Roman" w:hAnsi="Times New Roman"/>
          <w:szCs w:val="24"/>
        </w:rPr>
        <w:t xml:space="preserve">to examine the patterns of rise-and-fall of the dominant and rarer taxa in the combined six classes. CG statistics are </w:t>
      </w:r>
      <w:r w:rsidRPr="00C7158D">
        <w:rPr>
          <w:rFonts w:ascii="Times New Roman" w:hAnsi="Times New Roman"/>
          <w:szCs w:val="24"/>
        </w:rPr>
        <w:t>often a</w:t>
      </w:r>
      <w:r>
        <w:rPr>
          <w:rFonts w:ascii="Times New Roman" w:hAnsi="Times New Roman"/>
          <w:szCs w:val="24"/>
        </w:rPr>
        <w:t xml:space="preserve"> </w:t>
      </w:r>
      <w:r w:rsidRPr="00C7158D">
        <w:rPr>
          <w:rFonts w:ascii="Times New Roman" w:hAnsi="Times New Roman"/>
          <w:szCs w:val="24"/>
        </w:rPr>
        <w:t>used to assess the symmetry</w:t>
      </w:r>
      <w:r>
        <w:rPr>
          <w:rFonts w:ascii="Times New Roman" w:hAnsi="Times New Roman"/>
          <w:szCs w:val="24"/>
        </w:rPr>
        <w:t xml:space="preserve"> of</w:t>
      </w:r>
      <w:r w:rsidRPr="00C7158D">
        <w:rPr>
          <w:rFonts w:ascii="Times New Roman" w:hAnsi="Times New Roman"/>
          <w:szCs w:val="24"/>
        </w:rPr>
        <w:t xml:space="preserve"> historical patterns of richness (e.g., </w:t>
      </w:r>
      <w:r w:rsidR="004D04CB">
        <w:rPr>
          <w:rFonts w:ascii="Times New Roman" w:hAnsi="Times New Roman"/>
          <w:noProof/>
          <w:szCs w:val="24"/>
        </w:rPr>
        <w:fldChar w:fldCharType="begin"/>
      </w:r>
      <w:r w:rsidR="004D04CB">
        <w:rPr>
          <w:rFonts w:ascii="Times New Roman" w:hAnsi="Times New Roman"/>
          <w:noProof/>
          <w:szCs w:val="24"/>
        </w:rPr>
        <w:instrText xml:space="preserve"> ADDIN EN.CITE &lt;EndNote&gt;&lt;Cite&gt;&lt;Author&gt;Gould&lt;/Author&gt;&lt;Year&gt;1987&lt;/Year&gt;&lt;RecNum&gt;45&lt;/RecNum&gt;&lt;DisplayText&gt;Gould et al. 1987&lt;/DisplayText&gt;&lt;record&gt;&lt;rec-number&gt;45&lt;/rec-number&gt;&lt;foreign-keys&gt;&lt;key app="EN" db-id="r2savzrxwddstne9dvmp0wderfxdtarefrzr" timestamp="1497638016"&gt;45&lt;/key&gt;&lt;/foreign-keys&gt;&lt;ref-type name="Journal Article"&gt;17&lt;/ref-type&gt;&lt;contributors&gt;&lt;authors&gt;&lt;author&gt;Gould, Stephen J.&lt;/author&gt;&lt;author&gt;Gilinsky, Norman L.&lt;/author&gt;&lt;author&gt;German, Rebecca Z.&lt;/author&gt;&lt;/authors&gt;&lt;/contributors&gt;&lt;titles&gt;&lt;title&gt;Asymmetry of lineages and the direction of evolutionary time&lt;/title&gt;&lt;secondary-title&gt;Science&lt;/secondary-title&gt;&lt;/titles&gt;&lt;periodical&gt;&lt;full-title&gt;Science&lt;/full-title&gt;&lt;/periodical&gt;&lt;pages&gt;1437 - 1441&lt;/pages&gt;&lt;volume&gt;236&lt;/volume&gt;&lt;section&gt;1437&lt;/section&gt;&lt;keywords&gt;&lt;keyword&gt;Diversity Patterns&lt;/keyword&gt;&lt;keyword&gt;Evolutionary Trends&lt;/keyword&gt;&lt;keyword&gt;Evolutionary Progress&lt;/keyword&gt;&lt;/keywords&gt;&lt;dates&gt;&lt;year&gt;1987&lt;/year&gt;&lt;/dates&gt;&lt;label&gt;494&lt;/label&gt;&lt;urls&gt;&lt;/urls&gt;&lt;/record&gt;&lt;/Cite&gt;&lt;/EndNote&gt;</w:instrText>
      </w:r>
      <w:r w:rsidR="004D04CB">
        <w:rPr>
          <w:rFonts w:ascii="Times New Roman" w:hAnsi="Times New Roman"/>
          <w:noProof/>
          <w:szCs w:val="24"/>
        </w:rPr>
        <w:fldChar w:fldCharType="separate"/>
      </w:r>
      <w:r w:rsidR="004D04CB">
        <w:rPr>
          <w:rFonts w:ascii="Times New Roman" w:hAnsi="Times New Roman"/>
          <w:noProof/>
          <w:szCs w:val="24"/>
        </w:rPr>
        <w:t>Gould et al. 1987</w:t>
      </w:r>
      <w:r w:rsidR="004D04CB">
        <w:rPr>
          <w:rFonts w:ascii="Times New Roman" w:hAnsi="Times New Roman"/>
          <w:noProof/>
          <w:szCs w:val="24"/>
        </w:rPr>
        <w:fldChar w:fldCharType="end"/>
      </w:r>
      <w:r w:rsidRPr="00C7158D">
        <w:rPr>
          <w:rFonts w:ascii="Times New Roman" w:hAnsi="Times New Roman"/>
          <w:szCs w:val="24"/>
        </w:rPr>
        <w:t xml:space="preserve">; </w:t>
      </w:r>
      <w:r w:rsidR="004D04CB">
        <w:rPr>
          <w:rFonts w:ascii="Times New Roman" w:hAnsi="Times New Roman"/>
          <w:szCs w:val="24"/>
        </w:rPr>
        <w:fldChar w:fldCharType="begin"/>
      </w:r>
      <w:r w:rsidR="004D04CB">
        <w:rPr>
          <w:rFonts w:ascii="Times New Roman" w:hAnsi="Times New Roman"/>
          <w:szCs w:val="24"/>
        </w:rPr>
        <w:instrText xml:space="preserve"> ADDIN EN.CITE &lt;EndNote&gt;&lt;Cite&gt;&lt;Author&gt;Uhen&lt;/Author&gt;&lt;Year&gt;1996&lt;/Year&gt;&lt;RecNum&gt;33&lt;/RecNum&gt;&lt;DisplayText&gt;Uhen 1996&lt;/DisplayText&gt;&lt;record&gt;&lt;rec-number&gt;33&lt;/rec-number&gt;&lt;foreign-keys&gt;&lt;key app="EN" db-id="r2savzrxwddstne9dvmp0wderfxdtarefrzr" timestamp="1493841983"&gt;33&lt;/key&gt;&lt;/foreign-keys&gt;&lt;ref-type name="Journal Article"&gt;17&lt;/ref-type&gt;&lt;contributors&gt;&lt;authors&gt;&lt;author&gt;Mark D. Uhen&lt;/author&gt;&lt;/authors&gt;&lt;/contributors&gt;&lt;titles&gt;&lt;title&gt;An evaluation of clade-shape statistics using simulations and extinct families of mammals&lt;/title&gt;&lt;secondary-title&gt;Paleobiology&lt;/secondary-title&gt;&lt;/titles&gt;&lt;periodical&gt;&lt;full-title&gt;Paleobiology&lt;/full-title&gt;&lt;/periodical&gt;&lt;pages&gt;8 - 22&lt;/pages&gt;&lt;volume&gt;22&lt;/volume&gt;&lt;number&gt;1&lt;/number&gt;&lt;section&gt;8&lt;/section&gt;&lt;keywords&gt;&lt;keyword&gt;Clade Shape&lt;/keyword&gt;&lt;keyword&gt;Diversity Patterns&lt;/keyword&gt;&lt;keyword&gt;Paraphyla&lt;/keyword&gt;&lt;keyword&gt;Monophyla&lt;/keyword&gt;&lt;keyword&gt;Mammals&lt;/keyword&gt;&lt;keyword&gt;Simulations&lt;/keyword&gt;&lt;/keywords&gt;&lt;dates&gt;&lt;year&gt;1996&lt;/year&gt;&lt;pub-dates&gt;&lt;date&gt;&lt;style face="normal" font="default" size="100%"&gt;1996&lt;/style&gt;&lt;style face="normal" font="default" size="12"&gt;/&lt;/style&gt;&lt;style face="normal" font="default" size="100%"&gt;02&lt;/style&gt;&lt;/date&gt;&lt;/pub-dates&gt;&lt;/dates&gt;&lt;label&gt;2015&lt;/label&gt;&lt;urls&gt;&lt;/urls&gt;&lt;electronic-resource-num&gt;10.1666/0094-8373-22.1.8&lt;/electronic-resource-num&gt;&lt;/record&gt;&lt;/Cite&gt;&lt;/EndNote&gt;</w:instrText>
      </w:r>
      <w:r w:rsidR="004D04CB">
        <w:rPr>
          <w:rFonts w:ascii="Times New Roman" w:hAnsi="Times New Roman"/>
          <w:szCs w:val="24"/>
        </w:rPr>
        <w:fldChar w:fldCharType="separate"/>
      </w:r>
      <w:r w:rsidR="004D04CB">
        <w:rPr>
          <w:rFonts w:ascii="Times New Roman" w:hAnsi="Times New Roman"/>
          <w:noProof/>
          <w:szCs w:val="24"/>
        </w:rPr>
        <w:t>Uhen 1996</w:t>
      </w:r>
      <w:r w:rsidR="004D04CB">
        <w:rPr>
          <w:rFonts w:ascii="Times New Roman" w:hAnsi="Times New Roman"/>
          <w:szCs w:val="24"/>
        </w:rPr>
        <w:fldChar w:fldCharType="end"/>
      </w:r>
      <w:r w:rsidRPr="00C7158D">
        <w:rPr>
          <w:rFonts w:ascii="Times New Roman" w:hAnsi="Times New Roman"/>
          <w:szCs w:val="24"/>
        </w:rPr>
        <w:t xml:space="preserve">) and morphological disparity (e.g., </w:t>
      </w:r>
      <w:r w:rsidR="004D04CB">
        <w:rPr>
          <w:rFonts w:ascii="Times New Roman" w:hAnsi="Times New Roman"/>
          <w:noProof/>
          <w:szCs w:val="24"/>
        </w:rPr>
        <w:fldChar w:fldCharType="begin"/>
      </w:r>
      <w:r w:rsidR="004D04CB">
        <w:rPr>
          <w:rFonts w:ascii="Times New Roman" w:hAnsi="Times New Roman"/>
          <w:noProof/>
          <w:szCs w:val="24"/>
        </w:rPr>
        <w:instrText xml:space="preserve"> ADDIN EN.CITE &lt;EndNote&gt;&lt;Cite&gt;&lt;Author&gt;Foote&lt;/Author&gt;&lt;Year&gt;1992&lt;/Year&gt;&lt;RecNum&gt;44&lt;/RecNum&gt;&lt;DisplayText&gt;Foote 1992&lt;/DisplayText&gt;&lt;record&gt;&lt;rec-number&gt;44&lt;/rec-number&gt;&lt;foreign-keys&gt;&lt;key app="EN" db-id="r2savzrxwddstne9dvmp0wderfxdtarefrzr" timestamp="1497637713"&gt;44&lt;/key&gt;&lt;/foreign-keys&gt;&lt;ref-type name="Journal Article"&gt;17&lt;/ref-type&gt;&lt;contributors&gt;&lt;authors&gt;&lt;author&gt;Foote, Mike&lt;/author&gt;&lt;/authors&gt;&lt;/contributors&gt;&lt;titles&gt;&lt;title&gt;Paleozoic record of morphological diversity in blastozoan echinoderms&lt;/title&gt;&lt;secondary-title&gt;Proceedings of the National Academy of Sciences, USA&lt;/secondary-title&gt;&lt;/titles&gt;&lt;periodical&gt;&lt;full-title&gt;Proceedings of the National Academy of Sciences, USA&lt;/full-title&gt;&lt;/periodical&gt;&lt;pages&gt;7325 - 7329&lt;/pages&gt;&lt;volume&gt;89&lt;/volume&gt;&lt;number&gt;16&lt;/number&gt;&lt;section&gt;7325&lt;/section&gt;&lt;keywords&gt;&lt;keyword&gt;Morphospace&lt;/keyword&gt;&lt;keyword&gt;Morphologic Diversity&lt;/keyword&gt;&lt;keyword&gt;Phyletic Diversity&lt;/keyword&gt;&lt;keyword&gt;Clade Shape&lt;/keyword&gt;&lt;keyword&gt;Cambrian&lt;/keyword&gt;&lt;keyword&gt;Ordovician&lt;/keyword&gt;&lt;keyword&gt;Blastozoans&lt;/keyword&gt;&lt;keyword&gt;Echinoderms&lt;/keyword&gt;&lt;/keywords&gt;&lt;dates&gt;&lt;year&gt;1992&lt;/year&gt;&lt;pub-dates&gt;&lt;date&gt;1992/08/15&lt;/date&gt;&lt;/pub-dates&gt;&lt;/dates&gt;&lt;label&gt;864&lt;/label&gt;&lt;urls&gt;&lt;/urls&gt;&lt;electronic-resource-num&gt;10.1073/pnas.89.16.7325 &lt;/electronic-resource-num&gt;&lt;/record&gt;&lt;/Cite&gt;&lt;/EndNote&gt;</w:instrText>
      </w:r>
      <w:r w:rsidR="004D04CB">
        <w:rPr>
          <w:rFonts w:ascii="Times New Roman" w:hAnsi="Times New Roman"/>
          <w:noProof/>
          <w:szCs w:val="24"/>
        </w:rPr>
        <w:fldChar w:fldCharType="separate"/>
      </w:r>
      <w:r w:rsidR="004D04CB">
        <w:rPr>
          <w:rFonts w:ascii="Times New Roman" w:hAnsi="Times New Roman"/>
          <w:noProof/>
          <w:szCs w:val="24"/>
        </w:rPr>
        <w:t>Foote 1992</w:t>
      </w:r>
      <w:r w:rsidR="004D04CB">
        <w:rPr>
          <w:rFonts w:ascii="Times New Roman" w:hAnsi="Times New Roman"/>
          <w:noProof/>
          <w:szCs w:val="24"/>
        </w:rPr>
        <w:fldChar w:fldCharType="end"/>
      </w:r>
      <w:r w:rsidR="004D04CB">
        <w:rPr>
          <w:rFonts w:ascii="Times New Roman" w:hAnsi="Times New Roman"/>
          <w:noProof/>
          <w:szCs w:val="24"/>
        </w:rPr>
        <w:t>;</w:t>
      </w:r>
      <w:r w:rsidRPr="00C7158D">
        <w:rPr>
          <w:rFonts w:ascii="Times New Roman" w:hAnsi="Times New Roman"/>
          <w:noProof/>
          <w:szCs w:val="24"/>
        </w:rPr>
        <w:t xml:space="preserve"> </w:t>
      </w:r>
      <w:r w:rsidR="004D04CB">
        <w:rPr>
          <w:rFonts w:ascii="Times New Roman" w:hAnsi="Times New Roman"/>
          <w:noProof/>
          <w:szCs w:val="24"/>
        </w:rPr>
        <w:fldChar w:fldCharType="begin"/>
      </w:r>
      <w:r w:rsidR="00EA54AA">
        <w:rPr>
          <w:rFonts w:ascii="Times New Roman" w:hAnsi="Times New Roman"/>
          <w:noProof/>
          <w:szCs w:val="24"/>
        </w:rPr>
        <w:instrText xml:space="preserve"> ADDIN EN.CITE &lt;EndNote&gt;&lt;Cite&gt;&lt;Author&gt;Hughes&lt;/Author&gt;&lt;Year&gt;2013&lt;/Year&gt;&lt;RecNum&gt;25114&lt;/RecNum&gt;&lt;DisplayText&gt;Hughes et al. 2013&lt;/DisplayText&gt;&lt;record&gt;&lt;rec-number&gt;25114&lt;/rec-number&gt;&lt;foreign-keys&gt;&lt;key app="EN" db-id="wz00v599a2zpv4etvzgv2e93052sszxwve5v" timestamp="1505336841"&gt;25114&lt;/key&gt;&lt;/foreign-keys&gt;&lt;ref-type name="Journal Article"&gt;17&lt;/ref-type&gt;&lt;contributors&gt;&lt;authors&gt;&lt;author&gt;Hughes, Martin&lt;/author&gt;&lt;author&gt;Gerber, Sylvain&lt;/author&gt;&lt;author&gt;Wills, Matthew Albion&lt;/author&gt;&lt;/authors&gt;&lt;/contributors&gt;&lt;titles&gt;&lt;title&gt;Clades reach highest morphological disparity early in their evolution&lt;/title&gt;&lt;secondary-title&gt;Proceedings of the National Academy of Sciences&lt;/secondary-title&gt;&lt;/titles&gt;&lt;periodical&gt;&lt;full-title&gt;Proceedings of the National Academy of Sciences&lt;/full-title&gt;&lt;/periodical&gt;&lt;pages&gt;13875-13879&lt;/pages&gt;&lt;volume&gt;110&lt;/volume&gt;&lt;number&gt;34&lt;/number&gt;&lt;dates&gt;&lt;year&gt;2013&lt;/year&gt;&lt;pub-dates&gt;&lt;date&gt;August 20, 2013&lt;/date&gt;&lt;/pub-dates&gt;&lt;/dates&gt;&lt;urls&gt;&lt;related-urls&gt;&lt;url&gt;http://www.pnas.org/content/110/34/13875.abstract&lt;/url&gt;&lt;/related-urls&gt;&lt;/urls&gt;&lt;electronic-resource-num&gt;10.1073/pnas.1302642110&lt;/electronic-resource-num&gt;&lt;/record&gt;&lt;/Cite&gt;&lt;/EndNote&gt;</w:instrText>
      </w:r>
      <w:r w:rsidR="004D04CB">
        <w:rPr>
          <w:rFonts w:ascii="Times New Roman" w:hAnsi="Times New Roman"/>
          <w:noProof/>
          <w:szCs w:val="24"/>
        </w:rPr>
        <w:fldChar w:fldCharType="separate"/>
      </w:r>
      <w:r w:rsidR="004D04CB">
        <w:rPr>
          <w:rFonts w:ascii="Times New Roman" w:hAnsi="Times New Roman"/>
          <w:noProof/>
          <w:szCs w:val="24"/>
        </w:rPr>
        <w:t>Hughes et al. 2013</w:t>
      </w:r>
      <w:r w:rsidR="004D04CB">
        <w:rPr>
          <w:rFonts w:ascii="Times New Roman" w:hAnsi="Times New Roman"/>
          <w:noProof/>
          <w:szCs w:val="24"/>
        </w:rPr>
        <w:fldChar w:fldCharType="end"/>
      </w:r>
      <w:r w:rsidR="009E0B15">
        <w:rPr>
          <w:rFonts w:ascii="Times New Roman" w:hAnsi="Times New Roman"/>
          <w:szCs w:val="24"/>
        </w:rPr>
        <w:t xml:space="preserve">). </w:t>
      </w:r>
      <w:r w:rsidRPr="00C7158D">
        <w:rPr>
          <w:rFonts w:ascii="Times New Roman" w:hAnsi="Times New Roman"/>
          <w:szCs w:val="24"/>
        </w:rPr>
        <w:t xml:space="preserve">A CG of 0.5 indicates a perfectly symmetric rise-and-fall, with peak relative occupancy tending to be in the middle of a genus’ sample history; values &gt; 0.5 indicate a more rapid rise than fall (bottom-heavy), and CG&gt; 0.5 show a slower rise than fall (top-heavy). Here, we ask if symmetry in occupancy over time </w:t>
      </w:r>
      <w:r w:rsidRPr="00C7158D">
        <w:rPr>
          <w:rFonts w:ascii="Times New Roman" w:hAnsi="Times New Roman"/>
          <w:szCs w:val="24"/>
        </w:rPr>
        <w:lastRenderedPageBreak/>
        <w:t xml:space="preserve">(again, scaled relative to the most commonly occurring genus in a bin) differs among </w:t>
      </w:r>
      <w:r>
        <w:rPr>
          <w:rFonts w:ascii="Times New Roman" w:hAnsi="Times New Roman"/>
          <w:szCs w:val="24"/>
        </w:rPr>
        <w:t xml:space="preserve">dominant </w:t>
      </w:r>
      <w:r w:rsidRPr="00C7158D">
        <w:rPr>
          <w:rFonts w:ascii="Times New Roman" w:hAnsi="Times New Roman"/>
          <w:szCs w:val="24"/>
        </w:rPr>
        <w:t>and</w:t>
      </w:r>
      <w:r>
        <w:rPr>
          <w:rFonts w:ascii="Times New Roman" w:hAnsi="Times New Roman"/>
          <w:szCs w:val="24"/>
        </w:rPr>
        <w:t xml:space="preserve"> non-dominant</w:t>
      </w:r>
      <w:r w:rsidRPr="00C7158D">
        <w:rPr>
          <w:rFonts w:ascii="Times New Roman" w:hAnsi="Times New Roman"/>
          <w:szCs w:val="24"/>
        </w:rPr>
        <w:t xml:space="preserve"> (</w:t>
      </w:r>
      <w:r w:rsidR="00F230EE">
        <w:rPr>
          <w:rFonts w:ascii="Times New Roman" w:hAnsi="Times New Roman"/>
          <w:szCs w:val="24"/>
        </w:rPr>
        <w:t>Fig.</w:t>
      </w:r>
      <w:r>
        <w:rPr>
          <w:rFonts w:ascii="Times New Roman" w:hAnsi="Times New Roman"/>
          <w:szCs w:val="24"/>
        </w:rPr>
        <w:t xml:space="preserve"> </w:t>
      </w:r>
      <w:r w:rsidR="00C721D6">
        <w:rPr>
          <w:rFonts w:ascii="Times New Roman" w:hAnsi="Times New Roman"/>
          <w:szCs w:val="24"/>
        </w:rPr>
        <w:t>6</w:t>
      </w:r>
      <w:r>
        <w:rPr>
          <w:rFonts w:ascii="Times New Roman" w:hAnsi="Times New Roman"/>
          <w:szCs w:val="24"/>
        </w:rPr>
        <w:t xml:space="preserve">). </w:t>
      </w:r>
    </w:p>
    <w:p w14:paraId="58172683" w14:textId="77777777" w:rsidR="00FF08E6" w:rsidRPr="00C7158D" w:rsidRDefault="00FF08E6" w:rsidP="008A66AD">
      <w:pPr>
        <w:spacing w:line="480" w:lineRule="auto"/>
        <w:rPr>
          <w:rFonts w:ascii="Times New Roman" w:hAnsi="Times New Roman"/>
          <w:szCs w:val="24"/>
        </w:rPr>
      </w:pPr>
    </w:p>
    <w:p w14:paraId="0B2D51D3" w14:textId="77777777" w:rsidR="00FF08E6" w:rsidRPr="007B3C31" w:rsidRDefault="00FF08E6" w:rsidP="008A66AD">
      <w:pPr>
        <w:keepNext/>
        <w:spacing w:line="480" w:lineRule="auto"/>
        <w:jc w:val="center"/>
        <w:outlineLvl w:val="0"/>
        <w:rPr>
          <w:rFonts w:ascii="Times New Roman" w:hAnsi="Times New Roman"/>
          <w:b/>
          <w:szCs w:val="24"/>
        </w:rPr>
      </w:pPr>
      <w:r w:rsidRPr="007B3C31">
        <w:rPr>
          <w:rFonts w:ascii="Times New Roman" w:hAnsi="Times New Roman"/>
          <w:b/>
          <w:szCs w:val="24"/>
        </w:rPr>
        <w:t>Results</w:t>
      </w:r>
    </w:p>
    <w:p w14:paraId="2167E297" w14:textId="23820934" w:rsidR="00E73F9E" w:rsidRDefault="00FF08E6" w:rsidP="00E73F9E">
      <w:pPr>
        <w:spacing w:line="480" w:lineRule="auto"/>
        <w:ind w:firstLine="360"/>
        <w:rPr>
          <w:rFonts w:ascii="Times New Roman" w:hAnsi="Times New Roman"/>
          <w:szCs w:val="24"/>
        </w:rPr>
      </w:pPr>
      <w:r w:rsidRPr="00C7158D">
        <w:rPr>
          <w:rFonts w:ascii="Times New Roman" w:hAnsi="Times New Roman"/>
          <w:szCs w:val="24"/>
        </w:rPr>
        <w:t xml:space="preserve">The turnover history among </w:t>
      </w:r>
      <w:r>
        <w:rPr>
          <w:rFonts w:ascii="Times New Roman" w:hAnsi="Times New Roman"/>
          <w:szCs w:val="24"/>
        </w:rPr>
        <w:t>common</w:t>
      </w:r>
      <w:r w:rsidRPr="00C7158D">
        <w:rPr>
          <w:rFonts w:ascii="Times New Roman" w:hAnsi="Times New Roman"/>
          <w:szCs w:val="24"/>
        </w:rPr>
        <w:t xml:space="preserve"> (“Top 20”) genera </w:t>
      </w:r>
      <w:r>
        <w:rPr>
          <w:rFonts w:ascii="Times New Roman" w:hAnsi="Times New Roman"/>
          <w:szCs w:val="24"/>
        </w:rPr>
        <w:t xml:space="preserve">within the six combined classes </w:t>
      </w:r>
      <w:r w:rsidRPr="00C7158D">
        <w:rPr>
          <w:rFonts w:ascii="Times New Roman" w:hAnsi="Times New Roman"/>
          <w:szCs w:val="24"/>
        </w:rPr>
        <w:t xml:space="preserve">over time is shown in </w:t>
      </w:r>
      <w:r w:rsidR="00F230EE">
        <w:rPr>
          <w:rFonts w:ascii="Times New Roman" w:hAnsi="Times New Roman"/>
          <w:szCs w:val="24"/>
        </w:rPr>
        <w:t>Fig</w:t>
      </w:r>
      <w:r w:rsidR="00B2483E">
        <w:rPr>
          <w:rFonts w:ascii="Times New Roman" w:hAnsi="Times New Roman"/>
          <w:szCs w:val="24"/>
        </w:rPr>
        <w:t>ure</w:t>
      </w:r>
      <w:r w:rsidRPr="00C7158D">
        <w:rPr>
          <w:rFonts w:ascii="Times New Roman" w:hAnsi="Times New Roman"/>
          <w:szCs w:val="24"/>
        </w:rPr>
        <w:t xml:space="preserve"> </w:t>
      </w:r>
      <w:r w:rsidR="00C721D6">
        <w:rPr>
          <w:rFonts w:ascii="Times New Roman" w:hAnsi="Times New Roman"/>
          <w:szCs w:val="24"/>
        </w:rPr>
        <w:t>2</w:t>
      </w:r>
      <w:r w:rsidRPr="00C7158D">
        <w:rPr>
          <w:rFonts w:ascii="Times New Roman" w:hAnsi="Times New Roman"/>
          <w:szCs w:val="24"/>
        </w:rPr>
        <w:t>A</w:t>
      </w:r>
      <w:r w:rsidR="00432559">
        <w:rPr>
          <w:rFonts w:ascii="Times New Roman" w:hAnsi="Times New Roman"/>
          <w:szCs w:val="24"/>
        </w:rPr>
        <w:t xml:space="preserve"> (data in </w:t>
      </w:r>
      <w:r w:rsidR="00944609">
        <w:rPr>
          <w:rFonts w:ascii="Times New Roman" w:hAnsi="Times New Roman"/>
          <w:szCs w:val="24"/>
        </w:rPr>
        <w:t xml:space="preserve">Supplementary </w:t>
      </w:r>
      <w:r w:rsidR="00432559">
        <w:rPr>
          <w:rFonts w:ascii="Times New Roman" w:hAnsi="Times New Roman"/>
          <w:szCs w:val="24"/>
        </w:rPr>
        <w:t>Table 2)</w:t>
      </w:r>
      <w:r w:rsidRPr="00C7158D">
        <w:rPr>
          <w:rFonts w:ascii="Times New Roman" w:hAnsi="Times New Roman"/>
          <w:szCs w:val="24"/>
        </w:rPr>
        <w:t>. What stands out in this plot is that even though</w:t>
      </w:r>
      <w:r>
        <w:rPr>
          <w:rFonts w:ascii="Times New Roman" w:hAnsi="Times New Roman"/>
          <w:szCs w:val="24"/>
        </w:rPr>
        <w:t xml:space="preserve"> these</w:t>
      </w:r>
      <w:r w:rsidRPr="00C7158D">
        <w:rPr>
          <w:rFonts w:ascii="Times New Roman" w:hAnsi="Times New Roman"/>
          <w:szCs w:val="24"/>
        </w:rPr>
        <w:t xml:space="preserve"> </w:t>
      </w:r>
      <w:r>
        <w:rPr>
          <w:rFonts w:ascii="Times New Roman" w:hAnsi="Times New Roman"/>
          <w:szCs w:val="24"/>
        </w:rPr>
        <w:t>common</w:t>
      </w:r>
      <w:r w:rsidRPr="00C7158D">
        <w:rPr>
          <w:rFonts w:ascii="Times New Roman" w:hAnsi="Times New Roman"/>
          <w:szCs w:val="24"/>
        </w:rPr>
        <w:t xml:space="preserve"> genera represent less than 5% of all genera and </w:t>
      </w:r>
      <w:r>
        <w:rPr>
          <w:rFonts w:ascii="Times New Roman" w:hAnsi="Times New Roman"/>
          <w:szCs w:val="24"/>
        </w:rPr>
        <w:t xml:space="preserve">that </w:t>
      </w:r>
      <w:r w:rsidRPr="00C7158D">
        <w:rPr>
          <w:rFonts w:ascii="Times New Roman" w:hAnsi="Times New Roman"/>
          <w:szCs w:val="24"/>
        </w:rPr>
        <w:t>the holdover metric considers only ~20 genera in any bin, the overall pattern still resembles those seen in numerous</w:t>
      </w:r>
      <w:r>
        <w:rPr>
          <w:rFonts w:ascii="Times New Roman" w:hAnsi="Times New Roman"/>
          <w:szCs w:val="24"/>
        </w:rPr>
        <w:t xml:space="preserve"> plots of</w:t>
      </w:r>
      <w:r w:rsidRPr="00C7158D">
        <w:rPr>
          <w:rFonts w:ascii="Times New Roman" w:hAnsi="Times New Roman"/>
          <w:szCs w:val="24"/>
        </w:rPr>
        <w:t xml:space="preserve"> total biodiversity fluctuations (e.g., </w:t>
      </w:r>
      <w:r w:rsidR="00A13F3B">
        <w:rPr>
          <w:rFonts w:ascii="Times New Roman" w:hAnsi="Times New Roman"/>
          <w:noProof/>
          <w:szCs w:val="24"/>
        </w:rPr>
        <w:fldChar w:fldCharType="begin"/>
      </w:r>
      <w:r w:rsidR="00A13F3B">
        <w:rPr>
          <w:rFonts w:ascii="Times New Roman" w:hAnsi="Times New Roman"/>
          <w:noProof/>
          <w:szCs w:val="24"/>
        </w:rPr>
        <w:instrText xml:space="preserve"> ADDIN EN.CITE &lt;EndNote&gt;&lt;Cite&gt;&lt;Author&gt;Raup&lt;/Author&gt;&lt;Year&gt;1982&lt;/Year&gt;&lt;RecNum&gt;25&lt;/RecNum&gt;&lt;DisplayText&gt;Raup and Sepkoski 1982&lt;/DisplayText&gt;&lt;record&gt;&lt;rec-number&gt;25&lt;/rec-number&gt;&lt;foreign-keys&gt;&lt;key app="EN" db-id="r2savzrxwddstne9dvmp0wderfxdtarefrzr" timestamp="1493841983"&gt;25&lt;/key&gt;&lt;/foreign-keys&gt;&lt;ref-type name="Journal Article"&gt;17&lt;/ref-type&gt;&lt;contributors&gt;&lt;authors&gt;&lt;author&gt;Raup, David M.&lt;/author&gt;&lt;author&gt;Sepkoski, J. John, Jr.&lt;/author&gt;&lt;/authors&gt;&lt;/contributors&gt;&lt;titles&gt;&lt;title&gt;Mass extinctions in the marine fossil record&lt;/title&gt;&lt;secondary-title&gt;Science&lt;/secondary-title&gt;&lt;/titles&gt;&lt;periodical&gt;&lt;full-title&gt;Science&lt;/full-title&gt;&lt;/periodical&gt;&lt;pages&gt;1501 - 1503&lt;/pages&gt;&lt;volume&gt;215&lt;/volume&gt;&lt;number&gt;4539&lt;/number&gt;&lt;keywords&gt;&lt;keyword&gt;Mass Extinctions&lt;/keyword&gt;&lt;/keywords&gt;&lt;dates&gt;&lt;year&gt;1982&lt;/year&gt;&lt;/dates&gt;&lt;label&gt;1579&lt;/label&gt;&lt;urls&gt;&lt;/urls&gt;&lt;/record&gt;&lt;/Cite&gt;&lt;/EndNote&gt;</w:instrText>
      </w:r>
      <w:r w:rsidR="00A13F3B">
        <w:rPr>
          <w:rFonts w:ascii="Times New Roman" w:hAnsi="Times New Roman"/>
          <w:noProof/>
          <w:szCs w:val="24"/>
        </w:rPr>
        <w:fldChar w:fldCharType="separate"/>
      </w:r>
      <w:r w:rsidR="00A13F3B">
        <w:rPr>
          <w:rFonts w:ascii="Times New Roman" w:hAnsi="Times New Roman"/>
          <w:noProof/>
          <w:szCs w:val="24"/>
        </w:rPr>
        <w:t>Raup and Sepkoski 1982</w:t>
      </w:r>
      <w:r w:rsidR="00A13F3B">
        <w:rPr>
          <w:rFonts w:ascii="Times New Roman" w:hAnsi="Times New Roman"/>
          <w:noProof/>
          <w:szCs w:val="24"/>
        </w:rPr>
        <w:fldChar w:fldCharType="end"/>
      </w:r>
      <w:r w:rsidR="00A13F3B">
        <w:rPr>
          <w:rFonts w:ascii="Times New Roman" w:hAnsi="Times New Roman"/>
          <w:noProof/>
          <w:szCs w:val="24"/>
        </w:rPr>
        <w:t xml:space="preserve">; </w:t>
      </w:r>
      <w:r w:rsidR="00A13F3B">
        <w:rPr>
          <w:rFonts w:ascii="Times New Roman" w:hAnsi="Times New Roman"/>
          <w:noProof/>
          <w:szCs w:val="24"/>
        </w:rPr>
        <w:fldChar w:fldCharType="begin"/>
      </w:r>
      <w:r w:rsidR="00EA54AA">
        <w:rPr>
          <w:rFonts w:ascii="Times New Roman" w:hAnsi="Times New Roman"/>
          <w:noProof/>
          <w:szCs w:val="24"/>
        </w:rPr>
        <w:instrText xml:space="preserve"> ADDIN EN.CITE &lt;EndNote&gt;&lt;Cite&gt;&lt;Author&gt;Alroy&lt;/Author&gt;&lt;Year&gt;2008&lt;/Year&gt;&lt;RecNum&gt;25008&lt;/RecNum&gt;&lt;DisplayText&gt;Alroy et al. 2008&lt;/DisplayText&gt;&lt;record&gt;&lt;rec-number&gt;25008&lt;/rec-number&gt;&lt;foreign-keys&gt;&lt;key app="EN" db-id="wz00v599a2zpv4etvzgv2e93052sszxwve5v" timestamp="1503433479"&gt;25008&lt;/key&gt;&lt;/foreign-keys&gt;&lt;ref-type name="Journal Article"&gt;17&lt;/ref-type&gt;&lt;contributors&gt;&lt;authors&gt;&lt;author&gt;John Alroy&lt;/author&gt;&lt;author&gt;Martin Aberhan&lt;/author&gt;&lt;author&gt;David J. Bottjer&lt;/author&gt;&lt;author&gt;Michael Foote&lt;/author&gt;&lt;author&gt;F. T. Fürsich&lt;/author&gt;&lt;author&gt;P. J. Harries&lt;/author&gt;&lt;author&gt;A. J. W. Hendy&lt;/author&gt;&lt;author&gt;S. M. Holland&lt;/author&gt;&lt;author&gt;L. C. Ivany&lt;/author&gt;&lt;author&gt;W. Kiessling&lt;/author&gt;&lt;author&gt;M. A. Kosnik&lt;/author&gt;&lt;author&gt;C. R. Marshall&lt;/author&gt;&lt;author&gt;A. J. McGowan&lt;/author&gt;&lt;author&gt;A. I. Miller&lt;/author&gt;&lt;author&gt;T. D. Olszewski&lt;/author&gt;&lt;author&gt;M. E. Patzkowsky&lt;/author&gt;&lt;author&gt;S. E. Peters&lt;/author&gt;&lt;author&gt;L. Villier&lt;/author&gt;&lt;author&gt;P. J. Wagner&lt;/author&gt;&lt;author&gt;N. Bonuso&lt;/author&gt;&lt;author&gt;P. S. Borkow&lt;/author&gt;&lt;author&gt;B. Brenneis&lt;/author&gt;&lt;author&gt;M. E. Clapham&lt;/author&gt;&lt;author&gt;L. M. Fall&lt;/author&gt;&lt;author&gt;C. A. Ferguson&lt;/author&gt;&lt;author&gt;V. L. Hanson&lt;/author&gt;&lt;author&gt;A. Z. Krug&lt;/author&gt;&lt;author&gt;K. M. Layou&lt;/author&gt;&lt;author&gt;E. H. Leckey&lt;/author&gt;&lt;author&gt;S. Nürnberg&lt;/author&gt;&lt;author&gt;C. M. Powers&lt;/author&gt;&lt;author&gt;J. A. Sessa&lt;/author&gt;&lt;author&gt;C. Simpson&lt;/author&gt;&lt;author&gt;A. Tomasovych&lt;/author&gt;&lt;author&gt;C. C. Visaggi&lt;/author&gt;&lt;/authors&gt;&lt;/contributors&gt;&lt;titles&gt;&lt;title&gt;Phanerozoic trends in the global diversity of marine invertebrates&lt;/title&gt;&lt;secondary-title&gt;Science&lt;/secondary-title&gt;&lt;/titles&gt;&lt;periodical&gt;&lt;full-title&gt;Science&lt;/full-title&gt;&lt;/periodical&gt;&lt;pages&gt;97 - 100&lt;/pages&gt;&lt;volume&gt;321&lt;/volume&gt;&lt;section&gt;97&lt;/section&gt;&lt;dates&gt;&lt;year&gt;2008&lt;/year&gt;&lt;/dates&gt;&lt;urls&gt;&lt;/urls&gt;&lt;electronic-resource-num&gt;10.1126/science.1156963&lt;/electronic-resource-num&gt;&lt;/record&gt;&lt;/Cite&gt;&lt;/EndNote&gt;</w:instrText>
      </w:r>
      <w:r w:rsidR="00A13F3B">
        <w:rPr>
          <w:rFonts w:ascii="Times New Roman" w:hAnsi="Times New Roman"/>
          <w:noProof/>
          <w:szCs w:val="24"/>
        </w:rPr>
        <w:fldChar w:fldCharType="separate"/>
      </w:r>
      <w:r w:rsidR="00A13F3B">
        <w:rPr>
          <w:rFonts w:ascii="Times New Roman" w:hAnsi="Times New Roman"/>
          <w:noProof/>
          <w:szCs w:val="24"/>
        </w:rPr>
        <w:t>Alroy et al. 2008</w:t>
      </w:r>
      <w:r w:rsidR="00A13F3B">
        <w:rPr>
          <w:rFonts w:ascii="Times New Roman" w:hAnsi="Times New Roman"/>
          <w:noProof/>
          <w:szCs w:val="24"/>
        </w:rPr>
        <w:fldChar w:fldCharType="end"/>
      </w:r>
      <w:r w:rsidR="00A13F3B">
        <w:rPr>
          <w:rFonts w:ascii="Times New Roman" w:hAnsi="Times New Roman"/>
          <w:noProof/>
          <w:szCs w:val="24"/>
        </w:rPr>
        <w:t>;</w:t>
      </w:r>
      <w:r w:rsidRPr="00C7158D">
        <w:rPr>
          <w:rFonts w:ascii="Times New Roman" w:hAnsi="Times New Roman"/>
          <w:noProof/>
          <w:szCs w:val="24"/>
        </w:rPr>
        <w:t xml:space="preserve"> </w:t>
      </w:r>
      <w:r w:rsidR="00AD1AC4">
        <w:rPr>
          <w:rFonts w:ascii="Times New Roman" w:hAnsi="Times New Roman"/>
          <w:noProof/>
          <w:szCs w:val="24"/>
        </w:rPr>
        <w:fldChar w:fldCharType="begin"/>
      </w:r>
      <w:r w:rsidR="00EA54AA">
        <w:rPr>
          <w:rFonts w:ascii="Times New Roman" w:hAnsi="Times New Roman"/>
          <w:noProof/>
          <w:szCs w:val="24"/>
        </w:rPr>
        <w:instrText xml:space="preserve"> ADDIN EN.CITE &lt;EndNote&gt;&lt;Cite&gt;&lt;Author&gt;Zaffos&lt;/Author&gt;&lt;Year&gt;2017&lt;/Year&gt;&lt;RecNum&gt;24647&lt;/RecNum&gt;&lt;DisplayText&gt;Zaffos et al. 2017&lt;/DisplayText&gt;&lt;record&gt;&lt;rec-number&gt;24647&lt;/rec-number&gt;&lt;foreign-keys&gt;&lt;key app="EN" db-id="wz00v599a2zpv4etvzgv2e93052sszxwve5v" timestamp="1496169631"&gt;24647&lt;/key&gt;&lt;/foreign-keys&gt;&lt;ref-type name="Journal Article"&gt;17&lt;/ref-type&gt;&lt;contributors&gt;&lt;authors&gt;&lt;author&gt;Zaffos, Andrew&lt;/author&gt;&lt;author&gt;Finnegan, Seth&lt;/author&gt;&lt;author&gt;Peters, Shanan E.&lt;/author&gt;&lt;/authors&gt;&lt;/contributors&gt;&lt;titles&gt;&lt;title&gt;Plate tectonic regulation of global marine animal diversity&lt;/title&gt;&lt;secondary-title&gt;Proceedings of the National Academy of Sciences&lt;/secondary-title&gt;&lt;/titles&gt;&lt;periodical&gt;&lt;full-title&gt;Proceedings of the National Academy of Sciences&lt;/full-title&gt;&lt;/periodical&gt;&lt;pages&gt;5653-5658&lt;/pages&gt;&lt;volume&gt;114&lt;/volume&gt;&lt;number&gt;22&lt;/number&gt;&lt;dates&gt;&lt;year&gt;2017&lt;/year&gt;&lt;pub-dates&gt;&lt;date&gt;May 30, 2017&lt;/date&gt;&lt;/pub-dates&gt;&lt;/dates&gt;&lt;urls&gt;&lt;related-urls&gt;&lt;url&gt;http://www.pnas.org/content/114/22/5653.abstract&lt;/url&gt;&lt;/related-urls&gt;&lt;/urls&gt;&lt;electronic-resource-num&gt;10.1073/pnas.1702297114&lt;/electronic-resource-num&gt;&lt;/record&gt;&lt;/Cite&gt;&lt;/EndNote&gt;</w:instrText>
      </w:r>
      <w:r w:rsidR="00AD1AC4">
        <w:rPr>
          <w:rFonts w:ascii="Times New Roman" w:hAnsi="Times New Roman"/>
          <w:noProof/>
          <w:szCs w:val="24"/>
        </w:rPr>
        <w:fldChar w:fldCharType="separate"/>
      </w:r>
      <w:r w:rsidR="00AD1AC4">
        <w:rPr>
          <w:rFonts w:ascii="Times New Roman" w:hAnsi="Times New Roman"/>
          <w:noProof/>
          <w:szCs w:val="24"/>
        </w:rPr>
        <w:t>Zaffos et al. 2017</w:t>
      </w:r>
      <w:r w:rsidR="00AD1AC4">
        <w:rPr>
          <w:rFonts w:ascii="Times New Roman" w:hAnsi="Times New Roman"/>
          <w:noProof/>
          <w:szCs w:val="24"/>
        </w:rPr>
        <w:fldChar w:fldCharType="end"/>
      </w:r>
      <w:r w:rsidRPr="00C7158D">
        <w:rPr>
          <w:rFonts w:ascii="Times New Roman" w:hAnsi="Times New Roman"/>
          <w:noProof/>
          <w:szCs w:val="24"/>
        </w:rPr>
        <w:t>)</w:t>
      </w:r>
      <w:r w:rsidRPr="00C7158D">
        <w:rPr>
          <w:rFonts w:ascii="Times New Roman" w:hAnsi="Times New Roman"/>
          <w:szCs w:val="24"/>
        </w:rPr>
        <w:t xml:space="preserve"> Notable examples include a ramp up in holdovers during the Great Ordovician Biodiversification Event (GOBE), sharp drops at the ends of the Ordovician, Permian, and Cretaceous, and a rise to a stability maximum during the Cenozoic</w:t>
      </w:r>
      <w:r>
        <w:rPr>
          <w:rFonts w:ascii="Times New Roman" w:hAnsi="Times New Roman"/>
          <w:szCs w:val="24"/>
        </w:rPr>
        <w:t xml:space="preserve">. </w:t>
      </w:r>
    </w:p>
    <w:p w14:paraId="19F22454" w14:textId="149D4F9D" w:rsidR="00E73F9E" w:rsidRDefault="00E73F9E" w:rsidP="00E73F9E">
      <w:pPr>
        <w:spacing w:line="480" w:lineRule="auto"/>
        <w:ind w:firstLine="360"/>
        <w:rPr>
          <w:rFonts w:ascii="Times New Roman" w:hAnsi="Times New Roman"/>
          <w:szCs w:val="24"/>
        </w:rPr>
      </w:pPr>
      <w:r w:rsidRPr="00EA54AA">
        <w:rPr>
          <w:rFonts w:ascii="Times New Roman" w:hAnsi="Times New Roman"/>
          <w:szCs w:val="24"/>
        </w:rPr>
        <w:t>When we consider holdovers in the top 5% rather than the top 20, there are slight differences in the overall pattern (</w:t>
      </w:r>
      <w:r w:rsidR="00944609">
        <w:rPr>
          <w:rFonts w:ascii="Times New Roman" w:hAnsi="Times New Roman"/>
          <w:szCs w:val="24"/>
        </w:rPr>
        <w:t xml:space="preserve">Supplementary </w:t>
      </w:r>
      <w:r w:rsidRPr="00EA54AA">
        <w:rPr>
          <w:rFonts w:ascii="Times New Roman" w:hAnsi="Times New Roman"/>
          <w:szCs w:val="24"/>
        </w:rPr>
        <w:t>Fig. 2)</w:t>
      </w:r>
      <w:r w:rsidR="006E1EF0" w:rsidRPr="00EA54AA">
        <w:rPr>
          <w:rFonts w:ascii="Times New Roman" w:hAnsi="Times New Roman"/>
          <w:szCs w:val="24"/>
        </w:rPr>
        <w:t xml:space="preserve">, </w:t>
      </w:r>
      <w:r w:rsidR="008B7737" w:rsidRPr="00EA54AA">
        <w:rPr>
          <w:rFonts w:ascii="Times New Roman" w:hAnsi="Times New Roman"/>
          <w:szCs w:val="24"/>
        </w:rPr>
        <w:t xml:space="preserve">but </w:t>
      </w:r>
      <w:r w:rsidR="006E1EF0" w:rsidRPr="00EA54AA">
        <w:rPr>
          <w:rFonts w:ascii="Times New Roman" w:hAnsi="Times New Roman"/>
          <w:szCs w:val="24"/>
        </w:rPr>
        <w:t>they are highly correlated</w:t>
      </w:r>
      <w:r w:rsidR="00992A10" w:rsidRPr="00EA54AA">
        <w:rPr>
          <w:rFonts w:ascii="Times New Roman" w:hAnsi="Times New Roman"/>
          <w:szCs w:val="24"/>
        </w:rPr>
        <w:t xml:space="preserve"> (</w:t>
      </w:r>
      <w:r w:rsidR="00944609">
        <w:rPr>
          <w:rFonts w:ascii="Times New Roman" w:hAnsi="Times New Roman"/>
          <w:szCs w:val="24"/>
        </w:rPr>
        <w:t xml:space="preserve">Supplementary </w:t>
      </w:r>
      <w:r w:rsidR="00992A10" w:rsidRPr="00EA54AA">
        <w:rPr>
          <w:rFonts w:ascii="Times New Roman" w:hAnsi="Times New Roman"/>
          <w:szCs w:val="24"/>
        </w:rPr>
        <w:t>Fig. 3)</w:t>
      </w:r>
      <w:r w:rsidR="006E1EF0" w:rsidRPr="00EA54AA">
        <w:rPr>
          <w:rFonts w:ascii="Times New Roman" w:hAnsi="Times New Roman"/>
          <w:szCs w:val="24"/>
        </w:rPr>
        <w:t xml:space="preserve">. </w:t>
      </w:r>
      <w:r w:rsidRPr="00EA54AA">
        <w:rPr>
          <w:rFonts w:ascii="Times New Roman" w:hAnsi="Times New Roman"/>
          <w:szCs w:val="24"/>
        </w:rPr>
        <w:t xml:space="preserve">In general, we tend to see higher holdover proportions when using the Top 5% instead of the Top </w:t>
      </w:r>
      <w:r w:rsidR="006E1EF0" w:rsidRPr="00EA54AA">
        <w:rPr>
          <w:rFonts w:ascii="Times New Roman" w:hAnsi="Times New Roman"/>
          <w:szCs w:val="24"/>
        </w:rPr>
        <w:t>20</w:t>
      </w:r>
      <w:r w:rsidR="00992A10" w:rsidRPr="00EA54AA">
        <w:rPr>
          <w:rFonts w:ascii="Times New Roman" w:hAnsi="Times New Roman"/>
          <w:szCs w:val="24"/>
        </w:rPr>
        <w:t>. The median number of genera in the Top 5% is 27, which suggests that many Top 20 taxa are lurking just under the Top 20 in the prior or subsequent intervals</w:t>
      </w:r>
      <w:r w:rsidR="006E1EF0" w:rsidRPr="00EA54AA">
        <w:rPr>
          <w:rFonts w:ascii="Times New Roman" w:hAnsi="Times New Roman"/>
          <w:szCs w:val="24"/>
        </w:rPr>
        <w:t xml:space="preserve">. </w:t>
      </w:r>
    </w:p>
    <w:p w14:paraId="0E7AB176" w14:textId="435FA003" w:rsidR="00FF08E6" w:rsidRDefault="00FF08E6" w:rsidP="008A66AD">
      <w:pPr>
        <w:spacing w:line="480" w:lineRule="auto"/>
        <w:ind w:firstLine="360"/>
        <w:rPr>
          <w:rFonts w:ascii="Times New Roman" w:hAnsi="Times New Roman"/>
          <w:szCs w:val="24"/>
        </w:rPr>
      </w:pPr>
      <w:r>
        <w:rPr>
          <w:rFonts w:ascii="Times New Roman" w:hAnsi="Times New Roman"/>
          <w:szCs w:val="24"/>
        </w:rPr>
        <w:t xml:space="preserve">The turnover patterns for the six target classes individually are shown in </w:t>
      </w:r>
      <w:r w:rsidR="00C721D6">
        <w:rPr>
          <w:rFonts w:ascii="Times New Roman" w:hAnsi="Times New Roman"/>
          <w:szCs w:val="24"/>
        </w:rPr>
        <w:t>Fig</w:t>
      </w:r>
      <w:r>
        <w:rPr>
          <w:rFonts w:ascii="Times New Roman" w:hAnsi="Times New Roman"/>
          <w:szCs w:val="24"/>
        </w:rPr>
        <w:t>s</w:t>
      </w:r>
      <w:r w:rsidR="00C721D6">
        <w:rPr>
          <w:rFonts w:ascii="Times New Roman" w:hAnsi="Times New Roman"/>
          <w:szCs w:val="24"/>
        </w:rPr>
        <w:t>.</w:t>
      </w:r>
      <w:r>
        <w:rPr>
          <w:rFonts w:ascii="Times New Roman" w:hAnsi="Times New Roman"/>
          <w:szCs w:val="24"/>
        </w:rPr>
        <w:t xml:space="preserve"> </w:t>
      </w:r>
      <w:r w:rsidR="00C721D6">
        <w:rPr>
          <w:rFonts w:ascii="Times New Roman" w:hAnsi="Times New Roman"/>
          <w:szCs w:val="24"/>
        </w:rPr>
        <w:t>2</w:t>
      </w:r>
      <w:r>
        <w:rPr>
          <w:rFonts w:ascii="Times New Roman" w:hAnsi="Times New Roman"/>
          <w:szCs w:val="24"/>
        </w:rPr>
        <w:t xml:space="preserve">B and </w:t>
      </w:r>
      <w:r w:rsidR="00C721D6">
        <w:rPr>
          <w:rFonts w:ascii="Times New Roman" w:hAnsi="Times New Roman"/>
          <w:szCs w:val="24"/>
        </w:rPr>
        <w:t>2</w:t>
      </w:r>
      <w:r>
        <w:rPr>
          <w:rFonts w:ascii="Times New Roman" w:hAnsi="Times New Roman"/>
          <w:szCs w:val="24"/>
        </w:rPr>
        <w:t>C</w:t>
      </w:r>
      <w:r w:rsidR="00432559">
        <w:rPr>
          <w:rFonts w:ascii="Times New Roman" w:hAnsi="Times New Roman"/>
          <w:szCs w:val="24"/>
        </w:rPr>
        <w:t xml:space="preserve"> (data in </w:t>
      </w:r>
      <w:r w:rsidR="00944609">
        <w:rPr>
          <w:rFonts w:ascii="Times New Roman" w:hAnsi="Times New Roman"/>
          <w:szCs w:val="24"/>
        </w:rPr>
        <w:t xml:space="preserve">Supplementary </w:t>
      </w:r>
      <w:r w:rsidR="00432559">
        <w:rPr>
          <w:rFonts w:ascii="Times New Roman" w:hAnsi="Times New Roman"/>
          <w:szCs w:val="24"/>
        </w:rPr>
        <w:t>Table 1</w:t>
      </w:r>
      <w:r w:rsidR="00046A41">
        <w:rPr>
          <w:rFonts w:ascii="Times New Roman" w:hAnsi="Times New Roman"/>
          <w:szCs w:val="24"/>
        </w:rPr>
        <w:t>)</w:t>
      </w:r>
      <w:r>
        <w:rPr>
          <w:rFonts w:ascii="Times New Roman" w:hAnsi="Times New Roman"/>
          <w:szCs w:val="24"/>
        </w:rPr>
        <w:t xml:space="preserve">. </w:t>
      </w:r>
      <w:r w:rsidR="00C721D6">
        <w:rPr>
          <w:rFonts w:ascii="Times New Roman" w:hAnsi="Times New Roman"/>
          <w:szCs w:val="24"/>
        </w:rPr>
        <w:t xml:space="preserve">In these plots </w:t>
      </w:r>
      <w:r>
        <w:rPr>
          <w:rFonts w:ascii="Times New Roman" w:hAnsi="Times New Roman"/>
          <w:szCs w:val="24"/>
        </w:rPr>
        <w:t xml:space="preserve">we are considering only the top ten genera within each bin. Not surprisingly, the patterns resemble the overall patterns for bins in which the class itself is dominant; for example, changes in dominance in brachiopods are reflected in the Paleozoic “top 20.” What is striking here is that the </w:t>
      </w:r>
      <w:r w:rsidRPr="00C7158D">
        <w:rPr>
          <w:rFonts w:ascii="Times New Roman" w:hAnsi="Times New Roman"/>
          <w:szCs w:val="24"/>
        </w:rPr>
        <w:t xml:space="preserve">average and maximum number of holdovers among </w:t>
      </w:r>
      <w:r>
        <w:rPr>
          <w:rFonts w:ascii="Times New Roman" w:hAnsi="Times New Roman"/>
          <w:szCs w:val="24"/>
        </w:rPr>
        <w:t>common</w:t>
      </w:r>
      <w:r w:rsidRPr="00C7158D">
        <w:rPr>
          <w:rFonts w:ascii="Times New Roman" w:hAnsi="Times New Roman"/>
          <w:szCs w:val="24"/>
        </w:rPr>
        <w:t xml:space="preserve"> genera is higher for the echinoids, gastropods, and bivalves than for </w:t>
      </w:r>
      <w:r w:rsidRPr="00C7158D">
        <w:rPr>
          <w:rFonts w:ascii="Times New Roman" w:hAnsi="Times New Roman"/>
          <w:szCs w:val="24"/>
        </w:rPr>
        <w:lastRenderedPageBreak/>
        <w:t>brachiopods, and much higher than for cephal</w:t>
      </w:r>
      <w:r w:rsidR="00046A41">
        <w:rPr>
          <w:rFonts w:ascii="Times New Roman" w:hAnsi="Times New Roman"/>
          <w:szCs w:val="24"/>
        </w:rPr>
        <w:t>opods, and trilobites (Table</w:t>
      </w:r>
      <w:r w:rsidR="00442B40">
        <w:rPr>
          <w:rFonts w:ascii="Times New Roman" w:hAnsi="Times New Roman"/>
          <w:szCs w:val="24"/>
        </w:rPr>
        <w:t xml:space="preserve"> </w:t>
      </w:r>
      <w:r w:rsidR="00C721D6">
        <w:rPr>
          <w:rFonts w:ascii="Times New Roman" w:hAnsi="Times New Roman"/>
          <w:szCs w:val="24"/>
        </w:rPr>
        <w:t>2</w:t>
      </w:r>
      <w:r w:rsidRPr="00C7158D">
        <w:rPr>
          <w:rFonts w:ascii="Times New Roman" w:hAnsi="Times New Roman"/>
          <w:szCs w:val="24"/>
        </w:rPr>
        <w:t>). Pairwise Mann-Whitney</w:t>
      </w:r>
      <w:r w:rsidR="00442B40" w:rsidRPr="00442B40">
        <w:rPr>
          <w:rFonts w:ascii="Times New Roman" w:hAnsi="Times New Roman"/>
          <w:szCs w:val="24"/>
        </w:rPr>
        <w:t xml:space="preserve"> </w:t>
      </w:r>
      <w:r w:rsidR="00442B40" w:rsidRPr="00C7158D">
        <w:rPr>
          <w:rFonts w:ascii="Times New Roman" w:hAnsi="Times New Roman"/>
          <w:szCs w:val="24"/>
        </w:rPr>
        <w:t>tests</w:t>
      </w:r>
      <w:r w:rsidRPr="00C7158D">
        <w:rPr>
          <w:rFonts w:ascii="Times New Roman" w:hAnsi="Times New Roman"/>
          <w:szCs w:val="24"/>
        </w:rPr>
        <w:t xml:space="preserve"> </w:t>
      </w:r>
      <w:r w:rsidR="00432559">
        <w:rPr>
          <w:rFonts w:ascii="Times New Roman" w:hAnsi="Times New Roman"/>
          <w:szCs w:val="24"/>
        </w:rPr>
        <w:t xml:space="preserve">comparing </w:t>
      </w:r>
      <w:r w:rsidR="00CE1BB8">
        <w:rPr>
          <w:rFonts w:ascii="Times New Roman" w:hAnsi="Times New Roman"/>
          <w:szCs w:val="24"/>
        </w:rPr>
        <w:t xml:space="preserve">the </w:t>
      </w:r>
      <w:r w:rsidR="00432559">
        <w:rPr>
          <w:rFonts w:ascii="Times New Roman" w:hAnsi="Times New Roman"/>
          <w:szCs w:val="24"/>
        </w:rPr>
        <w:t>median</w:t>
      </w:r>
      <w:r w:rsidR="0028765C">
        <w:rPr>
          <w:rFonts w:ascii="Times New Roman" w:hAnsi="Times New Roman"/>
          <w:szCs w:val="24"/>
        </w:rPr>
        <w:t xml:space="preserve"> of </w:t>
      </w:r>
      <w:r w:rsidR="00442B40">
        <w:rPr>
          <w:rFonts w:ascii="Times New Roman" w:hAnsi="Times New Roman"/>
          <w:szCs w:val="24"/>
        </w:rPr>
        <w:t xml:space="preserve">top-10 and top 20 holdovers among the classes </w:t>
      </w:r>
      <w:r w:rsidRPr="00C7158D">
        <w:rPr>
          <w:rFonts w:ascii="Times New Roman" w:hAnsi="Times New Roman"/>
          <w:szCs w:val="24"/>
        </w:rPr>
        <w:t xml:space="preserve">are significant at </w:t>
      </w:r>
      <w:r w:rsidRPr="00985B8A">
        <w:rPr>
          <w:rFonts w:ascii="Times New Roman" w:hAnsi="Times New Roman"/>
          <w:i/>
          <w:szCs w:val="24"/>
        </w:rPr>
        <w:t>p</w:t>
      </w:r>
      <w:r w:rsidRPr="00C7158D">
        <w:rPr>
          <w:rFonts w:ascii="Times New Roman" w:hAnsi="Times New Roman"/>
          <w:szCs w:val="24"/>
        </w:rPr>
        <w:t>&lt;0.001, with the exception of bivalves and gastropods, which are not significant</w:t>
      </w:r>
      <w:r w:rsidR="00CE1BB8">
        <w:rPr>
          <w:rFonts w:ascii="Times New Roman" w:hAnsi="Times New Roman"/>
          <w:szCs w:val="24"/>
        </w:rPr>
        <w:t xml:space="preserve"> (</w:t>
      </w:r>
      <w:r w:rsidR="00CE1BB8" w:rsidRPr="00985B8A">
        <w:rPr>
          <w:rFonts w:ascii="Times New Roman" w:hAnsi="Times New Roman"/>
          <w:i/>
          <w:szCs w:val="24"/>
        </w:rPr>
        <w:t>p</w:t>
      </w:r>
      <w:r w:rsidR="00CE1BB8">
        <w:rPr>
          <w:rFonts w:ascii="Times New Roman" w:hAnsi="Times New Roman"/>
          <w:szCs w:val="24"/>
        </w:rPr>
        <w:t xml:space="preserve"> = 0.97 for top 10; </w:t>
      </w:r>
      <w:r w:rsidR="00CE1BB8" w:rsidRPr="00985B8A">
        <w:rPr>
          <w:rFonts w:ascii="Times New Roman" w:hAnsi="Times New Roman"/>
          <w:i/>
          <w:szCs w:val="24"/>
        </w:rPr>
        <w:t>p</w:t>
      </w:r>
      <w:r w:rsidR="00CE1BB8">
        <w:rPr>
          <w:rFonts w:ascii="Times New Roman" w:hAnsi="Times New Roman"/>
          <w:szCs w:val="24"/>
        </w:rPr>
        <w:t xml:space="preserve"> = 0.89 for top 20</w:t>
      </w:r>
      <w:r w:rsidRPr="00C7158D">
        <w:rPr>
          <w:rFonts w:ascii="Times New Roman" w:hAnsi="Times New Roman"/>
          <w:szCs w:val="24"/>
        </w:rPr>
        <w:t xml:space="preserve">). Despite the strong similarities at key points such as the mass extinction intervals and the </w:t>
      </w:r>
      <w:r w:rsidR="0009796C">
        <w:rPr>
          <w:rFonts w:ascii="Times New Roman" w:hAnsi="Times New Roman"/>
          <w:szCs w:val="24"/>
        </w:rPr>
        <w:t>Great Ordovician Biodiversification Event</w:t>
      </w:r>
      <w:r w:rsidRPr="00C7158D">
        <w:rPr>
          <w:rFonts w:ascii="Times New Roman" w:hAnsi="Times New Roman"/>
          <w:szCs w:val="24"/>
        </w:rPr>
        <w:t xml:space="preserve">, none of the sequences are highly </w:t>
      </w:r>
      <w:r w:rsidR="00046A41">
        <w:rPr>
          <w:rFonts w:ascii="Times New Roman" w:hAnsi="Times New Roman"/>
          <w:szCs w:val="24"/>
        </w:rPr>
        <w:t>cross-</w:t>
      </w:r>
      <w:r w:rsidRPr="00C7158D">
        <w:rPr>
          <w:rFonts w:ascii="Times New Roman" w:hAnsi="Times New Roman"/>
          <w:szCs w:val="24"/>
        </w:rPr>
        <w:t xml:space="preserve">correlated </w:t>
      </w:r>
      <w:r w:rsidR="00046A41">
        <w:rPr>
          <w:rFonts w:ascii="Times New Roman" w:hAnsi="Times New Roman"/>
          <w:szCs w:val="24"/>
        </w:rPr>
        <w:t>using Spearman Rank correlation (Table 3).</w:t>
      </w:r>
      <w:r w:rsidR="00432559">
        <w:rPr>
          <w:rFonts w:ascii="Times New Roman" w:hAnsi="Times New Roman"/>
          <w:szCs w:val="24"/>
        </w:rPr>
        <w:t xml:space="preserve"> </w:t>
      </w:r>
      <w:r w:rsidR="00046A41">
        <w:rPr>
          <w:rFonts w:ascii="Times New Roman" w:hAnsi="Times New Roman"/>
          <w:szCs w:val="24"/>
        </w:rPr>
        <w:t xml:space="preserve">Of the fifteen pairwise comparisons, five are significant at P&lt;0.05 for Pearson cross-correlations, with the lowest p-value for that between cephalopods and bivalves. Echinoids are negatively correlated with all other groups (except trilobites, with which they don’t overlap). The correlations were not corrected for multiple comparisons or autocorrelation. </w:t>
      </w:r>
    </w:p>
    <w:p w14:paraId="13F6BCD5" w14:textId="04FE3D49" w:rsidR="00FF08E6" w:rsidRPr="00C7158D" w:rsidRDefault="00FF08E6" w:rsidP="008A66AD">
      <w:pPr>
        <w:spacing w:line="480" w:lineRule="auto"/>
        <w:rPr>
          <w:rFonts w:ascii="Times New Roman" w:hAnsi="Times New Roman"/>
          <w:szCs w:val="24"/>
        </w:rPr>
      </w:pPr>
      <w:r>
        <w:rPr>
          <w:rFonts w:ascii="Times New Roman" w:hAnsi="Times New Roman"/>
          <w:szCs w:val="24"/>
        </w:rPr>
        <w:tab/>
      </w:r>
      <w:r w:rsidRPr="00EA54AA">
        <w:rPr>
          <w:rFonts w:ascii="Times New Roman" w:hAnsi="Times New Roman"/>
          <w:szCs w:val="24"/>
        </w:rPr>
        <w:t xml:space="preserve">The histories of originations and extinctions within common and less-common taxa are illustrated in </w:t>
      </w:r>
      <w:r w:rsidR="00F230EE" w:rsidRPr="00EA54AA">
        <w:rPr>
          <w:rFonts w:ascii="Times New Roman" w:hAnsi="Times New Roman"/>
          <w:szCs w:val="24"/>
        </w:rPr>
        <w:t>Fig.</w:t>
      </w:r>
      <w:r w:rsidRPr="00EA54AA">
        <w:rPr>
          <w:rFonts w:ascii="Times New Roman" w:hAnsi="Times New Roman"/>
          <w:szCs w:val="24"/>
        </w:rPr>
        <w:t xml:space="preserve"> </w:t>
      </w:r>
      <w:r w:rsidR="00C721D6" w:rsidRPr="00EA54AA">
        <w:rPr>
          <w:rFonts w:ascii="Times New Roman" w:hAnsi="Times New Roman"/>
          <w:szCs w:val="24"/>
        </w:rPr>
        <w:t>3</w:t>
      </w:r>
      <w:r w:rsidRPr="00EA54AA">
        <w:rPr>
          <w:rFonts w:ascii="Times New Roman" w:hAnsi="Times New Roman"/>
          <w:szCs w:val="24"/>
        </w:rPr>
        <w:t xml:space="preserve">; in this case we use a less restrictive definition of common, in that a common taxon has only to reach the top twenty ranks </w:t>
      </w:r>
      <w:r w:rsidR="00684482" w:rsidRPr="00EA54AA">
        <w:rPr>
          <w:rFonts w:ascii="Times New Roman" w:hAnsi="Times New Roman"/>
          <w:szCs w:val="24"/>
        </w:rPr>
        <w:t xml:space="preserve">or top 5% </w:t>
      </w:r>
      <w:r w:rsidRPr="00EA54AA">
        <w:rPr>
          <w:rFonts w:ascii="Times New Roman" w:hAnsi="Times New Roman"/>
          <w:szCs w:val="24"/>
        </w:rPr>
        <w:t xml:space="preserve">for a single bin. As would be expected, both origination and extinction rates for the common genera (purple) are much lower than those for the non-dominant taxa (green); e.g., many of the non-dominant taxa are singletons. </w:t>
      </w:r>
      <w:r w:rsidR="00497B45" w:rsidRPr="00EA54AA">
        <w:rPr>
          <w:rFonts w:ascii="Times New Roman" w:hAnsi="Times New Roman"/>
          <w:szCs w:val="24"/>
        </w:rPr>
        <w:t>C</w:t>
      </w:r>
      <w:r w:rsidRPr="00EA54AA">
        <w:rPr>
          <w:rFonts w:ascii="Times New Roman" w:hAnsi="Times New Roman"/>
          <w:szCs w:val="24"/>
        </w:rPr>
        <w:t xml:space="preserve">ommon taxa </w:t>
      </w:r>
      <w:r w:rsidR="00497B45" w:rsidRPr="00EA54AA">
        <w:rPr>
          <w:rFonts w:ascii="Times New Roman" w:hAnsi="Times New Roman"/>
          <w:szCs w:val="24"/>
        </w:rPr>
        <w:t>genera are less affected by the end-Devonian and end-Cretaceous</w:t>
      </w:r>
      <w:r w:rsidRPr="00EA54AA">
        <w:rPr>
          <w:rFonts w:ascii="Times New Roman" w:hAnsi="Times New Roman"/>
          <w:szCs w:val="24"/>
        </w:rPr>
        <w:t xml:space="preserve"> mass extinctions</w:t>
      </w:r>
      <w:r w:rsidR="003E179F" w:rsidRPr="00EA54AA">
        <w:rPr>
          <w:rFonts w:ascii="Times New Roman" w:hAnsi="Times New Roman"/>
          <w:szCs w:val="24"/>
        </w:rPr>
        <w:t xml:space="preserve"> than are less-common taxa</w:t>
      </w:r>
      <w:r w:rsidR="0035440A" w:rsidRPr="00EA54AA">
        <w:rPr>
          <w:rFonts w:ascii="Times New Roman" w:hAnsi="Times New Roman"/>
          <w:szCs w:val="24"/>
        </w:rPr>
        <w:t xml:space="preserve">. However, common and less-common genera </w:t>
      </w:r>
      <w:r w:rsidR="003E179F" w:rsidRPr="00EA54AA">
        <w:rPr>
          <w:rFonts w:ascii="Times New Roman" w:hAnsi="Times New Roman"/>
          <w:szCs w:val="24"/>
        </w:rPr>
        <w:t>show indistinguishable extinction rates for the end-Ordovician, end-Permian and end-Triassic</w:t>
      </w:r>
      <w:r w:rsidRPr="00EA54AA">
        <w:rPr>
          <w:rFonts w:ascii="Times New Roman" w:hAnsi="Times New Roman"/>
          <w:szCs w:val="24"/>
        </w:rPr>
        <w:t xml:space="preserve">. </w:t>
      </w:r>
      <w:r w:rsidR="00684482" w:rsidRPr="00EA54AA">
        <w:rPr>
          <w:rFonts w:ascii="Times New Roman" w:hAnsi="Times New Roman"/>
          <w:szCs w:val="24"/>
        </w:rPr>
        <w:t>Again, there are only trivial differences in the results based on choice of cutoff, indicating that our results are robust to changes in this parameter.</w:t>
      </w:r>
    </w:p>
    <w:p w14:paraId="7BB6FD5C" w14:textId="2D58A553" w:rsidR="00FF08E6" w:rsidRDefault="00FF08E6" w:rsidP="008A66AD">
      <w:pPr>
        <w:spacing w:line="480" w:lineRule="auto"/>
        <w:ind w:firstLine="360"/>
        <w:rPr>
          <w:rFonts w:ascii="Times New Roman" w:hAnsi="Times New Roman"/>
          <w:szCs w:val="24"/>
        </w:rPr>
      </w:pPr>
      <w:r w:rsidRPr="00C7158D">
        <w:rPr>
          <w:rFonts w:ascii="Times New Roman" w:hAnsi="Times New Roman"/>
          <w:szCs w:val="24"/>
        </w:rPr>
        <w:t xml:space="preserve"> </w:t>
      </w:r>
      <w:r>
        <w:rPr>
          <w:rFonts w:ascii="Times New Roman" w:hAnsi="Times New Roman"/>
          <w:szCs w:val="24"/>
        </w:rPr>
        <w:t xml:space="preserve">Comparisons of counts and summed ranks among the six target classes are summarized in Table </w:t>
      </w:r>
      <w:r w:rsidR="00C721D6">
        <w:rPr>
          <w:rFonts w:ascii="Times New Roman" w:hAnsi="Times New Roman"/>
          <w:szCs w:val="24"/>
        </w:rPr>
        <w:t>4.</w:t>
      </w:r>
      <w:r>
        <w:rPr>
          <w:rFonts w:ascii="Times New Roman" w:hAnsi="Times New Roman"/>
          <w:szCs w:val="24"/>
        </w:rPr>
        <w:t xml:space="preserve"> </w:t>
      </w:r>
      <w:r w:rsidRPr="00C7158D">
        <w:rPr>
          <w:rFonts w:ascii="Times New Roman" w:hAnsi="Times New Roman"/>
          <w:szCs w:val="24"/>
        </w:rPr>
        <w:t>The classes are sorted by mean values for bot</w:t>
      </w:r>
      <w:r>
        <w:rPr>
          <w:rFonts w:ascii="Times New Roman" w:hAnsi="Times New Roman"/>
          <w:szCs w:val="24"/>
        </w:rPr>
        <w:t xml:space="preserve">h metrics, with higher values indicating greater persistence of genera at top ranks. </w:t>
      </w:r>
      <w:r w:rsidRPr="00C7158D">
        <w:rPr>
          <w:rFonts w:ascii="Times New Roman" w:hAnsi="Times New Roman"/>
          <w:szCs w:val="24"/>
        </w:rPr>
        <w:t xml:space="preserve">The most commonly occurring genera typically last </w:t>
      </w:r>
      <w:r w:rsidRPr="00C7158D">
        <w:rPr>
          <w:rFonts w:ascii="Times New Roman" w:hAnsi="Times New Roman"/>
          <w:szCs w:val="24"/>
        </w:rPr>
        <w:lastRenderedPageBreak/>
        <w:t>many more intervals at the top in bivalves than in trilobites or cephalopods, with gastropods and echinoids close behind bivalves</w:t>
      </w:r>
      <w:r>
        <w:rPr>
          <w:rFonts w:ascii="Times New Roman" w:hAnsi="Times New Roman"/>
          <w:szCs w:val="24"/>
        </w:rPr>
        <w:t xml:space="preserve">, and brachiopods intermediate. </w:t>
      </w:r>
      <w:r w:rsidRPr="00C7158D">
        <w:rPr>
          <w:rFonts w:ascii="Times New Roman" w:hAnsi="Times New Roman"/>
          <w:szCs w:val="24"/>
        </w:rPr>
        <w:t xml:space="preserve">Within these two basic partitions, dominant bivalves might show significantly greater persistence than dominant gastropod genera, and dominant brachiopod genera clearly show significantly greater persistence than dominant cephalopod or trilobite genera. </w:t>
      </w:r>
    </w:p>
    <w:p w14:paraId="3622A54A" w14:textId="128AAFEA" w:rsidR="00FF08E6" w:rsidRPr="00C7158D" w:rsidRDefault="00FF08E6" w:rsidP="008A66AD">
      <w:pPr>
        <w:spacing w:line="480" w:lineRule="auto"/>
        <w:ind w:firstLine="360"/>
        <w:rPr>
          <w:rFonts w:ascii="Times New Roman" w:hAnsi="Times New Roman"/>
          <w:szCs w:val="24"/>
        </w:rPr>
      </w:pPr>
      <w:r>
        <w:rPr>
          <w:rFonts w:ascii="Times New Roman" w:hAnsi="Times New Roman"/>
          <w:szCs w:val="24"/>
        </w:rPr>
        <w:t xml:space="preserve">Contrasts in the dominance trajectories between common and non-dominant genera as a function of their duration are shown in </w:t>
      </w:r>
      <w:r w:rsidR="00F230EE">
        <w:rPr>
          <w:rFonts w:ascii="Times New Roman" w:hAnsi="Times New Roman"/>
          <w:szCs w:val="24"/>
        </w:rPr>
        <w:t>Fig.</w:t>
      </w:r>
      <w:r>
        <w:rPr>
          <w:rFonts w:ascii="Times New Roman" w:hAnsi="Times New Roman"/>
          <w:szCs w:val="24"/>
        </w:rPr>
        <w:t xml:space="preserve"> </w:t>
      </w:r>
      <w:r w:rsidR="00C721D6">
        <w:rPr>
          <w:rFonts w:ascii="Times New Roman" w:hAnsi="Times New Roman"/>
          <w:szCs w:val="24"/>
        </w:rPr>
        <w:t>4</w:t>
      </w:r>
      <w:r>
        <w:rPr>
          <w:rFonts w:ascii="Times New Roman" w:hAnsi="Times New Roman"/>
          <w:szCs w:val="24"/>
        </w:rPr>
        <w:t xml:space="preserve">. </w:t>
      </w:r>
      <w:r w:rsidRPr="00C7158D">
        <w:rPr>
          <w:rFonts w:ascii="Times New Roman" w:hAnsi="Times New Roman"/>
          <w:szCs w:val="24"/>
          <w:lang w:bidi="en-US"/>
        </w:rPr>
        <w:t xml:space="preserve">For the majority of the genera (white boxes in </w:t>
      </w:r>
      <w:r w:rsidR="00F230EE">
        <w:rPr>
          <w:rFonts w:ascii="Times New Roman" w:hAnsi="Times New Roman"/>
          <w:szCs w:val="24"/>
          <w:lang w:bidi="en-US"/>
        </w:rPr>
        <w:t>Fig.</w:t>
      </w:r>
      <w:r w:rsidRPr="00C7158D">
        <w:rPr>
          <w:rFonts w:ascii="Times New Roman" w:hAnsi="Times New Roman"/>
          <w:szCs w:val="24"/>
          <w:lang w:bidi="en-US"/>
        </w:rPr>
        <w:t xml:space="preserve"> </w:t>
      </w:r>
      <w:r w:rsidR="00C721D6">
        <w:rPr>
          <w:rFonts w:ascii="Times New Roman" w:hAnsi="Times New Roman"/>
          <w:szCs w:val="24"/>
          <w:lang w:bidi="en-US"/>
        </w:rPr>
        <w:t>4</w:t>
      </w:r>
      <w:r w:rsidRPr="00C7158D">
        <w:rPr>
          <w:rFonts w:ascii="Times New Roman" w:hAnsi="Times New Roman"/>
          <w:szCs w:val="24"/>
          <w:lang w:bidi="en-US"/>
        </w:rPr>
        <w:t xml:space="preserve">), there are no noticeable shifts in their relative dominance during their ranges; they remain relatively rare throughout. In contrast, dominant genera (grey boxes in </w:t>
      </w:r>
      <w:r w:rsidR="00F230EE">
        <w:rPr>
          <w:rFonts w:ascii="Times New Roman" w:hAnsi="Times New Roman"/>
          <w:szCs w:val="24"/>
          <w:lang w:bidi="en-US"/>
        </w:rPr>
        <w:t>Fig.</w:t>
      </w:r>
      <w:r w:rsidRPr="00C7158D">
        <w:rPr>
          <w:rFonts w:ascii="Times New Roman" w:hAnsi="Times New Roman"/>
          <w:szCs w:val="24"/>
          <w:lang w:bidi="en-US"/>
        </w:rPr>
        <w:t xml:space="preserve"> </w:t>
      </w:r>
      <w:r w:rsidR="00C721D6">
        <w:rPr>
          <w:rFonts w:ascii="Times New Roman" w:hAnsi="Times New Roman"/>
          <w:szCs w:val="24"/>
          <w:lang w:bidi="en-US"/>
        </w:rPr>
        <w:t>4</w:t>
      </w:r>
      <w:r w:rsidRPr="00C7158D">
        <w:rPr>
          <w:rFonts w:ascii="Times New Roman" w:hAnsi="Times New Roman"/>
          <w:szCs w:val="24"/>
          <w:lang w:bidi="en-US"/>
        </w:rPr>
        <w:t>) are in most cases already slightly more important at the time of their first appearance and increase their dominance in the middle of their range, and then fall back but remain relatively important at the time of their extinction (</w:t>
      </w:r>
      <w:r w:rsidR="00F230EE">
        <w:rPr>
          <w:rFonts w:ascii="Times New Roman" w:hAnsi="Times New Roman"/>
          <w:szCs w:val="24"/>
          <w:lang w:bidi="en-US"/>
        </w:rPr>
        <w:t>Fig.</w:t>
      </w:r>
      <w:r w:rsidRPr="00C7158D">
        <w:rPr>
          <w:rFonts w:ascii="Times New Roman" w:hAnsi="Times New Roman"/>
          <w:szCs w:val="24"/>
          <w:lang w:bidi="en-US"/>
        </w:rPr>
        <w:t xml:space="preserve"> </w:t>
      </w:r>
      <w:r w:rsidR="00C721D6">
        <w:rPr>
          <w:rFonts w:ascii="Times New Roman" w:hAnsi="Times New Roman"/>
          <w:szCs w:val="24"/>
          <w:lang w:bidi="en-US"/>
        </w:rPr>
        <w:t>5</w:t>
      </w:r>
      <w:r w:rsidRPr="00C7158D">
        <w:rPr>
          <w:rFonts w:ascii="Times New Roman" w:hAnsi="Times New Roman"/>
          <w:szCs w:val="24"/>
          <w:lang w:bidi="en-US"/>
        </w:rPr>
        <w:t>). It is relatively rare, however, for a common genus to be at the top at the very beginning or the very end of its range or to be common throughout its range. Peaks can occur throughout the range of a genus. The pattern is less clear for the longest-lived taxa;</w:t>
      </w:r>
      <w:r w:rsidRPr="00C7158D">
        <w:rPr>
          <w:rFonts w:ascii="Times New Roman" w:eastAsia="Times New Roman" w:hAnsi="Times New Roman"/>
          <w:szCs w:val="24"/>
          <w:lang w:eastAsia="en-US" w:bidi="en-US"/>
        </w:rPr>
        <w:t xml:space="preserve"> but there are very low numbers of these forms and they are more apt to be affected by mass extinctions toward the end of their ranges.</w:t>
      </w:r>
      <w:r>
        <w:rPr>
          <w:rFonts w:ascii="Times New Roman" w:hAnsi="Times New Roman"/>
          <w:szCs w:val="24"/>
        </w:rPr>
        <w:t xml:space="preserve"> </w:t>
      </w:r>
      <w:r w:rsidRPr="00C7158D">
        <w:rPr>
          <w:rFonts w:ascii="Times New Roman" w:hAnsi="Times New Roman"/>
          <w:szCs w:val="24"/>
        </w:rPr>
        <w:t xml:space="preserve">The two groups differ significantly from each other in both cases: although </w:t>
      </w:r>
      <w:r>
        <w:rPr>
          <w:rFonts w:ascii="Times New Roman" w:hAnsi="Times New Roman"/>
          <w:szCs w:val="24"/>
        </w:rPr>
        <w:t>common</w:t>
      </w:r>
      <w:r w:rsidRPr="00C7158D">
        <w:rPr>
          <w:rFonts w:ascii="Times New Roman" w:hAnsi="Times New Roman"/>
          <w:szCs w:val="24"/>
        </w:rPr>
        <w:t xml:space="preserve"> genera rarely are “</w:t>
      </w:r>
      <w:r>
        <w:rPr>
          <w:rFonts w:ascii="Times New Roman" w:hAnsi="Times New Roman"/>
          <w:szCs w:val="24"/>
        </w:rPr>
        <w:t>common</w:t>
      </w:r>
      <w:r w:rsidRPr="00C7158D">
        <w:rPr>
          <w:rFonts w:ascii="Times New Roman" w:hAnsi="Times New Roman"/>
          <w:szCs w:val="24"/>
        </w:rPr>
        <w:t xml:space="preserve">” at the outset, they also are much less apt to start off very rare than are </w:t>
      </w:r>
      <w:r>
        <w:rPr>
          <w:rFonts w:ascii="Times New Roman" w:hAnsi="Times New Roman"/>
          <w:szCs w:val="24"/>
        </w:rPr>
        <w:t>non-dominant</w:t>
      </w:r>
      <w:r w:rsidRPr="00C7158D">
        <w:rPr>
          <w:rFonts w:ascii="Times New Roman" w:hAnsi="Times New Roman"/>
          <w:szCs w:val="24"/>
        </w:rPr>
        <w:t xml:space="preserve"> genera. </w:t>
      </w:r>
      <w:r>
        <w:rPr>
          <w:rFonts w:ascii="Times New Roman" w:hAnsi="Times New Roman"/>
          <w:szCs w:val="24"/>
        </w:rPr>
        <w:t>Common</w:t>
      </w:r>
      <w:r w:rsidRPr="00C7158D">
        <w:rPr>
          <w:rFonts w:ascii="Times New Roman" w:hAnsi="Times New Roman"/>
          <w:szCs w:val="24"/>
        </w:rPr>
        <w:t xml:space="preserve"> genera are also more likely to be fairly common at their last appearance. </w:t>
      </w:r>
    </w:p>
    <w:p w14:paraId="6A2BCCE4" w14:textId="11EF4E70" w:rsidR="00FF08E6" w:rsidRPr="00C7158D" w:rsidRDefault="00FF08E6" w:rsidP="008A66AD">
      <w:pPr>
        <w:spacing w:line="480" w:lineRule="auto"/>
        <w:ind w:firstLine="360"/>
        <w:rPr>
          <w:rFonts w:ascii="Times New Roman" w:hAnsi="Times New Roman"/>
          <w:szCs w:val="24"/>
        </w:rPr>
      </w:pPr>
      <w:r w:rsidRPr="00C7158D">
        <w:rPr>
          <w:rFonts w:ascii="Times New Roman" w:hAnsi="Times New Roman"/>
          <w:szCs w:val="24"/>
        </w:rPr>
        <w:t xml:space="preserve">The horizontal axes of </w:t>
      </w:r>
      <w:r w:rsidR="00F230EE">
        <w:rPr>
          <w:rFonts w:ascii="Times New Roman" w:hAnsi="Times New Roman"/>
          <w:szCs w:val="24"/>
        </w:rPr>
        <w:t>Fig.</w:t>
      </w:r>
      <w:r w:rsidRPr="00C7158D">
        <w:rPr>
          <w:rFonts w:ascii="Times New Roman" w:hAnsi="Times New Roman"/>
          <w:szCs w:val="24"/>
        </w:rPr>
        <w:t xml:space="preserve"> </w:t>
      </w:r>
      <w:r w:rsidR="00C721D6">
        <w:rPr>
          <w:rFonts w:ascii="Times New Roman" w:hAnsi="Times New Roman"/>
          <w:szCs w:val="24"/>
        </w:rPr>
        <w:t>6</w:t>
      </w:r>
      <w:r w:rsidRPr="00C7158D">
        <w:rPr>
          <w:rFonts w:ascii="Times New Roman" w:hAnsi="Times New Roman"/>
          <w:szCs w:val="24"/>
        </w:rPr>
        <w:t xml:space="preserve"> plot the distribution and median CG’s, with 95% error bars added, for taxa that persist for three to eleven bins. What stands out is that the centers of gravity are not different. Similar to the results of Foote (</w:t>
      </w:r>
      <w:r w:rsidR="00A9540F">
        <w:rPr>
          <w:rFonts w:ascii="Times New Roman" w:hAnsi="Times New Roman"/>
          <w:noProof/>
          <w:szCs w:val="24"/>
        </w:rPr>
        <w:fldChar w:fldCharType="begin"/>
      </w:r>
      <w:r w:rsidR="00A9540F">
        <w:rPr>
          <w:rFonts w:ascii="Times New Roman" w:hAnsi="Times New Roman"/>
          <w:noProof/>
          <w:szCs w:val="24"/>
        </w:rPr>
        <w:instrText xml:space="preserve"> ADDIN EN.CITE &lt;EndNote&gt;&lt;Cite ExcludeAuth="1"&gt;&lt;Author&gt;Foote&lt;/Author&gt;&lt;Year&gt;2007&lt;/Year&gt;&lt;RecNum&gt;10&lt;/RecNum&gt;&lt;DisplayText&gt;2007&lt;/DisplayText&gt;&lt;record&gt;&lt;rec-number&gt;10&lt;/rec-number&gt;&lt;foreign-keys&gt;&lt;key app="EN" db-id="r2savzrxwddstne9dvmp0wderfxdtarefrzr" timestamp="1493841983"&gt;10&lt;/key&gt;&lt;/foreign-keys&gt;&lt;ref-type name="Journal Article"&gt;17&lt;/ref-type&gt;&lt;contributors&gt;&lt;authors&gt;&lt;author&gt;Foote, Michael&lt;/author&gt;&lt;/authors&gt;&lt;/contributors&gt;&lt;titles&gt;&lt;title&gt;Symmetric waxing and waning of marine invertebrate genera&lt;/title&gt;&lt;secondary-title&gt;Paleobiology&lt;/secondary-title&gt;&lt;/titles&gt;&lt;periodical&gt;&lt;full-title&gt;Paleobiology&lt;/full-title&gt;&lt;/periodical&gt;&lt;pages&gt;517-529&lt;/pages&gt;&lt;volume&gt;33&lt;/volume&gt;&lt;number&gt;4&lt;/number&gt;&lt;section&gt;517&lt;/section&gt;&lt;dates&gt;&lt;year&gt;2007&lt;/year&gt;&lt;pub-dates&gt;&lt;date&gt;2007/11/01&lt;/date&gt;&lt;/pub-dates&gt;&lt;/dates&gt;&lt;urls&gt;&lt;related-urls&gt;&lt;url&gt;&lt;style face="underline" font="default" size="100%"&gt;http://dx.doi.org/10.1666%2F06084.1 &lt;/style&gt;&lt;/url&gt;&lt;/related-urls&gt;&lt;/urls&gt;&lt;electronic-resource-num&gt;10.1666/06084.1&lt;/electronic-resource-num&gt;&lt;/record&gt;&lt;/Cite&gt;&lt;/EndNote&gt;</w:instrText>
      </w:r>
      <w:r w:rsidR="00A9540F">
        <w:rPr>
          <w:rFonts w:ascii="Times New Roman" w:hAnsi="Times New Roman"/>
          <w:noProof/>
          <w:szCs w:val="24"/>
        </w:rPr>
        <w:fldChar w:fldCharType="separate"/>
      </w:r>
      <w:r w:rsidR="00A9540F">
        <w:rPr>
          <w:rFonts w:ascii="Times New Roman" w:hAnsi="Times New Roman"/>
          <w:noProof/>
          <w:szCs w:val="24"/>
        </w:rPr>
        <w:t>2007</w:t>
      </w:r>
      <w:r w:rsidR="00A9540F">
        <w:rPr>
          <w:rFonts w:ascii="Times New Roman" w:hAnsi="Times New Roman"/>
          <w:noProof/>
          <w:szCs w:val="24"/>
        </w:rPr>
        <w:fldChar w:fldCharType="end"/>
      </w:r>
      <w:r>
        <w:rPr>
          <w:rFonts w:ascii="Times New Roman" w:hAnsi="Times New Roman"/>
          <w:szCs w:val="24"/>
        </w:rPr>
        <w:t xml:space="preserve">), the </w:t>
      </w:r>
      <w:r w:rsidRPr="00C7158D">
        <w:rPr>
          <w:rFonts w:ascii="Times New Roman" w:hAnsi="Times New Roman"/>
          <w:szCs w:val="24"/>
        </w:rPr>
        <w:t xml:space="preserve">CG tends to be in the middle of the </w:t>
      </w:r>
      <w:r w:rsidRPr="00C7158D">
        <w:rPr>
          <w:rFonts w:ascii="Times New Roman" w:hAnsi="Times New Roman"/>
          <w:szCs w:val="24"/>
        </w:rPr>
        <w:lastRenderedPageBreak/>
        <w:t xml:space="preserve">range for both </w:t>
      </w:r>
      <w:r>
        <w:rPr>
          <w:rFonts w:ascii="Times New Roman" w:hAnsi="Times New Roman"/>
          <w:szCs w:val="24"/>
        </w:rPr>
        <w:t>common</w:t>
      </w:r>
      <w:r w:rsidRPr="00C7158D">
        <w:rPr>
          <w:rFonts w:ascii="Times New Roman" w:hAnsi="Times New Roman"/>
          <w:szCs w:val="24"/>
        </w:rPr>
        <w:t xml:space="preserve"> and </w:t>
      </w:r>
      <w:r>
        <w:rPr>
          <w:rFonts w:ascii="Times New Roman" w:hAnsi="Times New Roman"/>
          <w:szCs w:val="24"/>
        </w:rPr>
        <w:t>non-dominant</w:t>
      </w:r>
      <w:r w:rsidRPr="00C7158D">
        <w:rPr>
          <w:rFonts w:ascii="Times New Roman" w:hAnsi="Times New Roman"/>
          <w:szCs w:val="24"/>
        </w:rPr>
        <w:t xml:space="preserve"> genera, indicating a pattern of symmetrical rise and fall. </w:t>
      </w:r>
    </w:p>
    <w:p w14:paraId="2D602BD5" w14:textId="77777777" w:rsidR="00FF08E6" w:rsidRPr="00C7158D" w:rsidRDefault="00FF08E6" w:rsidP="008A66AD">
      <w:pPr>
        <w:spacing w:line="480" w:lineRule="auto"/>
        <w:rPr>
          <w:rFonts w:ascii="Times New Roman" w:hAnsi="Times New Roman"/>
          <w:szCs w:val="24"/>
        </w:rPr>
      </w:pPr>
    </w:p>
    <w:p w14:paraId="5D7E5E86" w14:textId="77777777" w:rsidR="00FF08E6" w:rsidRDefault="00FF08E6" w:rsidP="008A66AD">
      <w:pPr>
        <w:spacing w:line="480" w:lineRule="auto"/>
        <w:jc w:val="center"/>
        <w:outlineLvl w:val="0"/>
        <w:rPr>
          <w:rFonts w:ascii="Times New Roman" w:hAnsi="Times New Roman"/>
          <w:b/>
          <w:i/>
          <w:szCs w:val="24"/>
        </w:rPr>
      </w:pPr>
      <w:bookmarkStart w:id="1" w:name="_Hlk492380967"/>
      <w:r w:rsidRPr="007B3C31">
        <w:rPr>
          <w:rFonts w:ascii="Times New Roman" w:hAnsi="Times New Roman"/>
          <w:b/>
          <w:szCs w:val="24"/>
        </w:rPr>
        <w:t>Discussion</w:t>
      </w:r>
      <w:r w:rsidRPr="007B3C31">
        <w:rPr>
          <w:rFonts w:ascii="Times New Roman" w:hAnsi="Times New Roman"/>
          <w:b/>
          <w:i/>
          <w:szCs w:val="24"/>
        </w:rPr>
        <w:tab/>
      </w:r>
    </w:p>
    <w:p w14:paraId="53FD13D8" w14:textId="205DDD31" w:rsidR="00FF08E6" w:rsidRDefault="00FF08E6" w:rsidP="008A66AD">
      <w:pPr>
        <w:spacing w:line="480" w:lineRule="auto"/>
        <w:ind w:firstLine="360"/>
        <w:rPr>
          <w:rFonts w:ascii="Times New Roman" w:hAnsi="Times New Roman"/>
          <w:szCs w:val="24"/>
        </w:rPr>
      </w:pPr>
      <w:r>
        <w:rPr>
          <w:rFonts w:ascii="Times New Roman" w:hAnsi="Times New Roman"/>
        </w:rPr>
        <w:t xml:space="preserve">The </w:t>
      </w:r>
      <w:r w:rsidRPr="00C7158D">
        <w:rPr>
          <w:rFonts w:ascii="Times New Roman" w:hAnsi="Times New Roman"/>
        </w:rPr>
        <w:t xml:space="preserve">key </w:t>
      </w:r>
      <w:r w:rsidRPr="00C7158D">
        <w:rPr>
          <w:rFonts w:ascii="Times New Roman" w:hAnsi="Times New Roman"/>
          <w:szCs w:val="24"/>
        </w:rPr>
        <w:t xml:space="preserve">issue </w:t>
      </w:r>
      <w:r>
        <w:rPr>
          <w:rFonts w:ascii="Times New Roman" w:hAnsi="Times New Roman"/>
          <w:szCs w:val="24"/>
        </w:rPr>
        <w:t xml:space="preserve">we examine is </w:t>
      </w:r>
      <w:r w:rsidRPr="00C7158D">
        <w:rPr>
          <w:rFonts w:ascii="Times New Roman" w:hAnsi="Times New Roman"/>
          <w:szCs w:val="24"/>
        </w:rPr>
        <w:t xml:space="preserve">whether the </w:t>
      </w:r>
      <w:r>
        <w:rPr>
          <w:rFonts w:ascii="Times New Roman" w:hAnsi="Times New Roman"/>
          <w:szCs w:val="24"/>
        </w:rPr>
        <w:t xml:space="preserve">dominant genera </w:t>
      </w:r>
      <w:r w:rsidRPr="00C7158D">
        <w:rPr>
          <w:rFonts w:ascii="Times New Roman" w:hAnsi="Times New Roman"/>
          <w:szCs w:val="24"/>
        </w:rPr>
        <w:t xml:space="preserve">are fundamentally different in some way from </w:t>
      </w:r>
      <w:r>
        <w:rPr>
          <w:rFonts w:ascii="Times New Roman" w:hAnsi="Times New Roman"/>
          <w:szCs w:val="24"/>
        </w:rPr>
        <w:t>non-dominant genera</w:t>
      </w:r>
      <w:r w:rsidRPr="00C7158D">
        <w:rPr>
          <w:rFonts w:ascii="Times New Roman" w:hAnsi="Times New Roman"/>
          <w:szCs w:val="24"/>
        </w:rPr>
        <w:t xml:space="preserve"> </w:t>
      </w:r>
      <w:r w:rsidR="00A84899">
        <w:rPr>
          <w:rFonts w:ascii="Times New Roman" w:hAnsi="Times New Roman"/>
          <w:szCs w:val="24"/>
        </w:rPr>
        <w:t xml:space="preserve">or if they are simply genera that just happen to have a </w:t>
      </w:r>
      <w:r w:rsidRPr="00C7158D">
        <w:rPr>
          <w:rFonts w:ascii="Times New Roman" w:hAnsi="Times New Roman"/>
          <w:szCs w:val="24"/>
        </w:rPr>
        <w:t>greater share</w:t>
      </w:r>
      <w:r>
        <w:rPr>
          <w:rFonts w:ascii="Times New Roman" w:hAnsi="Times New Roman"/>
          <w:szCs w:val="24"/>
        </w:rPr>
        <w:t xml:space="preserve"> of total occurrences. We find some support for both alternatives. First, overall turnover patterns within </w:t>
      </w:r>
      <w:r w:rsidRPr="00D90813">
        <w:rPr>
          <w:rFonts w:ascii="Times New Roman" w:hAnsi="Times New Roman"/>
          <w:szCs w:val="24"/>
        </w:rPr>
        <w:t>do</w:t>
      </w:r>
      <w:r>
        <w:rPr>
          <w:rFonts w:ascii="Times New Roman" w:hAnsi="Times New Roman"/>
          <w:szCs w:val="24"/>
        </w:rPr>
        <w:t>minant genera, which r</w:t>
      </w:r>
      <w:r w:rsidRPr="00C7158D">
        <w:rPr>
          <w:rFonts w:ascii="Times New Roman" w:hAnsi="Times New Roman"/>
          <w:szCs w:val="24"/>
        </w:rPr>
        <w:t xml:space="preserve">epresent </w:t>
      </w:r>
      <w:r>
        <w:rPr>
          <w:rFonts w:ascii="Times New Roman" w:hAnsi="Times New Roman"/>
          <w:szCs w:val="24"/>
        </w:rPr>
        <w:t xml:space="preserve">only </w:t>
      </w:r>
      <w:r w:rsidRPr="00C7158D">
        <w:rPr>
          <w:rFonts w:ascii="Times New Roman" w:hAnsi="Times New Roman"/>
          <w:szCs w:val="24"/>
        </w:rPr>
        <w:t>a small fraction of total richness</w:t>
      </w:r>
      <w:r>
        <w:rPr>
          <w:rFonts w:ascii="Times New Roman" w:hAnsi="Times New Roman"/>
          <w:szCs w:val="24"/>
        </w:rPr>
        <w:t xml:space="preserve">, still resemble </w:t>
      </w:r>
      <w:r w:rsidRPr="00C7158D">
        <w:rPr>
          <w:rFonts w:ascii="Times New Roman" w:hAnsi="Times New Roman"/>
          <w:szCs w:val="24"/>
        </w:rPr>
        <w:t xml:space="preserve">those seen </w:t>
      </w:r>
      <w:r w:rsidR="0016651A">
        <w:rPr>
          <w:rFonts w:ascii="Times New Roman" w:hAnsi="Times New Roman"/>
          <w:szCs w:val="24"/>
        </w:rPr>
        <w:t>based on estimates</w:t>
      </w:r>
      <w:r w:rsidRPr="00C7158D">
        <w:rPr>
          <w:rFonts w:ascii="Times New Roman" w:hAnsi="Times New Roman"/>
          <w:szCs w:val="24"/>
        </w:rPr>
        <w:t xml:space="preserve"> of t</w:t>
      </w:r>
      <w:r w:rsidR="0016651A">
        <w:rPr>
          <w:rFonts w:ascii="Times New Roman" w:hAnsi="Times New Roman"/>
          <w:szCs w:val="24"/>
        </w:rPr>
        <w:t>otal biodiversity fluctuations (</w:t>
      </w:r>
      <w:r w:rsidR="00EC6DD6">
        <w:rPr>
          <w:rFonts w:ascii="Times New Roman" w:hAnsi="Times New Roman"/>
          <w:szCs w:val="24"/>
        </w:rPr>
        <w:fldChar w:fldCharType="begin"/>
      </w:r>
      <w:r w:rsidR="00EA54AA">
        <w:rPr>
          <w:rFonts w:ascii="Times New Roman" w:hAnsi="Times New Roman"/>
          <w:szCs w:val="24"/>
        </w:rPr>
        <w:instrText xml:space="preserve"> ADDIN EN.CITE &lt;EndNote&gt;&lt;Cite&gt;&lt;Author&gt;Harnik&lt;/Author&gt;&lt;Year&gt;2012&lt;/Year&gt;&lt;RecNum&gt;18487&lt;/RecNum&gt;&lt;DisplayText&gt;Harnik et al. 2012&lt;/DisplayText&gt;&lt;record&gt;&lt;rec-number&gt;18487&lt;/rec-number&gt;&lt;foreign-keys&gt;&lt;key app="EN" db-id="wz00v599a2zpv4etvzgv2e93052sszxwve5v" timestamp="1434662272"&gt;18487&lt;/key&gt;&lt;/foreign-keys&gt;&lt;ref-type name="Journal Article"&gt;17&lt;/ref-type&gt;&lt;contributors&gt;&lt;authors&gt;&lt;author&gt;Harnik, Paul G.&lt;/author&gt;&lt;author&gt;Lotze, Heike K.&lt;/author&gt;&lt;author&gt;Anderson, Sean C.&lt;/author&gt;&lt;author&gt;Finkel, Zoe V.&lt;/author&gt;&lt;author&gt;Finnegan, Seth&lt;/author&gt;&lt;author&gt;Lindberg, David R.&lt;/author&gt;&lt;author&gt;Liow, Lee Hsiang&lt;/author&gt;&lt;author&gt;Lockwood, Rowan&lt;/author&gt;&lt;author&gt;McClain, Craig R.&lt;/author&gt;&lt;author&gt;McGuire, Jenny L.&lt;/author&gt;&lt;author&gt;O’Dea, Aaron&lt;/author&gt;&lt;author&gt;Pandolfi, John M.&lt;/author&gt;&lt;author&gt;Simpson, Carl&lt;/author&gt;&lt;author&gt;Tittensor, Derek P.&lt;/author&gt;&lt;/authors&gt;&lt;/contributors&gt;&lt;titles&gt;&lt;title&gt;Extinctions in ancient and modern seas&lt;/title&gt;&lt;secondary-title&gt;Trends in Ecology &amp;amp; Evolution&lt;/secondary-title&gt;&lt;/titles&gt;&lt;periodical&gt;&lt;full-title&gt;Trends in Ecology &amp;amp; Evolution&lt;/full-title&gt;&lt;/periodical&gt;&lt;pages&gt;608-617&lt;/pages&gt;&lt;volume&gt;27&lt;/volume&gt;&lt;number&gt;11&lt;/number&gt;&lt;dates&gt;&lt;year&gt;2012&lt;/year&gt;&lt;pub-dates&gt;&lt;date&gt;11//&lt;/date&gt;&lt;/pub-dates&gt;&lt;/dates&gt;&lt;isbn&gt;0169-5347&lt;/isbn&gt;&lt;urls&gt;&lt;related-urls&gt;&lt;url&gt;http://www.sciencedirect.com/science/article/pii/S0169534712001711&lt;/url&gt;&lt;/related-urls&gt;&lt;/urls&gt;&lt;electronic-resource-num&gt;http://dx.doi.org/10.1016/j.tree.2012.07.010&lt;/electronic-resource-num&gt;&lt;/record&gt;&lt;/Cite&gt;&lt;/EndNote&gt;</w:instrText>
      </w:r>
      <w:r w:rsidR="00EC6DD6">
        <w:rPr>
          <w:rFonts w:ascii="Times New Roman" w:hAnsi="Times New Roman"/>
          <w:szCs w:val="24"/>
        </w:rPr>
        <w:fldChar w:fldCharType="separate"/>
      </w:r>
      <w:r w:rsidR="00EC6DD6">
        <w:rPr>
          <w:rFonts w:ascii="Times New Roman" w:hAnsi="Times New Roman"/>
          <w:noProof/>
          <w:szCs w:val="24"/>
        </w:rPr>
        <w:t>Harnik et al. 2012</w:t>
      </w:r>
      <w:r w:rsidR="00EC6DD6">
        <w:rPr>
          <w:rFonts w:ascii="Times New Roman" w:hAnsi="Times New Roman"/>
          <w:szCs w:val="24"/>
        </w:rPr>
        <w:fldChar w:fldCharType="end"/>
      </w:r>
      <w:r w:rsidR="0016651A">
        <w:rPr>
          <w:rFonts w:ascii="Times New Roman" w:hAnsi="Times New Roman"/>
          <w:szCs w:val="24"/>
        </w:rPr>
        <w:t>)</w:t>
      </w:r>
      <w:r w:rsidRPr="00C7158D">
        <w:rPr>
          <w:rFonts w:ascii="Times New Roman" w:hAnsi="Times New Roman"/>
          <w:szCs w:val="24"/>
        </w:rPr>
        <w:t>. For example, episodes of major drops in the dominant positions of these taxa mirrors the decline of overall richness associated with mass extinction intervals.</w:t>
      </w:r>
      <w:r w:rsidRPr="00D1125D">
        <w:rPr>
          <w:rFonts w:ascii="Times New Roman" w:hAnsi="Times New Roman"/>
          <w:szCs w:val="24"/>
        </w:rPr>
        <w:t xml:space="preserve"> </w:t>
      </w:r>
      <w:r w:rsidRPr="00C7158D">
        <w:rPr>
          <w:rFonts w:ascii="Times New Roman" w:hAnsi="Times New Roman"/>
          <w:szCs w:val="24"/>
        </w:rPr>
        <w:t>Thus, the mechanisms of the major mass extincti</w:t>
      </w:r>
      <w:r>
        <w:rPr>
          <w:rFonts w:ascii="Times New Roman" w:hAnsi="Times New Roman"/>
          <w:szCs w:val="24"/>
        </w:rPr>
        <w:t xml:space="preserve">ons are capable of eliminating or at least greatly reducing </w:t>
      </w:r>
      <w:r w:rsidRPr="00C7158D">
        <w:rPr>
          <w:rFonts w:ascii="Times New Roman" w:hAnsi="Times New Roman"/>
          <w:szCs w:val="24"/>
        </w:rPr>
        <w:t>widespread and often locally abundant genera</w:t>
      </w:r>
      <w:r w:rsidR="00130EE2">
        <w:rPr>
          <w:rFonts w:ascii="Times New Roman" w:hAnsi="Times New Roman"/>
          <w:szCs w:val="24"/>
        </w:rPr>
        <w:t xml:space="preserve"> and presumably their constituent species. A</w:t>
      </w:r>
      <w:r w:rsidR="0010035D">
        <w:rPr>
          <w:rFonts w:ascii="Times New Roman" w:hAnsi="Times New Roman"/>
          <w:szCs w:val="24"/>
        </w:rPr>
        <w:t>s suggested by Hull et al. (</w:t>
      </w:r>
      <w:r w:rsidR="00D4045F">
        <w:rPr>
          <w:rFonts w:ascii="Times New Roman" w:hAnsi="Times New Roman"/>
          <w:szCs w:val="24"/>
        </w:rPr>
        <w:fldChar w:fldCharType="begin"/>
      </w:r>
      <w:r w:rsidR="00EA54AA">
        <w:rPr>
          <w:rFonts w:ascii="Times New Roman" w:hAnsi="Times New Roman"/>
          <w:szCs w:val="24"/>
        </w:rPr>
        <w:instrText xml:space="preserve"> ADDIN EN.CITE &lt;EndNote&gt;&lt;Cite ExcludeAuth="1"&gt;&lt;Author&gt;Hull&lt;/Author&gt;&lt;Year&gt;2015&lt;/Year&gt;&lt;RecNum&gt;19141&lt;/RecNum&gt;&lt;DisplayText&gt;2015&lt;/DisplayText&gt;&lt;record&gt;&lt;rec-number&gt;19141&lt;/rec-number&gt;&lt;foreign-keys&gt;&lt;key app="EN" db-id="wz00v599a2zpv4etvzgv2e93052sszxwve5v" timestamp="1465486209"&gt;19141&lt;/key&gt;&lt;/foreign-keys&gt;&lt;ref-type name="Journal Article"&gt;17&lt;/ref-type&gt;&lt;contributors&gt;&lt;authors&gt;&lt;author&gt;Hull, Pincelli M.&lt;/author&gt;&lt;author&gt;Darroch, Simon A. F.&lt;/author&gt;&lt;author&gt;Erwin, Douglas H.&lt;/author&gt;&lt;/authors&gt;&lt;/contributors&gt;&lt;titles&gt;&lt;title&gt;Rarity in mass extinctions and the future of ecosystems&lt;/title&gt;&lt;secondary-title&gt;Nature&lt;/secondary-title&gt;&lt;/titles&gt;&lt;periodical&gt;&lt;full-title&gt;Nature&lt;/full-title&gt;&lt;/periodical&gt;&lt;pages&gt;345-351&lt;/pages&gt;&lt;volume&gt;528&lt;/volume&gt;&lt;number&gt;7582&lt;/number&gt;&lt;dates&gt;&lt;year&gt;2015&lt;/year&gt;&lt;/dates&gt;&lt;publisher&gt;Nature Publishing Group, a division of Macmillan Publishers Limited. All Rights Reserved.&lt;/publisher&gt;&lt;isbn&gt;0028-0836&lt;/isbn&gt;&lt;work-type&gt;Review&lt;/work-type&gt;&lt;urls&gt;&lt;related-urls&gt;&lt;url&gt;http://dx.doi.org/10.1038/nature16160&lt;/url&gt;&lt;/related-urls&gt;&lt;/urls&gt;&lt;electronic-resource-num&gt;10.1038/nature16160&lt;/electronic-resource-num&gt;&lt;/record&gt;&lt;/Cite&gt;&lt;/EndNote&gt;</w:instrText>
      </w:r>
      <w:r w:rsidR="00D4045F">
        <w:rPr>
          <w:rFonts w:ascii="Times New Roman" w:hAnsi="Times New Roman"/>
          <w:szCs w:val="24"/>
        </w:rPr>
        <w:fldChar w:fldCharType="separate"/>
      </w:r>
      <w:r w:rsidR="00D4045F">
        <w:rPr>
          <w:rFonts w:ascii="Times New Roman" w:hAnsi="Times New Roman"/>
          <w:noProof/>
          <w:szCs w:val="24"/>
        </w:rPr>
        <w:t>2015</w:t>
      </w:r>
      <w:r w:rsidR="00D4045F">
        <w:rPr>
          <w:rFonts w:ascii="Times New Roman" w:hAnsi="Times New Roman"/>
          <w:szCs w:val="24"/>
        </w:rPr>
        <w:fldChar w:fldCharType="end"/>
      </w:r>
      <w:r w:rsidR="00130EE2">
        <w:rPr>
          <w:rFonts w:ascii="Times New Roman" w:hAnsi="Times New Roman"/>
          <w:szCs w:val="24"/>
        </w:rPr>
        <w:t>), rarity of previously abundant species is essentially equivalent to extinction</w:t>
      </w:r>
      <w:r w:rsidR="005F0937">
        <w:rPr>
          <w:rFonts w:ascii="Times New Roman" w:hAnsi="Times New Roman"/>
          <w:szCs w:val="24"/>
        </w:rPr>
        <w:t xml:space="preserve"> because it requires the extirpation of numerous populations</w:t>
      </w:r>
      <w:r w:rsidR="00F230EE">
        <w:rPr>
          <w:rFonts w:ascii="Times New Roman" w:hAnsi="Times New Roman"/>
          <w:szCs w:val="24"/>
        </w:rPr>
        <w:t xml:space="preserve">. </w:t>
      </w:r>
      <w:r w:rsidRPr="00C7158D">
        <w:rPr>
          <w:rFonts w:ascii="Times New Roman" w:hAnsi="Times New Roman"/>
          <w:szCs w:val="24"/>
        </w:rPr>
        <w:t>Previous studies of patterns of ecological change in the fossil record, especially of extinctions, have recognized that there is a decoupling between biodiversity changes and ecosystem alterations (</w:t>
      </w:r>
      <w:r w:rsidR="006A5C5B">
        <w:rPr>
          <w:rFonts w:ascii="Times New Roman" w:hAnsi="Times New Roman"/>
          <w:noProof/>
          <w:szCs w:val="24"/>
        </w:rPr>
        <w:fldChar w:fldCharType="begin"/>
      </w:r>
      <w:r w:rsidR="00EA54AA">
        <w:rPr>
          <w:rFonts w:ascii="Times New Roman" w:hAnsi="Times New Roman"/>
          <w:noProof/>
          <w:szCs w:val="24"/>
        </w:rPr>
        <w:instrText xml:space="preserve"> ADDIN EN.CITE &lt;EndNote&gt;&lt;Cite&gt;&lt;Author&gt;Droser&lt;/Author&gt;&lt;Year&gt;1997&lt;/Year&gt;&lt;RecNum&gt;21301&lt;/RecNum&gt;&lt;DisplayText&gt;Droser et al. 1997&lt;/DisplayText&gt;&lt;record&gt;&lt;rec-number&gt;21301&lt;/rec-number&gt;&lt;foreign-keys&gt;&lt;key app="EN" db-id="wz00v599a2zpv4etvzgv2e93052sszxwve5v" timestamp="1471273244"&gt;21301&lt;/key&gt;&lt;/foreign-keys&gt;&lt;ref-type name="Journal Article"&gt;17&lt;/ref-type&gt;&lt;contributors&gt;&lt;authors&gt;&lt;author&gt;Droser, M. L.&lt;/author&gt;&lt;author&gt;Bottjer, D. J.&lt;/author&gt;&lt;author&gt;Sheehan, P. M.&lt;/author&gt;&lt;/authors&gt;&lt;/contributors&gt;&lt;titles&gt;&lt;title&gt;Evaluating the ecological architecture of major events in the Phanerozoic history of marine invertebrate life&lt;/title&gt;&lt;secondary-title&gt;Geology&lt;/secondary-title&gt;&lt;/titles&gt;&lt;periodical&gt;&lt;full-title&gt;Geology&lt;/full-title&gt;&lt;/periodical&gt;&lt;pages&gt;167-170&lt;/pages&gt;&lt;volume&gt;25&lt;/volume&gt;&lt;number&gt;2&lt;/number&gt;&lt;dates&gt;&lt;year&gt;1997&lt;/year&gt;&lt;pub-dates&gt;&lt;date&gt;Feb&lt;/date&gt;&lt;/pub-dates&gt;&lt;/dates&gt;&lt;accession-num&gt;ISI:A1997WG66300018&lt;/accession-num&gt;&lt;urls&gt;&lt;related-urls&gt;&lt;url&gt;&amp;lt;Go to ISI&amp;gt;://A1997WG66300018&lt;/url&gt;&lt;/related-urls&gt;&lt;/urls&gt;&lt;/record&gt;&lt;/Cite&gt;&lt;/EndNote&gt;</w:instrText>
      </w:r>
      <w:r w:rsidR="006A5C5B">
        <w:rPr>
          <w:rFonts w:ascii="Times New Roman" w:hAnsi="Times New Roman"/>
          <w:noProof/>
          <w:szCs w:val="24"/>
        </w:rPr>
        <w:fldChar w:fldCharType="separate"/>
      </w:r>
      <w:r w:rsidR="006A5C5B" w:rsidRPr="00EA54AA">
        <w:rPr>
          <w:rFonts w:ascii="Times New Roman" w:hAnsi="Times New Roman"/>
          <w:noProof/>
          <w:szCs w:val="24"/>
          <w:lang w:val="da-DK"/>
        </w:rPr>
        <w:t>Droser et al. 1997</w:t>
      </w:r>
      <w:r w:rsidR="006A5C5B">
        <w:rPr>
          <w:rFonts w:ascii="Times New Roman" w:hAnsi="Times New Roman"/>
          <w:noProof/>
          <w:szCs w:val="24"/>
        </w:rPr>
        <w:fldChar w:fldCharType="end"/>
      </w:r>
      <w:r w:rsidR="006A5C5B" w:rsidRPr="00EA54AA">
        <w:rPr>
          <w:rFonts w:ascii="Times New Roman" w:hAnsi="Times New Roman"/>
          <w:noProof/>
          <w:szCs w:val="24"/>
          <w:lang w:val="da-DK"/>
        </w:rPr>
        <w:t>;</w:t>
      </w:r>
      <w:r w:rsidRPr="00EA54AA">
        <w:rPr>
          <w:rFonts w:ascii="Times New Roman" w:hAnsi="Times New Roman"/>
          <w:noProof/>
          <w:szCs w:val="24"/>
          <w:lang w:val="da-DK"/>
        </w:rPr>
        <w:t xml:space="preserve"> </w:t>
      </w:r>
      <w:r w:rsidR="006A5C5B">
        <w:rPr>
          <w:rFonts w:ascii="Times New Roman" w:hAnsi="Times New Roman"/>
          <w:noProof/>
          <w:szCs w:val="24"/>
        </w:rPr>
        <w:fldChar w:fldCharType="begin"/>
      </w:r>
      <w:r w:rsidR="006A5C5B" w:rsidRPr="00EA54AA">
        <w:rPr>
          <w:rFonts w:ascii="Times New Roman" w:hAnsi="Times New Roman"/>
          <w:noProof/>
          <w:szCs w:val="24"/>
          <w:lang w:val="da-DK"/>
        </w:rPr>
        <w:instrText xml:space="preserve"> ADDIN EN.CITE &lt;EndNote&gt;&lt;Cite&gt;&lt;Author&gt;Droser&lt;/Author&gt;&lt;Year&gt;2000&lt;/Year&gt;&lt;RecNum&gt;8&lt;/RecNum&gt;&lt;DisplayText&gt;Droser et al. 2000&lt;/DisplayText&gt;&lt;record&gt;&lt;rec-number&gt;8&lt;/rec-number&gt;&lt;foreign-keys&gt;&lt;key app="EN" db-id="r2savzrxwddstne9dvmp0wderfxdtarefrzr" timestamp="1493841983"&gt;8&lt;/key&gt;&lt;/foreign-keys&gt;&lt;ref-type name="Journal Article"&gt;17&lt;/ref-type&gt;&lt;contributors&gt;&lt;authors&gt;&lt;author&gt;Droser, Mary L.&lt;/author&gt;&lt;author&gt;Bottjer, David J.&lt;/author&gt;&lt;author&gt;Sheehan, Peter M.&lt;/author&gt;&lt;author&gt;McGhee, George R.&lt;/author&gt;&lt;/authors&gt;&lt;/contributors&gt;&lt;titles&gt;&lt;title&gt;Decoupling of taxonomic and ecologic severity of Phanerozoic marine mass extinctions&lt;/title&gt;&lt;secondary-title&gt;Geology&lt;/secondary-title&gt;&lt;/titles&gt;&lt;periodical&gt;&lt;full-title&gt;Geology&lt;/full-title&gt;&lt;/periodical&gt;&lt;pages&gt;675-678&lt;/pages&gt;&lt;volume&gt;28&lt;/volume&gt;&lt;number&gt;8&lt;/number&gt;&lt;dates&gt;&lt;year&gt;2000&lt;/year&gt;&lt;pub-dates&gt;&lt;date&gt;August 1, 2000&lt;/date&gt;&lt;/pub-dates&gt;&lt;/dates&gt;&lt;urls&gt;&lt;related-urls&gt;&lt;url&gt;http://geology.gsapubs.org/content/28/8/675.abstract&lt;/url&gt;&lt;/related-urls&gt;&lt;/urls&gt;&lt;electronic-resource-num&gt;10.1130/0091-7613(2000)28&amp;lt;675:dotaes&amp;gt;2.0.co;2&lt;/electronic-resource-num&gt;&lt;/record&gt;&lt;/Cite&gt;&lt;/EndNote&gt;</w:instrText>
      </w:r>
      <w:r w:rsidR="006A5C5B">
        <w:rPr>
          <w:rFonts w:ascii="Times New Roman" w:hAnsi="Times New Roman"/>
          <w:noProof/>
          <w:szCs w:val="24"/>
        </w:rPr>
        <w:fldChar w:fldCharType="separate"/>
      </w:r>
      <w:r w:rsidR="006A5C5B" w:rsidRPr="00EA54AA">
        <w:rPr>
          <w:rFonts w:ascii="Times New Roman" w:hAnsi="Times New Roman"/>
          <w:noProof/>
          <w:szCs w:val="24"/>
          <w:lang w:val="da-DK"/>
        </w:rPr>
        <w:t>Droser et al. 2000</w:t>
      </w:r>
      <w:r w:rsidR="006A5C5B">
        <w:rPr>
          <w:rFonts w:ascii="Times New Roman" w:hAnsi="Times New Roman"/>
          <w:noProof/>
          <w:szCs w:val="24"/>
        </w:rPr>
        <w:fldChar w:fldCharType="end"/>
      </w:r>
      <w:r w:rsidR="006A5C5B" w:rsidRPr="00EA54AA">
        <w:rPr>
          <w:rFonts w:ascii="Times New Roman" w:hAnsi="Times New Roman"/>
          <w:noProof/>
          <w:szCs w:val="24"/>
          <w:lang w:val="da-DK"/>
        </w:rPr>
        <w:t>;</w:t>
      </w:r>
      <w:r w:rsidRPr="00EA54AA">
        <w:rPr>
          <w:rFonts w:ascii="Times New Roman" w:hAnsi="Times New Roman"/>
          <w:noProof/>
          <w:szCs w:val="24"/>
          <w:lang w:val="da-DK"/>
        </w:rPr>
        <w:t xml:space="preserve"> </w:t>
      </w:r>
      <w:r w:rsidR="002D0E3A">
        <w:rPr>
          <w:rFonts w:ascii="Times New Roman" w:hAnsi="Times New Roman"/>
          <w:noProof/>
          <w:szCs w:val="24"/>
        </w:rPr>
        <w:fldChar w:fldCharType="begin"/>
      </w:r>
      <w:r w:rsidR="002D0E3A" w:rsidRPr="00EA54AA">
        <w:rPr>
          <w:rFonts w:ascii="Times New Roman" w:hAnsi="Times New Roman"/>
          <w:noProof/>
          <w:szCs w:val="24"/>
          <w:lang w:val="da-DK"/>
        </w:rPr>
        <w:instrText xml:space="preserve"> ADDIN EN.CITE &lt;EndNote&gt;&lt;Cite&gt;&lt;Author&gt;Christie&lt;/Author&gt;&lt;Year&gt;2013&lt;/Year&gt;&lt;RecNum&gt;4&lt;/RecNum&gt;&lt;DisplayText&gt;Christie et al. 2013&lt;/DisplayText&gt;&lt;record&gt;&lt;rec-number&gt;4&lt;/rec-number&gt;&lt;foreign-keys&gt;&lt;key app="EN" db-id="r2savzrxwddstne9dvmp0wderfxdtarefrzr" timestamp="1493841983"&gt;4&lt;/key&gt;&lt;/foreign-keys&gt;&lt;ref-type name="Journal Article"&gt;17&lt;/ref-type&gt;&lt;contributors&gt;&lt;authors&gt;&lt;author&gt;Christie, Max&lt;/author&gt;&lt;author&gt;Holland, Steven M.&lt;/author&gt;&lt;author&gt;Bush, Andrew M.&lt;/author&gt;&lt;/authors&gt;&lt;/contributors&gt;&lt;titles&gt;&lt;title&gt;Contrasting the ecological and taxonomic consequences of extinction&lt;/title&gt;&lt;secondary-title&gt;Paleobiology&lt;/secondary-title&gt;&lt;/titles&gt;&lt;periodical&gt;&lt;full-title&gt;Paleobiology&lt;/full-title&gt;&lt;/periodical&gt;&lt;pages&gt;538-559&lt;/pages&gt;&lt;volume&gt;39&lt;/volume&gt;&lt;number&gt;4&lt;/number&gt;&lt;edition&gt;2013/06/01&lt;/edition&gt;&lt;section&gt;538&lt;/section&gt;&lt;dates&gt;&lt;year&gt;2013&lt;/year&gt;&lt;pub-dates&gt;&lt;date&gt;2013/12/01&lt;/date&gt;&lt;/pub-dates&gt;&lt;/dates&gt;&lt;publisher&gt;The Paleontological Society&lt;/publisher&gt;&lt;isbn&gt;0094-8373&lt;/isbn&gt;&lt;urls&gt;&lt;related-urls&gt;&lt;url&gt;http://dx.doi.org/10.1666/12033&lt;/url&gt;&lt;/related-urls&gt;&lt;/urls&gt;&lt;electronic-resource-num&gt;10.1666/12033&lt;/electronic-resource-num&gt;&lt;access-date&gt;2013/08/28&lt;/access-date&gt;&lt;/record&gt;&lt;/Cite&gt;&lt;/EndNote&gt;</w:instrText>
      </w:r>
      <w:r w:rsidR="002D0E3A">
        <w:rPr>
          <w:rFonts w:ascii="Times New Roman" w:hAnsi="Times New Roman"/>
          <w:noProof/>
          <w:szCs w:val="24"/>
        </w:rPr>
        <w:fldChar w:fldCharType="separate"/>
      </w:r>
      <w:r w:rsidR="002D0E3A" w:rsidRPr="00EA54AA">
        <w:rPr>
          <w:rFonts w:ascii="Times New Roman" w:hAnsi="Times New Roman"/>
          <w:noProof/>
          <w:szCs w:val="24"/>
          <w:lang w:val="da-DK"/>
        </w:rPr>
        <w:t>Christie et al. 2013</w:t>
      </w:r>
      <w:r w:rsidR="002D0E3A">
        <w:rPr>
          <w:rFonts w:ascii="Times New Roman" w:hAnsi="Times New Roman"/>
          <w:noProof/>
          <w:szCs w:val="24"/>
        </w:rPr>
        <w:fldChar w:fldCharType="end"/>
      </w:r>
      <w:r w:rsidR="002D0E3A" w:rsidRPr="00EA54AA">
        <w:rPr>
          <w:rFonts w:ascii="Times New Roman" w:hAnsi="Times New Roman"/>
          <w:noProof/>
          <w:szCs w:val="24"/>
          <w:lang w:val="da-DK"/>
        </w:rPr>
        <w:t>;</w:t>
      </w:r>
      <w:r w:rsidRPr="00EA54AA">
        <w:rPr>
          <w:rFonts w:ascii="Times New Roman" w:hAnsi="Times New Roman"/>
          <w:noProof/>
          <w:szCs w:val="24"/>
          <w:lang w:val="da-DK"/>
        </w:rPr>
        <w:t xml:space="preserve"> </w:t>
      </w:r>
      <w:r w:rsidR="002D0E3A">
        <w:rPr>
          <w:rFonts w:ascii="Times New Roman" w:hAnsi="Times New Roman"/>
          <w:noProof/>
          <w:szCs w:val="24"/>
          <w:lang w:val="da-DK"/>
        </w:rPr>
        <w:fldChar w:fldCharType="begin"/>
      </w:r>
      <w:r w:rsidR="002D0E3A" w:rsidRPr="00EA54AA">
        <w:rPr>
          <w:rFonts w:ascii="Times New Roman" w:hAnsi="Times New Roman"/>
          <w:noProof/>
          <w:szCs w:val="24"/>
          <w:lang w:val="da-DK"/>
        </w:rPr>
        <w:instrText xml:space="preserve"> ADDIN EN.CITE &lt;EndNote&gt;&lt;Cite&gt;&lt;Author&gt;McGhee&lt;/Author&gt;&lt;Year&gt;2013&lt;/Year&gt;&lt;RecNum&gt;20&lt;/RecNum&gt;&lt;DisplayText&gt;McGhee et al. 2013&lt;/DisplayText&gt;&lt;record&gt;&lt;rec-number&gt;20&lt;/rec-number&gt;&lt;foreign-keys&gt;&lt;key app="EN" db-id="r2savzrxwddstne9dvmp0wderfxdtarefrzr" timestamp="1493841983"&gt;20&lt;/key&gt;&lt;/foreign-keys&gt;&lt;ref-type name="Journal Article"&gt;17&lt;/ref-type&gt;&lt;contributors&gt;&lt;authors&gt;&lt;author&gt;McGhee, George R., Jr.&lt;/author&gt;&lt;author&gt;Clapham, Matthew E.&lt;/author&gt;&lt;author&gt;Sheehan, Peter M.&lt;/author&gt;&lt;author&gt;Bottjer, David J.&lt;/author&gt;&lt;author&gt;Droser, Mary L.&lt;/author&gt;&lt;/authors&gt;&lt;/contributors&gt;&lt;titles&gt;&lt;title&gt;A new ecological-severity ranking of major Phanerozoic biodiversity crises&lt;/title&gt;&lt;secondary-title&gt;Palaeogeography, Palaeoclimatology, Palaeoecology&lt;/secondary-title&gt;&lt;/titles&gt;&lt;periodical&gt;&lt;full-title&gt;Palaeogeography, Palaeoclimatology, Palaeoecology&lt;/full-title&gt;&lt;/periodical&gt;&lt;pages&gt;260-270&lt;/pages&gt;&lt;volume&gt;370&lt;/volume&gt;&lt;number&gt;0&lt;/number&gt;&lt;keywords&gt;&lt;keyword&gt;Biodiversity crisis&lt;/keyword&gt;&lt;keyword&gt;Mass extinction&lt;/keyword&gt;&lt;keyword&gt;Invasive species&lt;/keyword&gt;&lt;keyword&gt;Ecosystem evolution&lt;/keyword&gt;&lt;keyword&gt;Volcanism&lt;/keyword&gt;&lt;keyword&gt;Glaciation&lt;/keyword&gt;&lt;/keywords&gt;&lt;dates&gt;&lt;year&gt;2013&lt;/year&gt;&lt;pub-dates&gt;&lt;date&gt;2013/01/15&lt;/date&gt;&lt;/pub-dates&gt;&lt;/dates&gt;&lt;isbn&gt;0031-0182&lt;/isbn&gt;&lt;urls&gt;&lt;related-urls&gt;&lt;url&gt;http://www.sciencedirect.com/science/article/pii/S0031018212007018&lt;/url&gt;&lt;url&gt;http://ac.els-cdn.com/S0031018212007018/1-s2.0-S0031018212007018-main.pdf?_tid=34f844b8-b166-11e4-bc42-00000aab0f27&amp;amp;acdnat=1423601506_fe7524a993179809385b66698f34b8d8&lt;/url&gt;&lt;/related-urls&gt;&lt;/urls&gt;&lt;electronic-resource-num&gt;10.1016/j.palaeo.2012.12.019&lt;/electronic-resource-num&gt;&lt;/record&gt;&lt;/Cite&gt;&lt;/EndNote&gt;</w:instrText>
      </w:r>
      <w:r w:rsidR="002D0E3A">
        <w:rPr>
          <w:rFonts w:ascii="Times New Roman" w:hAnsi="Times New Roman"/>
          <w:noProof/>
          <w:szCs w:val="24"/>
          <w:lang w:val="da-DK"/>
        </w:rPr>
        <w:fldChar w:fldCharType="separate"/>
      </w:r>
      <w:r w:rsidR="002D0E3A" w:rsidRPr="00EA54AA">
        <w:rPr>
          <w:rFonts w:ascii="Times New Roman" w:hAnsi="Times New Roman"/>
          <w:noProof/>
          <w:szCs w:val="24"/>
          <w:lang w:val="da-DK"/>
        </w:rPr>
        <w:t>McGhee et al. 2013</w:t>
      </w:r>
      <w:r w:rsidR="002D0E3A">
        <w:rPr>
          <w:rFonts w:ascii="Times New Roman" w:hAnsi="Times New Roman"/>
          <w:noProof/>
          <w:szCs w:val="24"/>
          <w:lang w:val="da-DK"/>
        </w:rPr>
        <w:fldChar w:fldCharType="end"/>
      </w:r>
      <w:r w:rsidRPr="00EA54AA">
        <w:rPr>
          <w:rFonts w:ascii="Times New Roman" w:hAnsi="Times New Roman"/>
          <w:szCs w:val="24"/>
          <w:lang w:val="da-DK"/>
        </w:rPr>
        <w:t xml:space="preserve">). </w:t>
      </w:r>
      <w:r w:rsidRPr="00C7158D">
        <w:rPr>
          <w:rFonts w:ascii="Times New Roman" w:hAnsi="Times New Roman"/>
          <w:szCs w:val="24"/>
        </w:rPr>
        <w:t xml:space="preserve">Thus, either the extinction of a dominant taxon has a much greater ecological impact than that of </w:t>
      </w:r>
      <w:r>
        <w:rPr>
          <w:rFonts w:ascii="Times New Roman" w:hAnsi="Times New Roman"/>
          <w:szCs w:val="24"/>
        </w:rPr>
        <w:t xml:space="preserve">non-dominant </w:t>
      </w:r>
      <w:r w:rsidRPr="00C7158D">
        <w:rPr>
          <w:rFonts w:ascii="Times New Roman" w:hAnsi="Times New Roman"/>
          <w:szCs w:val="24"/>
        </w:rPr>
        <w:t xml:space="preserve">ones, or far greater ecological perturbations are needed </w:t>
      </w:r>
      <w:r>
        <w:rPr>
          <w:rFonts w:ascii="Times New Roman" w:hAnsi="Times New Roman"/>
          <w:szCs w:val="24"/>
        </w:rPr>
        <w:t xml:space="preserve">to eliminate dominant genera. </w:t>
      </w:r>
      <w:r w:rsidRPr="00C7158D">
        <w:rPr>
          <w:rFonts w:ascii="Times New Roman" w:hAnsi="Times New Roman"/>
          <w:szCs w:val="24"/>
        </w:rPr>
        <w:t xml:space="preserve">Discussions of extinction mechanisms therefore need to consider how these dominant taxa can disappear (e.g., </w:t>
      </w:r>
      <w:r w:rsidR="005B0346">
        <w:rPr>
          <w:rFonts w:ascii="Times New Roman" w:hAnsi="Times New Roman"/>
          <w:noProof/>
          <w:szCs w:val="24"/>
        </w:rPr>
        <w:fldChar w:fldCharType="begin"/>
      </w:r>
      <w:r w:rsidR="005B0346">
        <w:rPr>
          <w:rFonts w:ascii="Times New Roman" w:hAnsi="Times New Roman"/>
          <w:noProof/>
          <w:szCs w:val="24"/>
        </w:rPr>
        <w:instrText xml:space="preserve"> ADDIN EN.CITE &lt;EndNote&gt;&lt;Cite&gt;&lt;Author&gt;Jablonski&lt;/Author&gt;&lt;Year&gt;2005&lt;/Year&gt;&lt;RecNum&gt;16&lt;/RecNum&gt;&lt;DisplayText&gt;Jablonski 2005&lt;/DisplayText&gt;&lt;record&gt;&lt;rec-number&gt;16&lt;/rec-number&gt;&lt;foreign-keys&gt;&lt;key app="EN" db-id="r2savzrxwddstne9dvmp0wderfxdtarefrzr" timestamp="1493841983"&gt;16&lt;/key&gt;&lt;/foreign-keys&gt;&lt;ref-type name="Special Edited Journal"&gt;40&lt;/ref-type&gt;&lt;contributors&gt;&lt;authors&gt;&lt;author&gt;Jablonski, David&lt;/author&gt;&lt;/authors&gt;&lt;secondary-authors&gt;&lt;author&gt;Elisabeth S. Vrba&lt;/author&gt;&lt;author&gt;Niles Eldredge&lt;/author&gt;&lt;/secondary-authors&gt;&lt;/contributors&gt;&lt;titles&gt;&lt;title&gt;Mass extinctions and macroevolution&lt;/title&gt;&lt;secondary-title&gt;Paleobiology Memoir&lt;/secondary-title&gt;&lt;alt-title&gt;Macroevolution: diversity, disparity, contingency&lt;/alt-title&gt;&lt;/titles&gt;&lt;periodical&gt;&lt;full-title&gt;Paleobiology Memoir&lt;/full-title&gt;&lt;abbr-1&gt;Macroevolution: diversity, disparity, contingency&lt;/abbr-1&gt;&lt;/periodical&gt;&lt;alt-periodical&gt;&lt;full-title&gt;Paleobiology Memoir&lt;/full-title&gt;&lt;abbr-1&gt;Macroevolution: diversity, disparity, contingency&lt;/abbr-1&gt;&lt;/alt-periodical&gt;&lt;pages&gt;192 - 210&lt;/pages&gt;&lt;volume&gt;31&lt;/volume&gt;&lt;number&gt;sp 5&lt;/number&gt;&lt;section&gt;192&lt;/section&gt;&lt;dates&gt;&lt;year&gt;2005&lt;/year&gt;&lt;pub-dates&gt;&lt;date&gt;&lt;style face="normal" font="default" size="100%"&gt;2005&lt;/style&gt;&lt;style face="normal" font="default" size="12"&gt;/&lt;/style&gt;&lt;style face="normal" font="default" size="100%"&gt;06&lt;/style&gt;&lt;/date&gt;&lt;/pub-dates&gt;&lt;/dates&gt;&lt;isbn&gt;0094-8373&lt;/isbn&gt;&lt;urls&gt;&lt;related-urls&gt;&lt;url&gt;http://dx.doi.org/10.1666/0094-8373(2005)031[0192:MEAM]2.0.CO;2&lt;/url&gt;&lt;/related-urls&gt;&lt;/urls&gt;&lt;electronic-resource-num&gt;10.1666/0094-8373(2005)031[0192:meam]2.0.co;2&lt;/electronic-resource-num&gt;&lt;/record&gt;&lt;/Cite&gt;&lt;/EndNote&gt;</w:instrText>
      </w:r>
      <w:r w:rsidR="005B0346">
        <w:rPr>
          <w:rFonts w:ascii="Times New Roman" w:hAnsi="Times New Roman"/>
          <w:noProof/>
          <w:szCs w:val="24"/>
        </w:rPr>
        <w:fldChar w:fldCharType="separate"/>
      </w:r>
      <w:r w:rsidR="005B0346">
        <w:rPr>
          <w:rFonts w:ascii="Times New Roman" w:hAnsi="Times New Roman"/>
          <w:noProof/>
          <w:szCs w:val="24"/>
        </w:rPr>
        <w:t>Jablonski 2005</w:t>
      </w:r>
      <w:r w:rsidR="005B0346">
        <w:rPr>
          <w:rFonts w:ascii="Times New Roman" w:hAnsi="Times New Roman"/>
          <w:noProof/>
          <w:szCs w:val="24"/>
        </w:rPr>
        <w:fldChar w:fldCharType="end"/>
      </w:r>
      <w:r w:rsidRPr="00C7158D">
        <w:rPr>
          <w:rFonts w:ascii="Times New Roman" w:hAnsi="Times New Roman"/>
          <w:szCs w:val="24"/>
        </w:rPr>
        <w:t>).</w:t>
      </w:r>
      <w:r w:rsidR="005D3778">
        <w:rPr>
          <w:rFonts w:ascii="Times New Roman" w:hAnsi="Times New Roman"/>
          <w:szCs w:val="24"/>
        </w:rPr>
        <w:t xml:space="preserve"> </w:t>
      </w:r>
    </w:p>
    <w:p w14:paraId="2EEF2527" w14:textId="03099EE6" w:rsidR="00FF08E6" w:rsidRPr="00C7158D" w:rsidRDefault="00FF08E6" w:rsidP="008A66AD">
      <w:pPr>
        <w:spacing w:line="480" w:lineRule="auto"/>
        <w:ind w:firstLine="360"/>
        <w:rPr>
          <w:rFonts w:ascii="Times New Roman" w:hAnsi="Times New Roman"/>
          <w:szCs w:val="24"/>
        </w:rPr>
      </w:pPr>
      <w:r>
        <w:rPr>
          <w:rFonts w:ascii="Times New Roman" w:hAnsi="Times New Roman"/>
          <w:szCs w:val="24"/>
        </w:rPr>
        <w:t xml:space="preserve">Second, comparisons of turnovers among classes within dominant genera generally reflect previously established differences in evolutionary dynamics among these classes. In this regard, </w:t>
      </w:r>
      <w:r>
        <w:rPr>
          <w:rFonts w:ascii="Times New Roman" w:hAnsi="Times New Roman"/>
          <w:szCs w:val="24"/>
        </w:rPr>
        <w:lastRenderedPageBreak/>
        <w:t xml:space="preserve">dominant genera among classes have less in common with each other than they do with the non-dominant members of their own class. </w:t>
      </w:r>
      <w:r w:rsidRPr="00C7158D">
        <w:rPr>
          <w:rFonts w:ascii="Times New Roman" w:hAnsi="Times New Roman"/>
          <w:szCs w:val="24"/>
        </w:rPr>
        <w:t xml:space="preserve">Thus, the fact that bivalve genera such as </w:t>
      </w:r>
      <w:r w:rsidRPr="00C7158D">
        <w:rPr>
          <w:rFonts w:ascii="Times New Roman" w:hAnsi="Times New Roman"/>
          <w:i/>
          <w:szCs w:val="24"/>
        </w:rPr>
        <w:t xml:space="preserve">Inoceramus </w:t>
      </w:r>
      <w:r w:rsidRPr="00C7158D">
        <w:rPr>
          <w:rFonts w:ascii="Times New Roman" w:hAnsi="Times New Roman"/>
          <w:szCs w:val="24"/>
        </w:rPr>
        <w:t>and</w:t>
      </w:r>
      <w:r w:rsidRPr="00C7158D">
        <w:rPr>
          <w:rFonts w:ascii="Times New Roman" w:hAnsi="Times New Roman"/>
          <w:i/>
          <w:szCs w:val="24"/>
        </w:rPr>
        <w:t xml:space="preserve"> </w:t>
      </w:r>
      <w:r w:rsidRPr="00C7158D">
        <w:rPr>
          <w:rFonts w:ascii="Times New Roman" w:hAnsi="Times New Roman"/>
          <w:szCs w:val="24"/>
        </w:rPr>
        <w:t xml:space="preserve">gastropods such as </w:t>
      </w:r>
      <w:r w:rsidRPr="00C7158D">
        <w:rPr>
          <w:rFonts w:ascii="Times New Roman" w:hAnsi="Times New Roman"/>
          <w:i/>
          <w:szCs w:val="24"/>
        </w:rPr>
        <w:t xml:space="preserve">Turritella </w:t>
      </w:r>
      <w:r w:rsidRPr="00C7158D">
        <w:rPr>
          <w:rFonts w:ascii="Times New Roman" w:hAnsi="Times New Roman"/>
          <w:szCs w:val="24"/>
        </w:rPr>
        <w:t xml:space="preserve">persist as high-occupancy genera whereas </w:t>
      </w:r>
      <w:r>
        <w:rPr>
          <w:rFonts w:ascii="Times New Roman" w:hAnsi="Times New Roman"/>
          <w:szCs w:val="24"/>
        </w:rPr>
        <w:t>dominant</w:t>
      </w:r>
      <w:r w:rsidRPr="00C7158D">
        <w:rPr>
          <w:rFonts w:ascii="Times New Roman" w:hAnsi="Times New Roman"/>
          <w:szCs w:val="24"/>
        </w:rPr>
        <w:t xml:space="preserve"> trilobite and cephalopod genera never remain </w:t>
      </w:r>
      <w:r>
        <w:rPr>
          <w:rFonts w:ascii="Times New Roman" w:hAnsi="Times New Roman"/>
          <w:szCs w:val="24"/>
        </w:rPr>
        <w:t>dominant</w:t>
      </w:r>
      <w:r w:rsidRPr="00C7158D">
        <w:rPr>
          <w:rFonts w:ascii="Times New Roman" w:hAnsi="Times New Roman"/>
          <w:szCs w:val="24"/>
        </w:rPr>
        <w:t xml:space="preserve"> for long probably reflects differences among gastropods and bivalves relative to cephalopods and trilobites rather than anything unique to those bivalve and gastropod genera (see </w:t>
      </w:r>
      <w:r w:rsidR="00BB0698">
        <w:rPr>
          <w:rFonts w:ascii="Times New Roman" w:hAnsi="Times New Roman"/>
          <w:noProof/>
          <w:szCs w:val="24"/>
        </w:rPr>
        <w:fldChar w:fldCharType="begin"/>
      </w:r>
      <w:r w:rsidR="00BB0698">
        <w:rPr>
          <w:rFonts w:ascii="Times New Roman" w:hAnsi="Times New Roman"/>
          <w:noProof/>
          <w:szCs w:val="24"/>
        </w:rPr>
        <w:instrText xml:space="preserve"> ADDIN EN.CITE &lt;EndNote&gt;&lt;Cite&gt;&lt;Author&gt;Stanley&lt;/Author&gt;&lt;Year&gt;1990&lt;/Year&gt;&lt;RecNum&gt;31&lt;/RecNum&gt;&lt;DisplayText&gt;Stanley 1990&lt;/DisplayText&gt;&lt;record&gt;&lt;rec-number&gt;31&lt;/rec-number&gt;&lt;foreign-keys&gt;&lt;key app="EN" db-id="r2savzrxwddstne9dvmp0wderfxdtarefrzr" timestamp="1493841983"&gt;31&lt;/key&gt;&lt;/foreign-keys&gt;&lt;ref-type name="Book Section"&gt;5&lt;/ref-type&gt;&lt;contributors&gt;&lt;authors&gt;&lt;author&gt;Stanley, Steven M.&lt;/author&gt;&lt;/authors&gt;&lt;secondary-authors&gt;&lt;author&gt;Ross, Robert M.&lt;/author&gt;&lt;author&gt;Allmon, Warren D.&lt;/author&gt;&lt;/secondary-authors&gt;&lt;/contributors&gt;&lt;titles&gt;&lt;title&gt;The general correlation between rate of speciation and rate of extinction: fortuitous causal linkages&lt;/title&gt;&lt;secondary-title&gt;Causes of evolution - a paleontological perspective&lt;/secondary-title&gt;&lt;/titles&gt;&lt;pages&gt;103 - 127&lt;/pages&gt;&lt;keywords&gt;&lt;keyword&gt;Species Durations&lt;/keyword&gt;&lt;keyword&gt;Biogeography&lt;/keyword&gt;&lt;keyword&gt;Vicariance&lt;/keyword&gt;&lt;keyword&gt;Niche Breadth&lt;/keyword&gt;&lt;keyword&gt;Speciation&lt;/keyword&gt;&lt;/keywords&gt;&lt;dates&gt;&lt;year&gt;1990&lt;/year&gt;&lt;/dates&gt;&lt;pub-location&gt;Chicago&lt;/pub-location&gt;&lt;publisher&gt;The University of Chicago Press&lt;/publisher&gt;&lt;label&gt;593&lt;/label&gt;&lt;urls&gt;&lt;/urls&gt;&lt;/record&gt;&lt;/Cite&gt;&lt;/EndNote&gt;</w:instrText>
      </w:r>
      <w:r w:rsidR="00BB0698">
        <w:rPr>
          <w:rFonts w:ascii="Times New Roman" w:hAnsi="Times New Roman"/>
          <w:noProof/>
          <w:szCs w:val="24"/>
        </w:rPr>
        <w:fldChar w:fldCharType="separate"/>
      </w:r>
      <w:r w:rsidR="00BB0698">
        <w:rPr>
          <w:rFonts w:ascii="Times New Roman" w:hAnsi="Times New Roman"/>
          <w:noProof/>
          <w:szCs w:val="24"/>
        </w:rPr>
        <w:t>Stanley 1990</w:t>
      </w:r>
      <w:r w:rsidR="00BB0698">
        <w:rPr>
          <w:rFonts w:ascii="Times New Roman" w:hAnsi="Times New Roman"/>
          <w:noProof/>
          <w:szCs w:val="24"/>
        </w:rPr>
        <w:fldChar w:fldCharType="end"/>
      </w:r>
      <w:r w:rsidR="00BB0698">
        <w:rPr>
          <w:rFonts w:ascii="Times New Roman" w:hAnsi="Times New Roman"/>
          <w:noProof/>
          <w:szCs w:val="24"/>
        </w:rPr>
        <w:t xml:space="preserve">; </w:t>
      </w:r>
      <w:r w:rsidR="00BB0698">
        <w:rPr>
          <w:rFonts w:ascii="Times New Roman" w:hAnsi="Times New Roman"/>
          <w:noProof/>
          <w:szCs w:val="24"/>
        </w:rPr>
        <w:fldChar w:fldCharType="begin"/>
      </w:r>
      <w:r w:rsidR="00BB0698">
        <w:rPr>
          <w:rFonts w:ascii="Times New Roman" w:hAnsi="Times New Roman"/>
          <w:noProof/>
          <w:szCs w:val="24"/>
        </w:rPr>
        <w:instrText xml:space="preserve"> ADDIN EN.CITE &lt;EndNote&gt;&lt;Cite&gt;&lt;Author&gt;Valentine&lt;/Author&gt;&lt;Year&gt;1990&lt;/Year&gt;&lt;RecNum&gt;34&lt;/RecNum&gt;&lt;DisplayText&gt;Valentine 1990&lt;/DisplayText&gt;&lt;record&gt;&lt;rec-number&gt;34&lt;/rec-number&gt;&lt;foreign-keys&gt;&lt;key app="EN" db-id="r2savzrxwddstne9dvmp0wderfxdtarefrzr" timestamp="1493841983"&gt;34&lt;/key&gt;&lt;/foreign-keys&gt;&lt;ref-type name="Book Section"&gt;5&lt;/ref-type&gt;&lt;contributors&gt;&lt;authors&gt;&lt;author&gt;Valentine, James W.&lt;/author&gt;&lt;/authors&gt;&lt;secondary-authors&gt;&lt;author&gt;Ross, R. M.&lt;/author&gt;&lt;author&gt;Allmon, Warren D.&lt;/author&gt;&lt;/secondary-authors&gt;&lt;/contributors&gt;&lt;titles&gt;&lt;title&gt;The macroevolution of clade shape&lt;/title&gt;&lt;secondary-title&gt;Causes of evolution - a paleontological perspective&lt;/secondary-title&gt;&lt;/titles&gt;&lt;pages&gt;128 - 150&lt;/pages&gt;&lt;keywords&gt;&lt;keyword&gt;Diversity Patterns&lt;/keyword&gt;&lt;keyword&gt;Clade Shape&lt;/keyword&gt;&lt;keyword&gt;Units of Evolution&lt;/keyword&gt;&lt;/keywords&gt;&lt;dates&gt;&lt;year&gt;1990&lt;/year&gt;&lt;/dates&gt;&lt;pub-location&gt;Chicago&lt;/pub-location&gt;&lt;publisher&gt;The University of Chicago Press&lt;/publisher&gt;&lt;label&gt;594&lt;/label&gt;&lt;urls&gt;&lt;/urls&gt;&lt;/record&gt;&lt;/Cite&gt;&lt;/EndNote&gt;</w:instrText>
      </w:r>
      <w:r w:rsidR="00BB0698">
        <w:rPr>
          <w:rFonts w:ascii="Times New Roman" w:hAnsi="Times New Roman"/>
          <w:noProof/>
          <w:szCs w:val="24"/>
        </w:rPr>
        <w:fldChar w:fldCharType="separate"/>
      </w:r>
      <w:r w:rsidR="00BB0698">
        <w:rPr>
          <w:rFonts w:ascii="Times New Roman" w:hAnsi="Times New Roman"/>
          <w:noProof/>
          <w:szCs w:val="24"/>
        </w:rPr>
        <w:t>Valentine 1990</w:t>
      </w:r>
      <w:r w:rsidR="00BB0698">
        <w:rPr>
          <w:rFonts w:ascii="Times New Roman" w:hAnsi="Times New Roman"/>
          <w:noProof/>
          <w:szCs w:val="24"/>
        </w:rPr>
        <w:fldChar w:fldCharType="end"/>
      </w:r>
      <w:r w:rsidR="00BB0698">
        <w:rPr>
          <w:rFonts w:ascii="Times New Roman" w:hAnsi="Times New Roman"/>
          <w:noProof/>
          <w:szCs w:val="24"/>
        </w:rPr>
        <w:t>;</w:t>
      </w:r>
      <w:r w:rsidRPr="00C7158D">
        <w:rPr>
          <w:rFonts w:ascii="Times New Roman" w:hAnsi="Times New Roman"/>
          <w:noProof/>
          <w:szCs w:val="24"/>
        </w:rPr>
        <w:t xml:space="preserve"> </w:t>
      </w:r>
      <w:r w:rsidR="00BB0698">
        <w:rPr>
          <w:rFonts w:ascii="Times New Roman" w:hAnsi="Times New Roman"/>
          <w:noProof/>
          <w:szCs w:val="24"/>
        </w:rPr>
        <w:fldChar w:fldCharType="begin"/>
      </w:r>
      <w:r w:rsidR="00BB0698">
        <w:rPr>
          <w:rFonts w:ascii="Times New Roman" w:hAnsi="Times New Roman"/>
          <w:noProof/>
          <w:szCs w:val="24"/>
        </w:rPr>
        <w:instrText xml:space="preserve"> ADDIN EN.CITE &lt;EndNote&gt;&lt;Cite&gt;&lt;Author&gt;Connolly&lt;/Author&gt;&lt;Year&gt;2001&lt;/Year&gt;&lt;RecNum&gt;5&lt;/RecNum&gt;&lt;DisplayText&gt;Connolly and Miller 2001&lt;/DisplayText&gt;&lt;record&gt;&lt;rec-number&gt;5&lt;/rec-number&gt;&lt;foreign-keys&gt;&lt;key app="EN" db-id="r2savzrxwddstne9dvmp0wderfxdtarefrzr" timestamp="1493841983"&gt;5&lt;/key&gt;&lt;/foreign-keys&gt;&lt;ref-type name="Journal Article"&gt;17&lt;/ref-type&gt;&lt;contributors&gt;&lt;authors&gt;&lt;author&gt;Sean R. Connolly&lt;/author&gt;&lt;author&gt;Arnold I. Miller&lt;/author&gt;&lt;/authors&gt;&lt;/contributors&gt;&lt;titles&gt;&lt;title&gt;Global Ordovician faunal transitions in the marine benthos: proximate causes&lt;/title&gt;&lt;secondary-title&gt;Paleobiology&lt;/secondary-title&gt;&lt;/titles&gt;&lt;periodical&gt;&lt;full-title&gt;Paleobiology&lt;/full-title&gt;&lt;/periodical&gt;&lt;pages&gt;779 – 795&lt;/pages&gt;&lt;volume&gt;27&lt;/volume&gt;&lt;number&gt;4&lt;/number&gt;&lt;section&gt;779&lt;/section&gt;&lt;dates&gt;&lt;year&gt;2001&lt;/year&gt;&lt;pub-dates&gt;&lt;date&gt;2001/12/01&lt;/date&gt;&lt;/pub-dates&gt;&lt;/dates&gt;&lt;label&gt;3890&lt;/label&gt;&lt;urls&gt;&lt;/urls&gt;&lt;/record&gt;&lt;/Cite&gt;&lt;/EndNote&gt;</w:instrText>
      </w:r>
      <w:r w:rsidR="00BB0698">
        <w:rPr>
          <w:rFonts w:ascii="Times New Roman" w:hAnsi="Times New Roman"/>
          <w:noProof/>
          <w:szCs w:val="24"/>
        </w:rPr>
        <w:fldChar w:fldCharType="separate"/>
      </w:r>
      <w:r w:rsidR="00BB0698">
        <w:rPr>
          <w:rFonts w:ascii="Times New Roman" w:hAnsi="Times New Roman"/>
          <w:noProof/>
          <w:szCs w:val="24"/>
        </w:rPr>
        <w:t>Connolly and Miller 2001</w:t>
      </w:r>
      <w:r w:rsidR="00BB0698">
        <w:rPr>
          <w:rFonts w:ascii="Times New Roman" w:hAnsi="Times New Roman"/>
          <w:noProof/>
          <w:szCs w:val="24"/>
        </w:rPr>
        <w:fldChar w:fldCharType="end"/>
      </w:r>
      <w:r>
        <w:rPr>
          <w:rFonts w:ascii="Times New Roman" w:hAnsi="Times New Roman"/>
          <w:szCs w:val="24"/>
        </w:rPr>
        <w:t xml:space="preserve">). </w:t>
      </w:r>
      <w:r w:rsidRPr="00C7158D">
        <w:rPr>
          <w:rFonts w:ascii="Times New Roman" w:hAnsi="Times New Roman"/>
          <w:szCs w:val="24"/>
        </w:rPr>
        <w:t xml:space="preserve">Nevertheless, another factor that merits exploration is whether genera such as </w:t>
      </w:r>
      <w:r w:rsidRPr="00C7158D">
        <w:rPr>
          <w:rFonts w:ascii="Times New Roman" w:hAnsi="Times New Roman"/>
          <w:i/>
          <w:szCs w:val="24"/>
        </w:rPr>
        <w:t>Inoceramus</w:t>
      </w:r>
      <w:r w:rsidRPr="00C7158D">
        <w:rPr>
          <w:rFonts w:ascii="Times New Roman" w:hAnsi="Times New Roman"/>
          <w:szCs w:val="24"/>
        </w:rPr>
        <w:t xml:space="preserve"> or </w:t>
      </w:r>
      <w:r w:rsidRPr="00C7158D">
        <w:rPr>
          <w:rFonts w:ascii="Times New Roman" w:hAnsi="Times New Roman"/>
          <w:i/>
          <w:szCs w:val="24"/>
        </w:rPr>
        <w:t>Turritella</w:t>
      </w:r>
      <w:r w:rsidRPr="00C7158D">
        <w:rPr>
          <w:rFonts w:ascii="Times New Roman" w:hAnsi="Times New Roman"/>
          <w:szCs w:val="24"/>
        </w:rPr>
        <w:t xml:space="preserve"> might be unusually conservative morphologicall</w:t>
      </w:r>
      <w:r>
        <w:rPr>
          <w:rFonts w:ascii="Times New Roman" w:hAnsi="Times New Roman"/>
          <w:szCs w:val="24"/>
        </w:rPr>
        <w:t xml:space="preserve">y for bivalves and gastropods. </w:t>
      </w:r>
      <w:r w:rsidRPr="00C7158D">
        <w:rPr>
          <w:rFonts w:ascii="Times New Roman" w:hAnsi="Times New Roman"/>
          <w:szCs w:val="24"/>
        </w:rPr>
        <w:t xml:space="preserve">If so, then the “inability” of such genera to frequently give rise to species </w:t>
      </w:r>
      <w:r>
        <w:rPr>
          <w:rFonts w:ascii="Times New Roman" w:hAnsi="Times New Roman"/>
          <w:szCs w:val="24"/>
        </w:rPr>
        <w:t xml:space="preserve">sufficiently </w:t>
      </w:r>
      <w:r w:rsidRPr="00C7158D">
        <w:rPr>
          <w:rFonts w:ascii="Times New Roman" w:hAnsi="Times New Roman"/>
          <w:szCs w:val="24"/>
        </w:rPr>
        <w:t>distinct as to merit a new genus name might elevate their species richnesses and total occupancy even more than expected given the relatively low turnover rat</w:t>
      </w:r>
      <w:r>
        <w:rPr>
          <w:rFonts w:ascii="Times New Roman" w:hAnsi="Times New Roman"/>
          <w:szCs w:val="24"/>
        </w:rPr>
        <w:t xml:space="preserve">es of bivalves and gastropods. </w:t>
      </w:r>
      <w:r w:rsidRPr="00C7158D">
        <w:rPr>
          <w:rFonts w:ascii="Times New Roman" w:hAnsi="Times New Roman"/>
          <w:szCs w:val="24"/>
        </w:rPr>
        <w:t>This might also prove to be true for trilobites and cephalopods with higher turnover, but the greater sample sizes and longer periods of time will make this idea easier to test with the bivalves and gastropods.</w:t>
      </w:r>
    </w:p>
    <w:p w14:paraId="1F007588" w14:textId="34D251D0" w:rsidR="00684482" w:rsidRDefault="00FF08E6" w:rsidP="00684482">
      <w:pPr>
        <w:spacing w:line="480" w:lineRule="auto"/>
        <w:ind w:firstLine="360"/>
        <w:rPr>
          <w:rFonts w:ascii="Times New Roman" w:hAnsi="Times New Roman"/>
          <w:szCs w:val="24"/>
        </w:rPr>
      </w:pPr>
      <w:r>
        <w:rPr>
          <w:rFonts w:ascii="Times New Roman" w:hAnsi="Times New Roman"/>
          <w:szCs w:val="24"/>
        </w:rPr>
        <w:t>Third, however, rates of both origination and extinction in dominant taxa tend to be lower than those of non-dominant taxa. This suggests that dominant genera will be longer lived than non-dominant ones</w:t>
      </w:r>
      <w:r w:rsidR="00684482">
        <w:rPr>
          <w:rFonts w:ascii="Times New Roman" w:hAnsi="Times New Roman"/>
          <w:szCs w:val="24"/>
        </w:rPr>
        <w:t>.</w:t>
      </w:r>
    </w:p>
    <w:p w14:paraId="433F7D8E" w14:textId="573936C4" w:rsidR="00684482" w:rsidRDefault="00684482" w:rsidP="00684482">
      <w:pPr>
        <w:spacing w:line="480" w:lineRule="auto"/>
        <w:ind w:firstLine="360"/>
        <w:rPr>
          <w:rFonts w:ascii="Times New Roman" w:hAnsi="Times New Roman"/>
          <w:szCs w:val="24"/>
        </w:rPr>
      </w:pPr>
      <w:r>
        <w:rPr>
          <w:rFonts w:ascii="Times New Roman" w:hAnsi="Times New Roman"/>
          <w:szCs w:val="24"/>
        </w:rPr>
        <w:t>Finally</w:t>
      </w:r>
      <w:r w:rsidR="00FF08E6">
        <w:rPr>
          <w:rFonts w:ascii="Times New Roman" w:hAnsi="Times New Roman"/>
          <w:szCs w:val="24"/>
        </w:rPr>
        <w:t xml:space="preserve">, the shape of the trajectories of the two groups are similar, with a symmetrical rise and fall. </w:t>
      </w:r>
      <w:r w:rsidR="00FF08E6" w:rsidRPr="007657B1">
        <w:rPr>
          <w:rFonts w:ascii="Times New Roman" w:hAnsi="Times New Roman"/>
          <w:szCs w:val="24"/>
        </w:rPr>
        <w:t xml:space="preserve">Dominant genera are somewhat more likely than </w:t>
      </w:r>
      <w:r w:rsidR="00FF08E6">
        <w:rPr>
          <w:rFonts w:ascii="Times New Roman" w:hAnsi="Times New Roman"/>
          <w:szCs w:val="24"/>
        </w:rPr>
        <w:t>non-dominant</w:t>
      </w:r>
      <w:r w:rsidR="00FF08E6" w:rsidRPr="007657B1">
        <w:rPr>
          <w:rFonts w:ascii="Times New Roman" w:hAnsi="Times New Roman"/>
          <w:szCs w:val="24"/>
        </w:rPr>
        <w:t xml:space="preserve"> taxa to be relatively common when they first appear in the record, although they are rarely dominant in their first interval. </w:t>
      </w:r>
      <w:r w:rsidR="00FF08E6">
        <w:rPr>
          <w:rFonts w:ascii="Times New Roman" w:hAnsi="Times New Roman"/>
          <w:szCs w:val="24"/>
        </w:rPr>
        <w:t xml:space="preserve">Dominant genera generally do not reach that status immediately, but instead first appear relatively common and then rise to dominance. </w:t>
      </w:r>
      <w:r w:rsidR="00FF08E6" w:rsidRPr="00C7158D">
        <w:rPr>
          <w:rFonts w:ascii="Times New Roman" w:hAnsi="Times New Roman"/>
          <w:szCs w:val="24"/>
        </w:rPr>
        <w:t>Because genus-level occupancy correlates with species-richness</w:t>
      </w:r>
      <w:r w:rsidR="00B64C2F">
        <w:rPr>
          <w:rFonts w:ascii="Times New Roman" w:hAnsi="Times New Roman"/>
          <w:szCs w:val="24"/>
        </w:rPr>
        <w:t xml:space="preserve"> (</w:t>
      </w:r>
      <w:r w:rsidR="00B2483E">
        <w:rPr>
          <w:rFonts w:ascii="Times New Roman" w:hAnsi="Times New Roman"/>
          <w:szCs w:val="24"/>
        </w:rPr>
        <w:t xml:space="preserve">Supplementary </w:t>
      </w:r>
      <w:r w:rsidR="00B64C2F">
        <w:rPr>
          <w:rFonts w:ascii="Times New Roman" w:hAnsi="Times New Roman"/>
          <w:szCs w:val="24"/>
        </w:rPr>
        <w:t>Fig. 4)</w:t>
      </w:r>
      <w:r w:rsidR="00FF08E6" w:rsidRPr="00C7158D">
        <w:rPr>
          <w:rFonts w:ascii="Times New Roman" w:hAnsi="Times New Roman"/>
          <w:szCs w:val="24"/>
        </w:rPr>
        <w:t xml:space="preserve">, this could reflect </w:t>
      </w:r>
      <w:r w:rsidR="00FF08E6">
        <w:rPr>
          <w:rFonts w:ascii="Times New Roman" w:hAnsi="Times New Roman"/>
          <w:szCs w:val="24"/>
        </w:rPr>
        <w:t>dominant</w:t>
      </w:r>
      <w:r w:rsidR="00FF08E6" w:rsidRPr="00C7158D">
        <w:rPr>
          <w:rFonts w:ascii="Times New Roman" w:hAnsi="Times New Roman"/>
          <w:szCs w:val="24"/>
        </w:rPr>
        <w:t xml:space="preserve"> genera commonly debuting wit</w:t>
      </w:r>
      <w:r w:rsidR="00FF08E6">
        <w:rPr>
          <w:rFonts w:ascii="Times New Roman" w:hAnsi="Times New Roman"/>
          <w:szCs w:val="24"/>
        </w:rPr>
        <w:t>h a small number of common species</w:t>
      </w:r>
      <w:r w:rsidR="00FF08E6" w:rsidRPr="00C7158D">
        <w:rPr>
          <w:rFonts w:ascii="Times New Roman" w:hAnsi="Times New Roman"/>
          <w:szCs w:val="24"/>
        </w:rPr>
        <w:t xml:space="preserve">. </w:t>
      </w:r>
      <w:r w:rsidR="00FF08E6">
        <w:rPr>
          <w:rFonts w:ascii="Times New Roman" w:hAnsi="Times New Roman"/>
          <w:szCs w:val="24"/>
        </w:rPr>
        <w:t xml:space="preserve">Dominant genera also tend to decline from dominance </w:t>
      </w:r>
      <w:r w:rsidR="00FF08E6">
        <w:rPr>
          <w:rFonts w:ascii="Times New Roman" w:hAnsi="Times New Roman"/>
          <w:szCs w:val="24"/>
        </w:rPr>
        <w:lastRenderedPageBreak/>
        <w:t>before their last appearance, although they still tend to be relatively common at their last appearan</w:t>
      </w:r>
      <w:r>
        <w:rPr>
          <w:rFonts w:ascii="Times New Roman" w:hAnsi="Times New Roman"/>
          <w:szCs w:val="24"/>
        </w:rPr>
        <w:t xml:space="preserve">ce. </w:t>
      </w:r>
    </w:p>
    <w:p w14:paraId="243335B3" w14:textId="42AFAEAF" w:rsidR="00896135" w:rsidRDefault="00FF08E6" w:rsidP="008A66AD">
      <w:pPr>
        <w:spacing w:line="480" w:lineRule="auto"/>
        <w:ind w:firstLine="360"/>
        <w:rPr>
          <w:rFonts w:ascii="Times New Roman" w:hAnsi="Times New Roman"/>
          <w:szCs w:val="24"/>
        </w:rPr>
      </w:pPr>
      <w:r>
        <w:rPr>
          <w:rFonts w:ascii="Times New Roman" w:hAnsi="Times New Roman"/>
          <w:szCs w:val="24"/>
        </w:rPr>
        <w:t>In sum, there is some validity to the concept of a dominant taxon, although they are end-members of a continuum, rather than a discrete class</w:t>
      </w:r>
      <w:r w:rsidR="00896135">
        <w:rPr>
          <w:rFonts w:ascii="Times New Roman" w:hAnsi="Times New Roman"/>
          <w:szCs w:val="24"/>
        </w:rPr>
        <w:t xml:space="preserve"> (Fig. 1, </w:t>
      </w:r>
      <w:r w:rsidR="00B2483E">
        <w:rPr>
          <w:rFonts w:ascii="Times New Roman" w:hAnsi="Times New Roman"/>
          <w:szCs w:val="24"/>
        </w:rPr>
        <w:t xml:space="preserve">Supplementary Fig. </w:t>
      </w:r>
      <w:r w:rsidR="00896135">
        <w:rPr>
          <w:rFonts w:ascii="Times New Roman" w:hAnsi="Times New Roman"/>
          <w:szCs w:val="24"/>
        </w:rPr>
        <w:t>1)</w:t>
      </w:r>
      <w:r>
        <w:rPr>
          <w:rFonts w:ascii="Times New Roman" w:hAnsi="Times New Roman"/>
          <w:szCs w:val="24"/>
        </w:rPr>
        <w:t>. This raises the issue of why a genus would be dominant. Plotnick and Wagner (</w:t>
      </w:r>
      <w:r w:rsidR="00D34CE2">
        <w:rPr>
          <w:rFonts w:ascii="Times New Roman" w:hAnsi="Times New Roman"/>
          <w:szCs w:val="24"/>
        </w:rPr>
        <w:fldChar w:fldCharType="begin"/>
      </w:r>
      <w:r w:rsidR="00D34CE2">
        <w:rPr>
          <w:rFonts w:ascii="Times New Roman" w:hAnsi="Times New Roman"/>
          <w:szCs w:val="24"/>
        </w:rPr>
        <w:instrText xml:space="preserve"> ADDIN EN.CITE &lt;EndNote&gt;&lt;Cite ExcludeAuth="1"&gt;&lt;Author&gt;Plotnick&lt;/Author&gt;&lt;Year&gt;2006&lt;/Year&gt;&lt;RecNum&gt;23&lt;/RecNum&gt;&lt;DisplayText&gt;2006&lt;/DisplayText&gt;&lt;record&gt;&lt;rec-number&gt;23&lt;/rec-number&gt;&lt;foreign-keys&gt;&lt;key app="EN" db-id="r2savzrxwddstne9dvmp0wderfxdtarefrzr" timestamp="1493841983"&gt;23&lt;/key&gt;&lt;/foreign-keys&gt;&lt;ref-type name="Journal Article"&gt;17&lt;/ref-type&gt;&lt;contributors&gt;&lt;authors&gt;&lt;author&gt;Roy E. Plotnick&lt;/author&gt;&lt;author&gt;Peter J. Wagner&lt;/author&gt;&lt;/authors&gt;&lt;/contributors&gt;&lt;titles&gt;&lt;title&gt;Round up the usual suspects: common genera in the fossil record and the nature of wastebasket taxa&lt;/title&gt;&lt;secondary-title&gt;Paleobiology&lt;/secondary-title&gt;&lt;/titles&gt;&lt;periodical&gt;&lt;full-title&gt;Paleobiology&lt;/full-title&gt;&lt;/periodical&gt;&lt;pages&gt;126 - 146&lt;/pages&gt;&lt;volume&gt;32&lt;/volume&gt;&lt;number&gt;1&lt;/number&gt;&lt;edition&gt;2006/01/01&lt;/edition&gt;&lt;section&gt;126&lt;/section&gt;&lt;dates&gt;&lt;year&gt;2006&lt;/year&gt;&lt;pub-dates&gt;&lt;date&gt;2006/01/01&lt;/date&gt;&lt;/pub-dates&gt;&lt;/dates&gt;&lt;urls&gt;&lt;/urls&gt;&lt;electronic-resource-num&gt;10.1666/04056.1&lt;/electronic-resource-num&gt;&lt;/record&gt;&lt;/Cite&gt;&lt;/EndNote&gt;</w:instrText>
      </w:r>
      <w:r w:rsidR="00D34CE2">
        <w:rPr>
          <w:rFonts w:ascii="Times New Roman" w:hAnsi="Times New Roman"/>
          <w:szCs w:val="24"/>
        </w:rPr>
        <w:fldChar w:fldCharType="separate"/>
      </w:r>
      <w:r w:rsidR="00D34CE2">
        <w:rPr>
          <w:rFonts w:ascii="Times New Roman" w:hAnsi="Times New Roman"/>
          <w:noProof/>
          <w:szCs w:val="24"/>
        </w:rPr>
        <w:t>2006</w:t>
      </w:r>
      <w:r w:rsidR="00D34CE2">
        <w:rPr>
          <w:rFonts w:ascii="Times New Roman" w:hAnsi="Times New Roman"/>
          <w:szCs w:val="24"/>
        </w:rPr>
        <w:fldChar w:fldCharType="end"/>
      </w:r>
      <w:r w:rsidR="00896135">
        <w:rPr>
          <w:rFonts w:ascii="Times New Roman" w:hAnsi="Times New Roman"/>
          <w:szCs w:val="24"/>
        </w:rPr>
        <w:t xml:space="preserve">) suggest a number of </w:t>
      </w:r>
      <w:r>
        <w:rPr>
          <w:rFonts w:ascii="Times New Roman" w:hAnsi="Times New Roman"/>
          <w:szCs w:val="24"/>
        </w:rPr>
        <w:t xml:space="preserve">possibilities. Dominance might represent an actual biological signal where the genera are truly widespread and abundant with a long stratigraphic range. A second option is that they have a higher than average preservation potential. There is also the possibility that we are capturing biases within the Paleobiology Database rather than a true signal; in particular, much of what we see may not be global, but reflect the preponderance of localities in North America and Europe. </w:t>
      </w:r>
      <w:r w:rsidR="00896135">
        <w:rPr>
          <w:rFonts w:ascii="Times New Roman" w:hAnsi="Times New Roman"/>
          <w:szCs w:val="24"/>
        </w:rPr>
        <w:t>Another option is that, a</w:t>
      </w:r>
      <w:r>
        <w:rPr>
          <w:rFonts w:ascii="Times New Roman" w:hAnsi="Times New Roman"/>
          <w:szCs w:val="24"/>
        </w:rPr>
        <w:t>s discussed in detail in Plotnick and Wagner (</w:t>
      </w:r>
      <w:r w:rsidR="00D34CE2">
        <w:rPr>
          <w:rFonts w:ascii="Times New Roman" w:hAnsi="Times New Roman"/>
          <w:szCs w:val="24"/>
        </w:rPr>
        <w:fldChar w:fldCharType="begin"/>
      </w:r>
      <w:r w:rsidR="00D34CE2">
        <w:rPr>
          <w:rFonts w:ascii="Times New Roman" w:hAnsi="Times New Roman"/>
          <w:szCs w:val="24"/>
        </w:rPr>
        <w:instrText xml:space="preserve"> ADDIN EN.CITE &lt;EndNote&gt;&lt;Cite ExcludeAuth="1"&gt;&lt;Author&gt;Plotnick&lt;/Author&gt;&lt;Year&gt;2006&lt;/Year&gt;&lt;RecNum&gt;23&lt;/RecNum&gt;&lt;DisplayText&gt;2006&lt;/DisplayText&gt;&lt;record&gt;&lt;rec-number&gt;23&lt;/rec-number&gt;&lt;foreign-keys&gt;&lt;key app="EN" db-id="r2savzrxwddstne9dvmp0wderfxdtarefrzr" timestamp="1493841983"&gt;23&lt;/key&gt;&lt;/foreign-keys&gt;&lt;ref-type name="Journal Article"&gt;17&lt;/ref-type&gt;&lt;contributors&gt;&lt;authors&gt;&lt;author&gt;Roy E. Plotnick&lt;/author&gt;&lt;author&gt;Peter J. Wagner&lt;/author&gt;&lt;/authors&gt;&lt;/contributors&gt;&lt;titles&gt;&lt;title&gt;Round up the usual suspects: common genera in the fossil record and the nature of wastebasket taxa&lt;/title&gt;&lt;secondary-title&gt;Paleobiology&lt;/secondary-title&gt;&lt;/titles&gt;&lt;periodical&gt;&lt;full-title&gt;Paleobiology&lt;/full-title&gt;&lt;/periodical&gt;&lt;pages&gt;126 - 146&lt;/pages&gt;&lt;volume&gt;32&lt;/volume&gt;&lt;number&gt;1&lt;/number&gt;&lt;edition&gt;2006/01/01&lt;/edition&gt;&lt;section&gt;126&lt;/section&gt;&lt;dates&gt;&lt;year&gt;2006&lt;/year&gt;&lt;pub-dates&gt;&lt;date&gt;2006/01/01&lt;/date&gt;&lt;/pub-dates&gt;&lt;/dates&gt;&lt;urls&gt;&lt;/urls&gt;&lt;electronic-resource-num&gt;10.1666/04056.1&lt;/electronic-resource-num&gt;&lt;/record&gt;&lt;/Cite&gt;&lt;/EndNote&gt;</w:instrText>
      </w:r>
      <w:r w:rsidR="00D34CE2">
        <w:rPr>
          <w:rFonts w:ascii="Times New Roman" w:hAnsi="Times New Roman"/>
          <w:szCs w:val="24"/>
        </w:rPr>
        <w:fldChar w:fldCharType="separate"/>
      </w:r>
      <w:r w:rsidR="00D34CE2">
        <w:rPr>
          <w:rFonts w:ascii="Times New Roman" w:hAnsi="Times New Roman"/>
          <w:noProof/>
          <w:szCs w:val="24"/>
        </w:rPr>
        <w:t>2006</w:t>
      </w:r>
      <w:r w:rsidR="00D34CE2">
        <w:rPr>
          <w:rFonts w:ascii="Times New Roman" w:hAnsi="Times New Roman"/>
          <w:szCs w:val="24"/>
        </w:rPr>
        <w:fldChar w:fldCharType="end"/>
      </w:r>
      <w:r>
        <w:rPr>
          <w:rFonts w:ascii="Times New Roman" w:hAnsi="Times New Roman"/>
          <w:szCs w:val="24"/>
        </w:rPr>
        <w:t>), many dominant genera might also be taxonomic wastebaskets. They found that, on average, dominant genera were first described in the 19</w:t>
      </w:r>
      <w:r w:rsidRPr="008550C4">
        <w:rPr>
          <w:rFonts w:ascii="Times New Roman" w:hAnsi="Times New Roman"/>
          <w:szCs w:val="24"/>
          <w:vertAlign w:val="superscript"/>
        </w:rPr>
        <w:t>th</w:t>
      </w:r>
      <w:r>
        <w:rPr>
          <w:rFonts w:ascii="Times New Roman" w:hAnsi="Times New Roman"/>
          <w:szCs w:val="24"/>
        </w:rPr>
        <w:t xml:space="preserve"> century (this is also true of widespread </w:t>
      </w:r>
      <w:r w:rsidR="006A1F65">
        <w:rPr>
          <w:rFonts w:ascii="Times New Roman" w:hAnsi="Times New Roman"/>
          <w:szCs w:val="24"/>
        </w:rPr>
        <w:t xml:space="preserve">extant </w:t>
      </w:r>
      <w:r>
        <w:rPr>
          <w:rFonts w:ascii="Times New Roman" w:hAnsi="Times New Roman"/>
          <w:szCs w:val="24"/>
        </w:rPr>
        <w:t>mamma</w:t>
      </w:r>
      <w:r w:rsidR="00BB0698">
        <w:rPr>
          <w:rFonts w:ascii="Times New Roman" w:hAnsi="Times New Roman"/>
          <w:szCs w:val="24"/>
        </w:rPr>
        <w:t>l species</w:t>
      </w:r>
      <w:r w:rsidR="00BD0C20">
        <w:rPr>
          <w:rFonts w:ascii="Times New Roman" w:hAnsi="Times New Roman"/>
          <w:szCs w:val="24"/>
        </w:rPr>
        <w:t xml:space="preserve">; </w:t>
      </w:r>
      <w:r w:rsidR="005E5B74">
        <w:rPr>
          <w:rFonts w:ascii="Times New Roman" w:hAnsi="Times New Roman"/>
          <w:szCs w:val="24"/>
        </w:rPr>
        <w:fldChar w:fldCharType="begin"/>
      </w:r>
      <w:r w:rsidR="00EA54AA">
        <w:rPr>
          <w:rFonts w:ascii="Times New Roman" w:hAnsi="Times New Roman"/>
          <w:szCs w:val="24"/>
        </w:rPr>
        <w:instrText xml:space="preserve"> ADDIN EN.CITE &lt;EndNote&gt;&lt;Cite&gt;&lt;Author&gt;Plotnick&lt;/Author&gt;&lt;Year&gt;2016&lt;/Year&gt;&lt;RecNum&gt;19056&lt;/RecNum&gt;&lt;DisplayText&gt;Plotnick et al. 2016&lt;/DisplayText&gt;&lt;record&gt;&lt;rec-number&gt;19056&lt;/rec-number&gt;&lt;foreign-keys&gt;&lt;key app="EN" db-id="wz00v599a2zpv4etvzgv2e93052sszxwve5v" timestamp="1459875391"&gt;19056&lt;/key&gt;&lt;/foreign-keys&gt;&lt;ref-type name="Journal Article"&gt;17&lt;/ref-type&gt;&lt;contributors&gt;&lt;authors&gt;&lt;author&gt;Plotnick, Roy E.&lt;/author&gt;&lt;author&gt;Smith, Felisa A.&lt;/author&gt;&lt;author&gt;Lyons, S. Kathleen&lt;/author&gt;&lt;/authors&gt;&lt;/contributors&gt;&lt;titles&gt;&lt;title&gt;The fossil record of the sixth extinction&lt;/title&gt;&lt;secondary-title&gt;Ecology Letters&lt;/secondary-title&gt;&lt;/titles&gt;&lt;periodical&gt;&lt;full-title&gt;Ecology Letters&lt;/full-title&gt;&lt;/periodical&gt;&lt;pages&gt;546-553&lt;/pages&gt;&lt;volume&gt;19&lt;/volume&gt;&lt;number&gt;5&lt;/number&gt;&lt;keywords&gt;&lt;keyword&gt;Body size&lt;/keyword&gt;&lt;keyword&gt;extinction&lt;/keyword&gt;&lt;keyword&gt;fossils&lt;/keyword&gt;&lt;keyword&gt;mammals&lt;/keyword&gt;&lt;keyword&gt;range&lt;/keyword&gt;&lt;keyword&gt;taphonomy&lt;/keyword&gt;&lt;/keywords&gt;&lt;dates&gt;&lt;year&gt;2016&lt;/year&gt;&lt;/dates&gt;&lt;isbn&gt;1461-0248&lt;/isbn&gt;&lt;urls&gt;&lt;related-urls&gt;&lt;url&gt;http://dx.doi.org/10.1111/ele.12589&lt;/url&gt;&lt;/related-urls&gt;&lt;/urls&gt;&lt;electronic-resource-num&gt;10.1111/ele.12589&lt;/electronic-resource-num&gt;&lt;/record&gt;&lt;/Cite&gt;&lt;/EndNote&gt;</w:instrText>
      </w:r>
      <w:r w:rsidR="005E5B74">
        <w:rPr>
          <w:rFonts w:ascii="Times New Roman" w:hAnsi="Times New Roman"/>
          <w:szCs w:val="24"/>
        </w:rPr>
        <w:fldChar w:fldCharType="separate"/>
      </w:r>
      <w:r w:rsidR="005E5B74">
        <w:rPr>
          <w:rFonts w:ascii="Times New Roman" w:hAnsi="Times New Roman"/>
          <w:noProof/>
          <w:szCs w:val="24"/>
        </w:rPr>
        <w:t>Plotnick et al. 2016</w:t>
      </w:r>
      <w:r w:rsidR="005E5B74">
        <w:rPr>
          <w:rFonts w:ascii="Times New Roman" w:hAnsi="Times New Roman"/>
          <w:szCs w:val="24"/>
        </w:rPr>
        <w:fldChar w:fldCharType="end"/>
      </w:r>
      <w:r w:rsidR="00896135">
        <w:rPr>
          <w:rFonts w:ascii="Times New Roman" w:hAnsi="Times New Roman"/>
          <w:szCs w:val="24"/>
        </w:rPr>
        <w:t xml:space="preserve">) and thus might be the default taxonomic assignments for subsequent  described collections. </w:t>
      </w:r>
    </w:p>
    <w:p w14:paraId="258745FA" w14:textId="3102CAC9" w:rsidR="00FF08E6" w:rsidRDefault="00896135" w:rsidP="00896135">
      <w:pPr>
        <w:spacing w:line="480" w:lineRule="auto"/>
        <w:rPr>
          <w:rFonts w:ascii="Times New Roman" w:hAnsi="Times New Roman"/>
          <w:szCs w:val="24"/>
        </w:rPr>
      </w:pPr>
      <w:r>
        <w:rPr>
          <w:rFonts w:ascii="Times New Roman" w:hAnsi="Times New Roman"/>
          <w:szCs w:val="24"/>
        </w:rPr>
        <w:t xml:space="preserve"> </w:t>
      </w:r>
      <w:r>
        <w:rPr>
          <w:rFonts w:ascii="Times New Roman" w:hAnsi="Times New Roman"/>
          <w:szCs w:val="24"/>
        </w:rPr>
        <w:tab/>
        <w:t>Related to this last possibility is that dominant</w:t>
      </w:r>
      <w:r w:rsidR="00FF08E6" w:rsidRPr="00C7158D">
        <w:rPr>
          <w:rFonts w:ascii="Times New Roman" w:hAnsi="Times New Roman"/>
          <w:szCs w:val="24"/>
        </w:rPr>
        <w:t xml:space="preserve"> genera are nearly three times more apt to be the type genus of a family or subfamily than are </w:t>
      </w:r>
      <w:r w:rsidR="00FF08E6">
        <w:rPr>
          <w:rFonts w:ascii="Times New Roman" w:hAnsi="Times New Roman"/>
          <w:szCs w:val="24"/>
        </w:rPr>
        <w:t>rarer</w:t>
      </w:r>
      <w:r w:rsidR="00FF08E6" w:rsidRPr="00C7158D">
        <w:rPr>
          <w:rFonts w:ascii="Times New Roman" w:hAnsi="Times New Roman"/>
          <w:szCs w:val="24"/>
        </w:rPr>
        <w:t xml:space="preserve"> genera: 320 of the 718 </w:t>
      </w:r>
      <w:r w:rsidR="00FF08E6">
        <w:rPr>
          <w:rFonts w:ascii="Times New Roman" w:hAnsi="Times New Roman"/>
          <w:szCs w:val="24"/>
        </w:rPr>
        <w:t>dominant</w:t>
      </w:r>
      <w:r w:rsidR="00FF08E6" w:rsidRPr="00C7158D">
        <w:rPr>
          <w:rFonts w:ascii="Times New Roman" w:hAnsi="Times New Roman"/>
          <w:szCs w:val="24"/>
        </w:rPr>
        <w:t xml:space="preserve"> genera are types given current</w:t>
      </w:r>
      <w:r w:rsidR="00FF08E6">
        <w:rPr>
          <w:rFonts w:ascii="Times New Roman" w:hAnsi="Times New Roman"/>
          <w:szCs w:val="24"/>
        </w:rPr>
        <w:t xml:space="preserve"> (2016)</w:t>
      </w:r>
      <w:r w:rsidR="00FF08E6" w:rsidRPr="00C7158D">
        <w:rPr>
          <w:rFonts w:ascii="Times New Roman" w:hAnsi="Times New Roman"/>
          <w:szCs w:val="24"/>
        </w:rPr>
        <w:t xml:space="preserve"> classification in the PaleoDB, whereas 2020 of 12361 </w:t>
      </w:r>
      <w:r w:rsidR="00FF08E6">
        <w:rPr>
          <w:rFonts w:ascii="Times New Roman" w:hAnsi="Times New Roman"/>
          <w:szCs w:val="24"/>
        </w:rPr>
        <w:t>rarer</w:t>
      </w:r>
      <w:r w:rsidR="00FF08E6" w:rsidRPr="00C7158D">
        <w:rPr>
          <w:rFonts w:ascii="Times New Roman" w:hAnsi="Times New Roman"/>
          <w:szCs w:val="24"/>
        </w:rPr>
        <w:t xml:space="preserve"> genera are types for their family or subfamily. </w:t>
      </w:r>
      <w:r w:rsidR="00FF08E6">
        <w:rPr>
          <w:rFonts w:ascii="Times New Roman" w:hAnsi="Times New Roman"/>
          <w:szCs w:val="24"/>
        </w:rPr>
        <w:t>T</w:t>
      </w:r>
      <w:r w:rsidR="00FF08E6" w:rsidRPr="00C7158D">
        <w:rPr>
          <w:rFonts w:ascii="Times New Roman" w:hAnsi="Times New Roman"/>
          <w:szCs w:val="24"/>
        </w:rPr>
        <w:t>he genus typifying a family might become the default generic assignment for species in that family</w:t>
      </w:r>
      <w:r w:rsidR="00FF08E6">
        <w:rPr>
          <w:rFonts w:ascii="Times New Roman" w:hAnsi="Times New Roman"/>
          <w:szCs w:val="24"/>
        </w:rPr>
        <w:t xml:space="preserve">, artificially elevating how common it is </w:t>
      </w:r>
      <w:r w:rsidR="00FF08E6" w:rsidRPr="00C7158D">
        <w:rPr>
          <w:rFonts w:ascii="Times New Roman" w:hAnsi="Times New Roman"/>
          <w:szCs w:val="24"/>
        </w:rPr>
        <w:t>(</w:t>
      </w:r>
      <w:r w:rsidR="00A13F3B">
        <w:rPr>
          <w:rFonts w:ascii="Times New Roman" w:hAnsi="Times New Roman"/>
          <w:noProof/>
          <w:szCs w:val="24"/>
        </w:rPr>
        <w:fldChar w:fldCharType="begin"/>
      </w:r>
      <w:r w:rsidR="00A13F3B">
        <w:rPr>
          <w:rFonts w:ascii="Times New Roman" w:hAnsi="Times New Roman"/>
          <w:noProof/>
          <w:szCs w:val="24"/>
        </w:rPr>
        <w:instrText xml:space="preserve"> ADDIN EN.CITE &lt;EndNote&gt;&lt;Cite&gt;&lt;Author&gt;Wagner&lt;/Author&gt;&lt;Year&gt;2007&lt;/Year&gt;&lt;RecNum&gt;35&lt;/RecNum&gt;&lt;DisplayText&gt;Wagner et al. 2007&lt;/DisplayText&gt;&lt;record&gt;&lt;rec-number&gt;35&lt;/rec-number&gt;&lt;foreign-keys&gt;&lt;key app="EN" db-id="r2savzrxwddstne9dvmp0wderfxdtarefrzr" timestamp="1493841983"&gt;35&lt;/key&gt;&lt;/foreign-keys&gt;&lt;ref-type name="Journal Article"&gt;17&lt;/ref-type&gt;&lt;contributors&gt;&lt;authors&gt;&lt;author&gt;Peter J. Wagner&lt;/author&gt;&lt;author&gt;Martin Aberhan&lt;/author&gt;&lt;author&gt;Austin Hendy&lt;/author&gt;&lt;author&gt;Wolfgang Kiessling&lt;/author&gt;&lt;/authors&gt;&lt;/contributors&gt;&lt;titles&gt;&lt;title&gt;The effects of taxonomic standardization on sampling-standardized estimates of historical diversityz&lt;/title&gt;&lt;secondary-title&gt;Proceedings of the Royal Society of London, Series B. Biological Sciences&lt;/secondary-title&gt;&lt;/titles&gt;&lt;periodical&gt;&lt;full-title&gt;Proceedings of the Royal Society of London, Series B. Biological Sciences&lt;/full-title&gt;&lt;/periodical&gt;&lt;pages&gt;439 - 444&lt;/pages&gt;&lt;volume&gt;274&lt;/volume&gt;&lt;number&gt;1608&lt;/number&gt;&lt;section&gt;439&lt;/section&gt;&lt;dates&gt;&lt;year&gt;2007&lt;/year&gt;&lt;pub-dates&gt;&lt;date&gt;&lt;style face="normal" font="default" size="100%"&gt;2007&lt;/style&gt;&lt;style face="normal" font="default" size="12"&gt;/&lt;/style&gt;&lt;style face="normal" font="default" size="100%"&gt;02&lt;/style&gt;&lt;/date&gt;&lt;/pub-dates&gt;&lt;/dates&gt;&lt;urls&gt;&lt;/urls&gt;&lt;electronic-resource-num&gt;10.1098/rspb.2006.3742&lt;/electronic-resource-num&gt;&lt;/record&gt;&lt;/Cite&gt;&lt;/EndNote&gt;</w:instrText>
      </w:r>
      <w:r w:rsidR="00A13F3B">
        <w:rPr>
          <w:rFonts w:ascii="Times New Roman" w:hAnsi="Times New Roman"/>
          <w:noProof/>
          <w:szCs w:val="24"/>
        </w:rPr>
        <w:fldChar w:fldCharType="separate"/>
      </w:r>
      <w:r w:rsidR="00A13F3B">
        <w:rPr>
          <w:rFonts w:ascii="Times New Roman" w:hAnsi="Times New Roman"/>
          <w:noProof/>
          <w:szCs w:val="24"/>
        </w:rPr>
        <w:t>Wagner et al. 2007</w:t>
      </w:r>
      <w:r w:rsidR="00A13F3B">
        <w:rPr>
          <w:rFonts w:ascii="Times New Roman" w:hAnsi="Times New Roman"/>
          <w:noProof/>
          <w:szCs w:val="24"/>
        </w:rPr>
        <w:fldChar w:fldCharType="end"/>
      </w:r>
      <w:r w:rsidR="00A13F3B">
        <w:rPr>
          <w:rFonts w:ascii="Times New Roman" w:hAnsi="Times New Roman"/>
          <w:noProof/>
          <w:szCs w:val="24"/>
        </w:rPr>
        <w:t>;</w:t>
      </w:r>
      <w:r w:rsidR="00FF08E6" w:rsidRPr="00C7158D">
        <w:rPr>
          <w:rFonts w:ascii="Times New Roman" w:hAnsi="Times New Roman"/>
          <w:noProof/>
          <w:szCs w:val="24"/>
        </w:rPr>
        <w:t xml:space="preserve"> </w:t>
      </w:r>
      <w:r w:rsidR="00F64AF4">
        <w:rPr>
          <w:rFonts w:ascii="Times New Roman" w:hAnsi="Times New Roman"/>
          <w:noProof/>
          <w:szCs w:val="24"/>
        </w:rPr>
        <w:fldChar w:fldCharType="begin"/>
      </w:r>
      <w:r w:rsidR="00F64AF4">
        <w:rPr>
          <w:rFonts w:ascii="Times New Roman" w:hAnsi="Times New Roman"/>
          <w:noProof/>
          <w:szCs w:val="24"/>
        </w:rPr>
        <w:instrText xml:space="preserve"> ADDIN EN.CITE &lt;EndNote&gt;&lt;Cite&gt;&lt;Author&gt;Hendricks&lt;/Author&gt;&lt;Year&gt;2014&lt;/Year&gt;&lt;RecNum&gt;13&lt;/RecNum&gt;&lt;DisplayText&gt;Hendricks et al. 2014&lt;/DisplayText&gt;&lt;record&gt;&lt;rec-number&gt;13&lt;/rec-number&gt;&lt;foreign-keys&gt;&lt;key app="EN" db-id="r2savzrxwddstne9dvmp0wderfxdtarefrzr" timestamp="1493841983"&gt;13&lt;/key&gt;&lt;/foreign-keys&gt;&lt;ref-type name="Journal Article"&gt;17&lt;/ref-type&gt;&lt;contributors&gt;&lt;authors&gt;&lt;author&gt;Hendricks, Jonathan R.&lt;/author&gt;&lt;author&gt;Saupe, Erin E.&lt;/author&gt;&lt;author&gt;Myers, Corinne E.&lt;/author&gt;&lt;author&gt;Hermsen, Elizabeth J.&lt;/author&gt;&lt;author&gt;Allmon, Warren D.&lt;/author&gt;&lt;/authors&gt;&lt;/contributors&gt;&lt;titles&gt;&lt;title&gt;The generification of the fossil Record&lt;/title&gt;&lt;secondary-title&gt;Paleobiology&lt;/secondary-title&gt;&lt;/titles&gt;&lt;periodical&gt;&lt;full-title&gt;Paleobiology&lt;/full-title&gt;&lt;/periodical&gt;&lt;pages&gt;511-528&lt;/pages&gt;&lt;volume&gt;40&lt;/volume&gt;&lt;number&gt;4&lt;/number&gt;&lt;edition&gt;2014/06/01&lt;/edition&gt;&lt;section&gt;511&lt;/section&gt;&lt;dates&gt;&lt;year&gt;2014&lt;/year&gt;&lt;pub-dates&gt;&lt;date&gt;2014/09/01&lt;/date&gt;&lt;/pub-dates&gt;&lt;/dates&gt;&lt;publisher&gt;The Paleontological Society&lt;/publisher&gt;&lt;isbn&gt;0094-8373&lt;/isbn&gt;&lt;urls&gt;&lt;related-urls&gt;&lt;url&gt;http://www.psjournals.org/doi/abs/10.1666/13076&lt;/url&gt;&lt;url&gt;http://www.bioone.org/doi/abs/10.1666/13076&lt;/url&gt;&lt;/related-urls&gt;&lt;/urls&gt;&lt;electronic-resource-num&gt;10.1666/13076&lt;/electronic-resource-num&gt;&lt;access-date&gt;2014/07/01&lt;/access-date&gt;&lt;/record&gt;&lt;/Cite&gt;&lt;/EndNote&gt;</w:instrText>
      </w:r>
      <w:r w:rsidR="00F64AF4">
        <w:rPr>
          <w:rFonts w:ascii="Times New Roman" w:hAnsi="Times New Roman"/>
          <w:noProof/>
          <w:szCs w:val="24"/>
        </w:rPr>
        <w:fldChar w:fldCharType="separate"/>
      </w:r>
      <w:r w:rsidR="00F64AF4">
        <w:rPr>
          <w:rFonts w:ascii="Times New Roman" w:hAnsi="Times New Roman"/>
          <w:noProof/>
          <w:szCs w:val="24"/>
        </w:rPr>
        <w:t>Hendricks et al. 2014</w:t>
      </w:r>
      <w:r w:rsidR="00F64AF4">
        <w:rPr>
          <w:rFonts w:ascii="Times New Roman" w:hAnsi="Times New Roman"/>
          <w:noProof/>
          <w:szCs w:val="24"/>
        </w:rPr>
        <w:fldChar w:fldCharType="end"/>
      </w:r>
      <w:r w:rsidR="00FF08E6">
        <w:rPr>
          <w:rFonts w:ascii="Times New Roman" w:hAnsi="Times New Roman"/>
          <w:szCs w:val="24"/>
        </w:rPr>
        <w:t xml:space="preserve">). </w:t>
      </w:r>
    </w:p>
    <w:p w14:paraId="519457D8" w14:textId="40BCE9A4" w:rsidR="00FF08E6" w:rsidRDefault="00896135" w:rsidP="00571016">
      <w:pPr>
        <w:spacing w:line="480" w:lineRule="auto"/>
        <w:ind w:firstLine="360"/>
        <w:rPr>
          <w:rFonts w:ascii="Times New Roman" w:hAnsi="Times New Roman"/>
          <w:szCs w:val="24"/>
        </w:rPr>
      </w:pPr>
      <w:r>
        <w:rPr>
          <w:rFonts w:ascii="Times New Roman" w:hAnsi="Times New Roman"/>
          <w:szCs w:val="24"/>
        </w:rPr>
        <w:t xml:space="preserve"> </w:t>
      </w:r>
      <w:r w:rsidR="00571016">
        <w:rPr>
          <w:rFonts w:ascii="Times New Roman" w:hAnsi="Times New Roman"/>
          <w:szCs w:val="24"/>
        </w:rPr>
        <w:t xml:space="preserve">Here we suggest two other options that reflect the interaction of biological patterns with taxonomic practice. First, </w:t>
      </w:r>
      <w:r w:rsidR="00FF08E6" w:rsidRPr="00C7158D">
        <w:rPr>
          <w:rFonts w:ascii="Times New Roman" w:hAnsi="Times New Roman"/>
          <w:szCs w:val="24"/>
        </w:rPr>
        <w:t xml:space="preserve">occurrences among genera correlate strongly with species-richness </w:t>
      </w:r>
      <w:r w:rsidR="00FF08E6" w:rsidRPr="00C7158D">
        <w:rPr>
          <w:rFonts w:ascii="Times New Roman" w:hAnsi="Times New Roman"/>
          <w:szCs w:val="24"/>
        </w:rPr>
        <w:lastRenderedPageBreak/>
        <w:t>within genera (</w:t>
      </w:r>
      <w:r w:rsidR="00F64AF4">
        <w:rPr>
          <w:rFonts w:ascii="Times New Roman" w:hAnsi="Times New Roman"/>
          <w:noProof/>
          <w:szCs w:val="24"/>
        </w:rPr>
        <w:fldChar w:fldCharType="begin"/>
      </w:r>
      <w:r w:rsidR="00F64AF4">
        <w:rPr>
          <w:rFonts w:ascii="Times New Roman" w:hAnsi="Times New Roman"/>
          <w:noProof/>
          <w:szCs w:val="24"/>
        </w:rPr>
        <w:instrText xml:space="preserve"> ADDIN EN.CITE &lt;EndNote&gt;&lt;Cite&gt;&lt;Author&gt;Liow&lt;/Author&gt;&lt;Year&gt;2007&lt;/Year&gt;&lt;RecNum&gt;51&lt;/RecNum&gt;&lt;DisplayText&gt;Liow 2007&lt;/DisplayText&gt;&lt;record&gt;&lt;rec-number&gt;51&lt;/rec-number&gt;&lt;foreign-keys&gt;&lt;key app="EN" db-id="r2savzrxwddstne9dvmp0wderfxdtarefrzr" timestamp="1497648144"&gt;51&lt;/key&gt;&lt;/foreign-keys&gt;&lt;ref-type name="Journal Article"&gt;17&lt;/ref-type&gt;&lt;contributors&gt;&lt;authors&gt;&lt;author&gt;Liow, Lee Hsiang&lt;/author&gt;&lt;/authors&gt;&lt;/contributors&gt;&lt;titles&gt;&lt;title&gt;Does versatility as measured by geographic range, bathymetric range and morphological variability contribute to taxon longevity?&lt;/title&gt;&lt;secondary-title&gt;Global Ecology and Biogeography&lt;/secondary-title&gt;&lt;/titles&gt;&lt;periodical&gt;&lt;full-title&gt;Global Ecology and Biogeography&lt;/full-title&gt;&lt;/periodical&gt;&lt;pages&gt;117-128&lt;/pages&gt;&lt;volume&gt;16&lt;/volume&gt;&lt;number&gt;1&lt;/number&gt;&lt;section&gt;117&lt;/section&gt;&lt;keywords&gt;&lt;keyword&gt;Fossil record&lt;/keyword&gt;&lt;keyword&gt;genus&lt;/keyword&gt;&lt;keyword&gt;geologic longevity&lt;/keyword&gt;&lt;keyword&gt;sampling&lt;/keyword&gt;&lt;keyword&gt;species&lt;/keyword&gt;&lt;keyword&gt;trachyleberidid ostracodes&lt;/keyword&gt;&lt;/keywords&gt;&lt;dates&gt;&lt;year&gt;2007&lt;/year&gt;&lt;/dates&gt;&lt;publisher&gt;Blackwell Publishing Ltd&lt;/publisher&gt;&lt;isbn&gt;1466-8238&lt;/isbn&gt;&lt;urls&gt;&lt;related-urls&gt;&lt;url&gt;http://dx.doi.org/10.1111/j.1466-8238.2006.00269.x&lt;/url&gt;&lt;/related-urls&gt;&lt;/urls&gt;&lt;electronic-resource-num&gt;10.1111/j.1466-8238.2006.00269.x&lt;/electronic-resource-num&gt;&lt;/record&gt;&lt;/Cite&gt;&lt;/EndNote&gt;</w:instrText>
      </w:r>
      <w:r w:rsidR="00F64AF4">
        <w:rPr>
          <w:rFonts w:ascii="Times New Roman" w:hAnsi="Times New Roman"/>
          <w:noProof/>
          <w:szCs w:val="24"/>
        </w:rPr>
        <w:fldChar w:fldCharType="separate"/>
      </w:r>
      <w:r w:rsidR="00F64AF4">
        <w:rPr>
          <w:rFonts w:ascii="Times New Roman" w:hAnsi="Times New Roman"/>
          <w:noProof/>
          <w:szCs w:val="24"/>
        </w:rPr>
        <w:t>Liow 2007</w:t>
      </w:r>
      <w:r w:rsidR="00F64AF4">
        <w:rPr>
          <w:rFonts w:ascii="Times New Roman" w:hAnsi="Times New Roman"/>
          <w:noProof/>
          <w:szCs w:val="24"/>
        </w:rPr>
        <w:fldChar w:fldCharType="end"/>
      </w:r>
      <w:r w:rsidR="00F64AF4">
        <w:rPr>
          <w:rFonts w:ascii="Times New Roman" w:hAnsi="Times New Roman"/>
          <w:noProof/>
          <w:szCs w:val="24"/>
        </w:rPr>
        <w:t>;</w:t>
      </w:r>
      <w:r w:rsidR="00FF08E6" w:rsidRPr="00C7158D">
        <w:rPr>
          <w:rFonts w:ascii="Times New Roman" w:hAnsi="Times New Roman"/>
          <w:noProof/>
          <w:szCs w:val="24"/>
        </w:rPr>
        <w:t xml:space="preserve"> </w:t>
      </w:r>
      <w:r w:rsidR="00F64AF4">
        <w:rPr>
          <w:rFonts w:ascii="Times New Roman" w:hAnsi="Times New Roman"/>
          <w:noProof/>
          <w:szCs w:val="24"/>
        </w:rPr>
        <w:fldChar w:fldCharType="begin"/>
      </w:r>
      <w:r w:rsidR="00F64AF4">
        <w:rPr>
          <w:rFonts w:ascii="Times New Roman" w:hAnsi="Times New Roman"/>
          <w:noProof/>
          <w:szCs w:val="24"/>
        </w:rPr>
        <w:instrText xml:space="preserve"> ADDIN EN.CITE &lt;EndNote&gt;&lt;Cite&gt;&lt;Author&gt;Foote&lt;/Author&gt;&lt;Year&gt;2016&lt;/Year&gt;&lt;RecNum&gt;50&lt;/RecNum&gt;&lt;DisplayText&gt;Foote et al. 2016&lt;/DisplayText&gt;&lt;record&gt;&lt;rec-number&gt;50&lt;/rec-number&gt;&lt;foreign-keys&gt;&lt;key app="EN" db-id="r2savzrxwddstne9dvmp0wderfxdtarefrzr" timestamp="1497648144"&gt;50&lt;/key&gt;&lt;/foreign-keys&gt;&lt;ref-type name="Journal Article"&gt;17&lt;/ref-type&gt;&lt;contributors&gt;&lt;authors&gt;&lt;author&gt;Foote, Michael&lt;/author&gt;&lt;author&gt;Ritterbush, Kathleen A.&lt;/author&gt;&lt;author&gt;Miller, Arnold I.&lt;/author&gt;&lt;/authors&gt;&lt;/contributors&gt;&lt;titles&gt;&lt;title&gt;Geographic ranges of genera and their constituent species: structure, evolutionary dynamics, and extinction resistance&lt;/title&gt;&lt;secondary-title&gt;Paleobiology&lt;/secondary-title&gt;&lt;/titles&gt;&lt;periodical&gt;&lt;full-title&gt;Paleobiology&lt;/full-title&gt;&lt;/periodical&gt;&lt;pages&gt;269-288&lt;/pages&gt;&lt;volume&gt;42&lt;/volume&gt;&lt;number&gt;02&lt;/number&gt;&lt;edition&gt;2016/03/09&lt;/edition&gt;&lt;section&gt;269&lt;/section&gt;&lt;dates&gt;&lt;year&gt;2016&lt;/year&gt;&lt;pub-dates&gt;&lt;date&gt;2016/03/09&lt;/date&gt;&lt;/pub-dates&gt;&lt;/dates&gt;&lt;urls&gt;&lt;/urls&gt;&lt;electronic-resource-num&gt;10.1017/pab.2015.40&lt;/electronic-resource-num&gt;&lt;/record&gt;&lt;/Cite&gt;&lt;/EndNote&gt;</w:instrText>
      </w:r>
      <w:r w:rsidR="00F64AF4">
        <w:rPr>
          <w:rFonts w:ascii="Times New Roman" w:hAnsi="Times New Roman"/>
          <w:noProof/>
          <w:szCs w:val="24"/>
        </w:rPr>
        <w:fldChar w:fldCharType="separate"/>
      </w:r>
      <w:r w:rsidR="00F64AF4">
        <w:rPr>
          <w:rFonts w:ascii="Times New Roman" w:hAnsi="Times New Roman"/>
          <w:noProof/>
          <w:szCs w:val="24"/>
        </w:rPr>
        <w:t>Foote et al. 2016</w:t>
      </w:r>
      <w:r w:rsidR="00F64AF4">
        <w:rPr>
          <w:rFonts w:ascii="Times New Roman" w:hAnsi="Times New Roman"/>
          <w:noProof/>
          <w:szCs w:val="24"/>
        </w:rPr>
        <w:fldChar w:fldCharType="end"/>
      </w:r>
      <w:r w:rsidR="000B7D66">
        <w:rPr>
          <w:rFonts w:ascii="Times New Roman" w:hAnsi="Times New Roman"/>
          <w:szCs w:val="24"/>
        </w:rPr>
        <w:t xml:space="preserve">; </w:t>
      </w:r>
      <w:r w:rsidR="00B2483E">
        <w:rPr>
          <w:rFonts w:ascii="Times New Roman" w:hAnsi="Times New Roman"/>
          <w:szCs w:val="24"/>
        </w:rPr>
        <w:t xml:space="preserve">Supplementary </w:t>
      </w:r>
      <w:r w:rsidR="00F230EE">
        <w:rPr>
          <w:rFonts w:ascii="Times New Roman" w:hAnsi="Times New Roman"/>
          <w:szCs w:val="24"/>
        </w:rPr>
        <w:t>Fig.</w:t>
      </w:r>
      <w:r w:rsidR="00557B3C">
        <w:rPr>
          <w:rFonts w:ascii="Times New Roman" w:hAnsi="Times New Roman"/>
          <w:szCs w:val="24"/>
        </w:rPr>
        <w:t xml:space="preserve"> </w:t>
      </w:r>
      <w:r w:rsidR="00B2483E">
        <w:rPr>
          <w:rFonts w:ascii="Times New Roman" w:hAnsi="Times New Roman"/>
          <w:szCs w:val="24"/>
        </w:rPr>
        <w:t>3</w:t>
      </w:r>
      <w:r w:rsidR="00557B3C">
        <w:rPr>
          <w:rFonts w:ascii="Times New Roman" w:hAnsi="Times New Roman"/>
          <w:szCs w:val="24"/>
        </w:rPr>
        <w:t>)</w:t>
      </w:r>
      <w:r w:rsidR="00FF08E6">
        <w:rPr>
          <w:rFonts w:ascii="Times New Roman" w:hAnsi="Times New Roman"/>
          <w:szCs w:val="24"/>
        </w:rPr>
        <w:t xml:space="preserve">. </w:t>
      </w:r>
      <w:r w:rsidR="00FF08E6" w:rsidRPr="00C7158D">
        <w:rPr>
          <w:rFonts w:ascii="Times New Roman" w:hAnsi="Times New Roman"/>
          <w:szCs w:val="24"/>
        </w:rPr>
        <w:t>Thus, we expect morphotypes with many species to be easier to sampl</w:t>
      </w:r>
      <w:r w:rsidR="00FF08E6">
        <w:rPr>
          <w:rFonts w:ascii="Times New Roman" w:hAnsi="Times New Roman"/>
          <w:szCs w:val="24"/>
        </w:rPr>
        <w:t xml:space="preserve">e than those with few species. </w:t>
      </w:r>
      <w:r w:rsidR="00FF08E6" w:rsidRPr="00C7158D">
        <w:rPr>
          <w:rFonts w:ascii="Times New Roman" w:hAnsi="Times New Roman"/>
          <w:szCs w:val="24"/>
        </w:rPr>
        <w:t>Over the history of paleontology as a science, we expect species from speciose genera to be described in earlier works than spe</w:t>
      </w:r>
      <w:r w:rsidR="00FF08E6">
        <w:rPr>
          <w:rFonts w:ascii="Times New Roman" w:hAnsi="Times New Roman"/>
          <w:szCs w:val="24"/>
        </w:rPr>
        <w:t xml:space="preserve">cies from species-poor genera. </w:t>
      </w:r>
      <w:r w:rsidR="00FF08E6" w:rsidRPr="00C7158D">
        <w:rPr>
          <w:rFonts w:ascii="Times New Roman" w:hAnsi="Times New Roman"/>
          <w:szCs w:val="24"/>
        </w:rPr>
        <w:t xml:space="preserve">That in turn </w:t>
      </w:r>
      <w:r w:rsidR="00B35695">
        <w:rPr>
          <w:rFonts w:ascii="Times New Roman" w:hAnsi="Times New Roman"/>
          <w:szCs w:val="24"/>
        </w:rPr>
        <w:t xml:space="preserve">also </w:t>
      </w:r>
      <w:r w:rsidR="00FF08E6" w:rsidRPr="00C7158D">
        <w:rPr>
          <w:rFonts w:ascii="Times New Roman" w:hAnsi="Times New Roman"/>
          <w:szCs w:val="24"/>
        </w:rPr>
        <w:t>elevates the chance that such genera will wind up a</w:t>
      </w:r>
      <w:r w:rsidR="00FF08E6">
        <w:rPr>
          <w:rFonts w:ascii="Times New Roman" w:hAnsi="Times New Roman"/>
          <w:szCs w:val="24"/>
        </w:rPr>
        <w:t xml:space="preserve">s types of families. </w:t>
      </w:r>
    </w:p>
    <w:p w14:paraId="42FAD302" w14:textId="79955225" w:rsidR="00FF08E6" w:rsidRPr="00C7158D" w:rsidRDefault="00FF08E6" w:rsidP="008A66AD">
      <w:pPr>
        <w:spacing w:line="480" w:lineRule="auto"/>
        <w:rPr>
          <w:rFonts w:ascii="Times New Roman" w:hAnsi="Times New Roman"/>
          <w:szCs w:val="24"/>
        </w:rPr>
      </w:pPr>
      <w:r>
        <w:rPr>
          <w:rFonts w:ascii="Times New Roman" w:hAnsi="Times New Roman"/>
          <w:szCs w:val="24"/>
        </w:rPr>
        <w:tab/>
        <w:t xml:space="preserve">Another explanation is that dominant genera reflect the </w:t>
      </w:r>
      <w:r w:rsidRPr="00C7158D">
        <w:rPr>
          <w:rFonts w:ascii="Times New Roman" w:hAnsi="Times New Roman"/>
          <w:szCs w:val="24"/>
        </w:rPr>
        <w:t xml:space="preserve">pattern expected given </w:t>
      </w:r>
      <w:r>
        <w:rPr>
          <w:rFonts w:ascii="Times New Roman" w:hAnsi="Times New Roman"/>
          <w:szCs w:val="24"/>
        </w:rPr>
        <w:t>a simple model</w:t>
      </w:r>
      <w:r w:rsidRPr="00C7158D">
        <w:rPr>
          <w:rFonts w:ascii="Times New Roman" w:hAnsi="Times New Roman"/>
          <w:szCs w:val="24"/>
        </w:rPr>
        <w:t xml:space="preserve"> of character evolution, diversification,</w:t>
      </w:r>
      <w:r>
        <w:rPr>
          <w:rFonts w:ascii="Times New Roman" w:hAnsi="Times New Roman"/>
          <w:szCs w:val="24"/>
        </w:rPr>
        <w:t xml:space="preserve"> and taxonomic practice that predicts </w:t>
      </w:r>
      <w:r w:rsidRPr="00C7158D">
        <w:rPr>
          <w:rFonts w:ascii="Times New Roman" w:hAnsi="Times New Roman"/>
          <w:szCs w:val="24"/>
        </w:rPr>
        <w:t xml:space="preserve">greater species-richness among “primitive” genera than derived ones (e.g., </w:t>
      </w:r>
      <w:r w:rsidR="00F64AF4">
        <w:rPr>
          <w:rFonts w:ascii="Times New Roman" w:hAnsi="Times New Roman"/>
          <w:noProof/>
          <w:szCs w:val="24"/>
        </w:rPr>
        <w:fldChar w:fldCharType="begin"/>
      </w:r>
      <w:r w:rsidR="00F64AF4">
        <w:rPr>
          <w:rFonts w:ascii="Times New Roman" w:hAnsi="Times New Roman"/>
          <w:noProof/>
          <w:szCs w:val="24"/>
        </w:rPr>
        <w:instrText xml:space="preserve"> ADDIN EN.CITE &lt;EndNote&gt;&lt;Cite&gt;&lt;Author&gt;Raup&lt;/Author&gt;&lt;Year&gt;1974&lt;/Year&gt;&lt;RecNum&gt;47&lt;/RecNum&gt;&lt;DisplayText&gt;Raup and Gould 1974&lt;/DisplayText&gt;&lt;record&gt;&lt;rec-number&gt;47&lt;/rec-number&gt;&lt;foreign-keys&gt;&lt;key app="EN" db-id="r2savzrxwddstne9dvmp0wderfxdtarefrzr" timestamp="1497643917"&gt;47&lt;/key&gt;&lt;/foreign-keys&gt;&lt;ref-type name="Journal Article"&gt;17&lt;/ref-type&gt;&lt;contributors&gt;&lt;authors&gt;&lt;author&gt;Raup, David M.&lt;/author&gt;&lt;author&gt;Gould, Stephen J.&lt;/author&gt;&lt;/authors&gt;&lt;/contributors&gt;&lt;titles&gt;&lt;title&gt;Stochastic simulation and evolution of morphology - towards a nomothetic paleontology&lt;/title&gt;&lt;secondary-title&gt;Systematic Zoology&lt;/secondary-title&gt;&lt;/titles&gt;&lt;periodical&gt;&lt;full-title&gt;Systematic Zoology&lt;/full-title&gt;&lt;/periodical&gt;&lt;pages&gt;305 - 322&lt;/pages&gt;&lt;volume&gt;23&lt;/volume&gt;&lt;number&gt;2&lt;/number&gt;&lt;section&gt;305&lt;/section&gt;&lt;keywords&gt;&lt;keyword&gt;Comparative Biology&lt;/keyword&gt;&lt;keyword&gt;Morphospace&lt;/keyword&gt;&lt;keyword&gt;Morphologic Diversity&lt;/keyword&gt;&lt;keyword&gt;Adaptation&lt;/keyword&gt;&lt;keyword&gt;Evolutionary Trends&lt;/keyword&gt;&lt;keyword&gt;Random Models&lt;/keyword&gt;&lt;keyword&gt;Simulations&lt;/keyword&gt;&lt;keyword&gt;Triloboids&lt;/keyword&gt;&lt;/keywords&gt;&lt;dates&gt;&lt;year&gt;1974&lt;/year&gt;&lt;pub-dates&gt;&lt;date&gt;&lt;style face="normal" font="default" size="100%"&gt;1974&lt;/style&gt;&lt;style face="normal" font="default" size="12"&gt;/&lt;/style&gt;&lt;style face="normal" font="default" size="100%"&gt;05&lt;/style&gt;&lt;/date&gt;&lt;/pub-dates&gt;&lt;/dates&gt;&lt;label&gt;263&lt;/label&gt;&lt;urls&gt;&lt;/urls&gt;&lt;electronic-resource-num&gt;10.1093/sysbio/23.3.305&lt;/electronic-resource-num&gt;&lt;/record&gt;&lt;/Cite&gt;&lt;/EndNote&gt;</w:instrText>
      </w:r>
      <w:r w:rsidR="00F64AF4">
        <w:rPr>
          <w:rFonts w:ascii="Times New Roman" w:hAnsi="Times New Roman"/>
          <w:noProof/>
          <w:szCs w:val="24"/>
        </w:rPr>
        <w:fldChar w:fldCharType="separate"/>
      </w:r>
      <w:r w:rsidR="00F64AF4">
        <w:rPr>
          <w:rFonts w:ascii="Times New Roman" w:hAnsi="Times New Roman"/>
          <w:noProof/>
          <w:szCs w:val="24"/>
        </w:rPr>
        <w:t>Raup and Gould 1974</w:t>
      </w:r>
      <w:r w:rsidR="00F64AF4">
        <w:rPr>
          <w:rFonts w:ascii="Times New Roman" w:hAnsi="Times New Roman"/>
          <w:noProof/>
          <w:szCs w:val="24"/>
        </w:rPr>
        <w:fldChar w:fldCharType="end"/>
      </w:r>
      <w:r w:rsidR="00F64AF4">
        <w:rPr>
          <w:rFonts w:ascii="Times New Roman" w:hAnsi="Times New Roman"/>
          <w:noProof/>
          <w:szCs w:val="24"/>
        </w:rPr>
        <w:t>;</w:t>
      </w:r>
      <w:r w:rsidRPr="00C7158D">
        <w:rPr>
          <w:rFonts w:ascii="Times New Roman" w:hAnsi="Times New Roman"/>
          <w:noProof/>
          <w:szCs w:val="24"/>
        </w:rPr>
        <w:t xml:space="preserve"> Estabrook 1977</w:t>
      </w:r>
      <w:r w:rsidR="00033621">
        <w:rPr>
          <w:rFonts w:ascii="Times New Roman" w:hAnsi="Times New Roman"/>
          <w:noProof/>
          <w:szCs w:val="24"/>
        </w:rPr>
        <w:t>;</w:t>
      </w:r>
      <w:r w:rsidR="00033621" w:rsidRPr="00C7158D">
        <w:rPr>
          <w:rFonts w:ascii="Times New Roman" w:hAnsi="Times New Roman"/>
          <w:noProof/>
          <w:szCs w:val="24"/>
        </w:rPr>
        <w:t xml:space="preserve"> </w:t>
      </w:r>
      <w:r w:rsidR="004D04CB">
        <w:rPr>
          <w:rFonts w:ascii="Times New Roman" w:hAnsi="Times New Roman"/>
          <w:noProof/>
          <w:szCs w:val="24"/>
        </w:rPr>
        <w:fldChar w:fldCharType="begin"/>
      </w:r>
      <w:r w:rsidR="004D04CB">
        <w:rPr>
          <w:rFonts w:ascii="Times New Roman" w:hAnsi="Times New Roman"/>
          <w:noProof/>
          <w:szCs w:val="24"/>
        </w:rPr>
        <w:instrText xml:space="preserve"> ADDIN EN.CITE &lt;EndNote&gt;&lt;Cite&gt;&lt;Author&gt;Uhen&lt;/Author&gt;&lt;Year&gt;1996&lt;/Year&gt;&lt;RecNum&gt;33&lt;/RecNum&gt;&lt;DisplayText&gt;Uhen 1996&lt;/DisplayText&gt;&lt;record&gt;&lt;rec-number&gt;33&lt;/rec-number&gt;&lt;foreign-keys&gt;&lt;key app="EN" db-id="r2savzrxwddstne9dvmp0wderfxdtarefrzr" timestamp="1493841983"&gt;33&lt;/key&gt;&lt;/foreign-keys&gt;&lt;ref-type name="Journal Article"&gt;17&lt;/ref-type&gt;&lt;contributors&gt;&lt;authors&gt;&lt;author&gt;Mark D. Uhen&lt;/author&gt;&lt;/authors&gt;&lt;/contributors&gt;&lt;titles&gt;&lt;title&gt;An evaluation of clade-shape statistics using simulations and extinct families of mammals&lt;/title&gt;&lt;secondary-title&gt;Paleobiology&lt;/secondary-title&gt;&lt;/titles&gt;&lt;periodical&gt;&lt;full-title&gt;Paleobiology&lt;/full-title&gt;&lt;/periodical&gt;&lt;pages&gt;8 - 22&lt;/pages&gt;&lt;volume&gt;22&lt;/volume&gt;&lt;number&gt;1&lt;/number&gt;&lt;section&gt;8&lt;/section&gt;&lt;keywords&gt;&lt;keyword&gt;Clade Shape&lt;/keyword&gt;&lt;keyword&gt;Diversity Patterns&lt;/keyword&gt;&lt;keyword&gt;Paraphyla&lt;/keyword&gt;&lt;keyword&gt;Monophyla&lt;/keyword&gt;&lt;keyword&gt;Mammals&lt;/keyword&gt;&lt;keyword&gt;Simulations&lt;/keyword&gt;&lt;/keywords&gt;&lt;dates&gt;&lt;year&gt;1996&lt;/year&gt;&lt;pub-dates&gt;&lt;date&gt;&lt;style face="normal" font="default" size="100%"&gt;1996&lt;/style&gt;&lt;style face="normal" font="default" size="12"&gt;/&lt;/style&gt;&lt;style face="normal" font="default" size="100%"&gt;02&lt;/style&gt;&lt;/date&gt;&lt;/pub-dates&gt;&lt;/dates&gt;&lt;label&gt;2015&lt;/label&gt;&lt;urls&gt;&lt;/urls&gt;&lt;electronic-resource-num&gt;10.1666/0094-8373-22.1.8&lt;/electronic-resource-num&gt;&lt;/record&gt;&lt;/Cite&gt;&lt;/EndNote&gt;</w:instrText>
      </w:r>
      <w:r w:rsidR="004D04CB">
        <w:rPr>
          <w:rFonts w:ascii="Times New Roman" w:hAnsi="Times New Roman"/>
          <w:noProof/>
          <w:szCs w:val="24"/>
        </w:rPr>
        <w:fldChar w:fldCharType="separate"/>
      </w:r>
      <w:r w:rsidR="004D04CB">
        <w:rPr>
          <w:rFonts w:ascii="Times New Roman" w:hAnsi="Times New Roman"/>
          <w:noProof/>
          <w:szCs w:val="24"/>
        </w:rPr>
        <w:t>Uhen 1996</w:t>
      </w:r>
      <w:r w:rsidR="004D04CB">
        <w:rPr>
          <w:rFonts w:ascii="Times New Roman" w:hAnsi="Times New Roman"/>
          <w:noProof/>
          <w:szCs w:val="24"/>
        </w:rPr>
        <w:fldChar w:fldCharType="end"/>
      </w:r>
      <w:r w:rsidR="004D04CB">
        <w:rPr>
          <w:rFonts w:ascii="Times New Roman" w:hAnsi="Times New Roman"/>
          <w:noProof/>
          <w:szCs w:val="24"/>
        </w:rPr>
        <w:t>;</w:t>
      </w:r>
      <w:r w:rsidRPr="00C7158D">
        <w:rPr>
          <w:rFonts w:ascii="Times New Roman" w:hAnsi="Times New Roman"/>
          <w:noProof/>
          <w:szCs w:val="24"/>
        </w:rPr>
        <w:t xml:space="preserve"> </w:t>
      </w:r>
      <w:r w:rsidR="009A5AA1">
        <w:rPr>
          <w:rFonts w:ascii="Times New Roman" w:hAnsi="Times New Roman"/>
          <w:noProof/>
          <w:szCs w:val="24"/>
        </w:rPr>
        <w:fldChar w:fldCharType="begin"/>
      </w:r>
      <w:r w:rsidR="009A5AA1">
        <w:rPr>
          <w:rFonts w:ascii="Times New Roman" w:hAnsi="Times New Roman"/>
          <w:noProof/>
          <w:szCs w:val="24"/>
        </w:rPr>
        <w:instrText xml:space="preserve"> ADDIN EN.CITE &lt;EndNote&gt;&lt;Cite&gt;&lt;Author&gt;Wagner&lt;/Author&gt;&lt;Year&gt;2014&lt;/Year&gt;&lt;RecNum&gt;41&lt;/RecNum&gt;&lt;DisplayText&gt;Wagner and Estabrook 2014&lt;/DisplayText&gt;&lt;record&gt;&lt;rec-number&gt;41&lt;/rec-number&gt;&lt;foreign-keys&gt;&lt;key app="EN" db-id="r2savzrxwddstne9dvmp0wderfxdtarefrzr" timestamp="1495045910"&gt;41&lt;/key&gt;&lt;/foreign-keys&gt;&lt;ref-type name="Journal Article"&gt;17&lt;/ref-type&gt;&lt;contributors&gt;&lt;authors&gt;&lt;author&gt;Peter J. Wagner&lt;/author&gt;&lt;author&gt;George F. Estabrook&lt;/author&gt;&lt;/authors&gt;&lt;/contributors&gt;&lt;titles&gt;&lt;title&gt;Trait-based diversification shifts reflect differential extinction among fossil taxa&lt;/title&gt;&lt;secondary-title&gt;Proceedings of the National Academy of Sciences&lt;/secondary-title&gt;&lt;/titles&gt;&lt;periodical&gt;&lt;full-title&gt;Proceedings of the National Academy of Sciences&lt;/full-title&gt;&lt;/periodical&gt;&lt;pages&gt;16419-16424&lt;/pages&gt;&lt;volume&gt;111&lt;/volume&gt;&lt;number&gt;46&lt;/number&gt;&lt;edition&gt;2014/10/20&lt;/edition&gt;&lt;section&gt;16419&lt;/section&gt;&lt;dates&gt;&lt;year&gt;2014&lt;/year&gt;&lt;pub-dates&gt;&lt;date&gt;2014/11/18&lt;/date&gt;&lt;/pub-dates&gt;&lt;/dates&gt;&lt;urls&gt;&lt;related-urls&gt;&lt;url&gt;http://www.pnas.org/content/early/2014/10/17/1406304111.abstract &lt;/url&gt;&lt;/related-urls&gt;&lt;/urls&gt;&lt;electronic-resource-num&gt;10.1073/pnas.1406304111&lt;/electronic-resource-num&gt;&lt;/record&gt;&lt;/Cite&gt;&lt;/EndNote&gt;</w:instrText>
      </w:r>
      <w:r w:rsidR="009A5AA1">
        <w:rPr>
          <w:rFonts w:ascii="Times New Roman" w:hAnsi="Times New Roman"/>
          <w:noProof/>
          <w:szCs w:val="24"/>
        </w:rPr>
        <w:fldChar w:fldCharType="separate"/>
      </w:r>
      <w:r w:rsidR="009A5AA1">
        <w:rPr>
          <w:rFonts w:ascii="Times New Roman" w:hAnsi="Times New Roman"/>
          <w:noProof/>
          <w:szCs w:val="24"/>
        </w:rPr>
        <w:t>Wagner and Estabrook 2014</w:t>
      </w:r>
      <w:r w:rsidR="009A5AA1">
        <w:rPr>
          <w:rFonts w:ascii="Times New Roman" w:hAnsi="Times New Roman"/>
          <w:noProof/>
          <w:szCs w:val="24"/>
        </w:rPr>
        <w:fldChar w:fldCharType="end"/>
      </w:r>
      <w:r w:rsidRPr="00C7158D">
        <w:rPr>
          <w:rFonts w:ascii="Times New Roman" w:hAnsi="Times New Roman"/>
          <w:szCs w:val="24"/>
        </w:rPr>
        <w:t>).</w:t>
      </w:r>
      <w:r>
        <w:rPr>
          <w:rFonts w:ascii="Times New Roman" w:hAnsi="Times New Roman"/>
          <w:szCs w:val="24"/>
        </w:rPr>
        <w:t xml:space="preserve"> Consider a genus that originates with a single species with character states 0000 that </w:t>
      </w:r>
      <w:r w:rsidR="008571A8">
        <w:rPr>
          <w:rFonts w:ascii="Times New Roman" w:hAnsi="Times New Roman"/>
          <w:szCs w:val="24"/>
        </w:rPr>
        <w:t xml:space="preserve">are </w:t>
      </w:r>
      <w:r>
        <w:rPr>
          <w:rFonts w:ascii="Times New Roman" w:hAnsi="Times New Roman"/>
          <w:szCs w:val="24"/>
        </w:rPr>
        <w:t xml:space="preserve">used to </w:t>
      </w:r>
      <w:r w:rsidR="00F47C1B">
        <w:rPr>
          <w:rFonts w:ascii="Times New Roman" w:hAnsi="Times New Roman"/>
          <w:szCs w:val="24"/>
        </w:rPr>
        <w:t>diagnose</w:t>
      </w:r>
      <w:r w:rsidR="000551C2">
        <w:rPr>
          <w:rFonts w:ascii="Times New Roman" w:hAnsi="Times New Roman"/>
          <w:szCs w:val="24"/>
        </w:rPr>
        <w:t xml:space="preserve"> and define</w:t>
      </w:r>
      <w:r w:rsidR="00F47C1B">
        <w:rPr>
          <w:rFonts w:ascii="Times New Roman" w:hAnsi="Times New Roman"/>
          <w:szCs w:val="24"/>
        </w:rPr>
        <w:t xml:space="preserve"> </w:t>
      </w:r>
      <w:r>
        <w:rPr>
          <w:rFonts w:ascii="Times New Roman" w:hAnsi="Times New Roman"/>
          <w:szCs w:val="24"/>
        </w:rPr>
        <w:t xml:space="preserve">the genus. </w:t>
      </w:r>
      <w:r w:rsidR="0086706C">
        <w:rPr>
          <w:rFonts w:ascii="Times New Roman" w:hAnsi="Times New Roman"/>
          <w:szCs w:val="24"/>
        </w:rPr>
        <w:t xml:space="preserve">Because of phylogenetic autocorrelation, most daughter </w:t>
      </w:r>
      <w:r>
        <w:rPr>
          <w:rFonts w:ascii="Times New Roman" w:hAnsi="Times New Roman"/>
          <w:szCs w:val="24"/>
        </w:rPr>
        <w:t xml:space="preserve">species also </w:t>
      </w:r>
      <w:r w:rsidR="0086706C">
        <w:rPr>
          <w:rFonts w:ascii="Times New Roman" w:hAnsi="Times New Roman"/>
          <w:szCs w:val="24"/>
        </w:rPr>
        <w:t xml:space="preserve">will </w:t>
      </w:r>
      <w:r>
        <w:rPr>
          <w:rFonts w:ascii="Times New Roman" w:hAnsi="Times New Roman"/>
          <w:szCs w:val="24"/>
        </w:rPr>
        <w:t xml:space="preserve">share these character states. </w:t>
      </w:r>
      <w:r w:rsidR="00BE73C8">
        <w:rPr>
          <w:rFonts w:ascii="Times New Roman" w:hAnsi="Times New Roman"/>
          <w:szCs w:val="24"/>
        </w:rPr>
        <w:t xml:space="preserve">However, at </w:t>
      </w:r>
      <w:r>
        <w:rPr>
          <w:rFonts w:ascii="Times New Roman" w:hAnsi="Times New Roman"/>
          <w:szCs w:val="24"/>
        </w:rPr>
        <w:t>some point, a daughter species appears with character states 1000, which as a result will be placed in a new genus</w:t>
      </w:r>
      <w:r w:rsidR="00540C3E">
        <w:rPr>
          <w:rFonts w:ascii="Times New Roman" w:hAnsi="Times New Roman"/>
          <w:szCs w:val="24"/>
        </w:rPr>
        <w:t xml:space="preserve"> (</w:t>
      </w:r>
      <w:r w:rsidR="00540C3E">
        <w:rPr>
          <w:rFonts w:ascii="Times New Roman" w:hAnsi="Times New Roman"/>
          <w:szCs w:val="24"/>
        </w:rPr>
        <w:fldChar w:fldCharType="begin"/>
      </w:r>
      <w:r w:rsidR="00540C3E">
        <w:rPr>
          <w:rFonts w:ascii="Times New Roman" w:hAnsi="Times New Roman"/>
          <w:szCs w:val="24"/>
        </w:rPr>
        <w:instrText xml:space="preserve"> ADDIN EN.CITE &lt;EndNote&gt;&lt;Cite&gt;&lt;Author&gt;Patzkowsky&lt;/Author&gt;&lt;Year&gt;1995&lt;/Year&gt;&lt;RecNum&gt;96&lt;/RecNum&gt;&lt;IDText&gt;1813&lt;/IDText&gt;&lt;DisplayText&gt;Patzkowsky 1995&lt;/DisplayText&gt;&lt;record&gt;&lt;rec-number&gt;96&lt;/rec-number&gt;&lt;foreign-keys&gt;&lt;key app="EN" db-id="r2savzrxwddstne9dvmp0wderfxdtarefrzr" timestamp="1516998073"&gt;96&lt;/key&gt;&lt;/foreign-keys&gt;&lt;ref-type name="Journal Article"&gt;17&lt;/ref-type&gt;&lt;contributors&gt;&lt;authors&gt;&lt;author&gt;Patzkowsky, Mark E.&lt;/author&gt;&lt;/authors&gt;&lt;/contributors&gt;&lt;titles&gt;&lt;title&gt;A hierarchical branching model of evolutionary radiations&lt;/title&gt;&lt;secondary-title&gt;Paleobiology&lt;/secondary-title&gt;&lt;/titles&gt;&lt;periodical&gt;&lt;full-title&gt;Paleobiology&lt;/full-title&gt;&lt;/periodical&gt;&lt;pages&gt;440 - 460&lt;/pages&gt;&lt;volume&gt;21&lt;/volume&gt;&lt;number&gt;4&lt;/number&gt;&lt;section&gt;440&lt;/section&gt;&lt;keywords&gt;&lt;keyword&gt;Simulations&lt;/keyword&gt;&lt;keyword&gt;Diversification&lt;/keyword&gt;&lt;keyword&gt;Clades&lt;/keyword&gt;&lt;keyword&gt;Lineages&lt;/keyword&gt;&lt;/keywords&gt;&lt;dates&gt;&lt;year&gt;1995&lt;/year&gt;&lt;/dates&gt;&lt;label&gt;1813&lt;/label&gt;&lt;urls&gt;&lt;/urls&gt;&lt;electronic-resource-num&gt;10.1017/S0094837300013476&lt;/electronic-resource-num&gt;&lt;/record&gt;&lt;/Cite&gt;&lt;/EndNote&gt;</w:instrText>
      </w:r>
      <w:r w:rsidR="00540C3E">
        <w:rPr>
          <w:rFonts w:ascii="Times New Roman" w:hAnsi="Times New Roman"/>
          <w:szCs w:val="24"/>
        </w:rPr>
        <w:fldChar w:fldCharType="separate"/>
      </w:r>
      <w:r w:rsidR="00540C3E">
        <w:rPr>
          <w:rFonts w:ascii="Times New Roman" w:hAnsi="Times New Roman"/>
          <w:noProof/>
          <w:szCs w:val="24"/>
        </w:rPr>
        <w:t>Patzkowsky 1995</w:t>
      </w:r>
      <w:r w:rsidR="00540C3E">
        <w:rPr>
          <w:rFonts w:ascii="Times New Roman" w:hAnsi="Times New Roman"/>
          <w:szCs w:val="24"/>
        </w:rPr>
        <w:fldChar w:fldCharType="end"/>
      </w:r>
      <w:r w:rsidR="00540C3E">
        <w:rPr>
          <w:rFonts w:ascii="Times New Roman" w:hAnsi="Times New Roman"/>
          <w:szCs w:val="24"/>
        </w:rPr>
        <w:t>)</w:t>
      </w:r>
      <w:r>
        <w:rPr>
          <w:rFonts w:ascii="Times New Roman" w:hAnsi="Times New Roman"/>
          <w:szCs w:val="24"/>
        </w:rPr>
        <w:t xml:space="preserve">. At the time the new genus evolves: </w:t>
      </w:r>
      <w:r w:rsidRPr="00C7158D">
        <w:rPr>
          <w:rFonts w:ascii="Times New Roman" w:hAnsi="Times New Roman"/>
          <w:szCs w:val="24"/>
        </w:rPr>
        <w:t xml:space="preserve">1) there usually will have been multiple </w:t>
      </w:r>
      <w:r>
        <w:rPr>
          <w:rFonts w:ascii="Times New Roman" w:hAnsi="Times New Roman"/>
          <w:szCs w:val="24"/>
        </w:rPr>
        <w:t xml:space="preserve">earlier </w:t>
      </w:r>
      <w:r w:rsidRPr="00C7158D">
        <w:rPr>
          <w:rFonts w:ascii="Times New Roman" w:hAnsi="Times New Roman"/>
          <w:szCs w:val="24"/>
        </w:rPr>
        <w:t xml:space="preserve">species with the original 0000 combination; and, 2) there usually will be several </w:t>
      </w:r>
      <w:r>
        <w:rPr>
          <w:rFonts w:ascii="Times New Roman" w:hAnsi="Times New Roman"/>
          <w:szCs w:val="24"/>
        </w:rPr>
        <w:t xml:space="preserve">coexisting </w:t>
      </w:r>
      <w:r w:rsidRPr="00C7158D">
        <w:rPr>
          <w:rFonts w:ascii="Times New Roman" w:hAnsi="Times New Roman"/>
          <w:szCs w:val="24"/>
        </w:rPr>
        <w:t>species with combination 0000</w:t>
      </w:r>
      <w:r>
        <w:rPr>
          <w:rFonts w:ascii="Times New Roman" w:hAnsi="Times New Roman"/>
          <w:szCs w:val="24"/>
        </w:rPr>
        <w:t xml:space="preserve"> compared to only one with 1000. </w:t>
      </w:r>
      <w:r w:rsidR="00A97A42">
        <w:rPr>
          <w:rFonts w:ascii="Times New Roman" w:hAnsi="Times New Roman"/>
          <w:szCs w:val="24"/>
        </w:rPr>
        <w:t xml:space="preserve">Unless species with 1000 actively supplant those with 0000, </w:t>
      </w:r>
      <w:r w:rsidRPr="00C7158D">
        <w:rPr>
          <w:rFonts w:ascii="Times New Roman" w:hAnsi="Times New Roman"/>
          <w:szCs w:val="24"/>
        </w:rPr>
        <w:t xml:space="preserve">subsequent </w:t>
      </w:r>
      <w:r w:rsidR="00706C9F">
        <w:rPr>
          <w:rFonts w:ascii="Times New Roman" w:hAnsi="Times New Roman"/>
          <w:szCs w:val="24"/>
        </w:rPr>
        <w:t>descendants of the original species</w:t>
      </w:r>
      <w:r w:rsidR="00706C9F" w:rsidRPr="00C7158D">
        <w:rPr>
          <w:rFonts w:ascii="Times New Roman" w:hAnsi="Times New Roman"/>
          <w:szCs w:val="24"/>
        </w:rPr>
        <w:t xml:space="preserve"> </w:t>
      </w:r>
      <w:r w:rsidR="00706C9F">
        <w:rPr>
          <w:rFonts w:ascii="Times New Roman" w:hAnsi="Times New Roman"/>
          <w:szCs w:val="24"/>
        </w:rPr>
        <w:t>probably will evolve from a 0000 species</w:t>
      </w:r>
      <w:r w:rsidR="00955807">
        <w:rPr>
          <w:rFonts w:ascii="Times New Roman" w:hAnsi="Times New Roman"/>
          <w:szCs w:val="24"/>
        </w:rPr>
        <w:t xml:space="preserve"> </w:t>
      </w:r>
      <w:r w:rsidR="00A97A42">
        <w:rPr>
          <w:rFonts w:ascii="Times New Roman" w:hAnsi="Times New Roman"/>
          <w:szCs w:val="24"/>
        </w:rPr>
        <w:t xml:space="preserve">rather </w:t>
      </w:r>
      <w:r w:rsidR="00955807">
        <w:rPr>
          <w:rFonts w:ascii="Times New Roman" w:hAnsi="Times New Roman"/>
          <w:szCs w:val="24"/>
        </w:rPr>
        <w:t>than from the 1000 species (or its possible descendants)</w:t>
      </w:r>
      <w:r w:rsidR="00A97A42">
        <w:rPr>
          <w:rFonts w:ascii="Times New Roman" w:hAnsi="Times New Roman"/>
          <w:szCs w:val="24"/>
        </w:rPr>
        <w:t>.</w:t>
      </w:r>
      <w:r w:rsidR="00706C9F">
        <w:rPr>
          <w:rFonts w:ascii="Times New Roman" w:hAnsi="Times New Roman"/>
          <w:szCs w:val="24"/>
        </w:rPr>
        <w:t xml:space="preserve"> </w:t>
      </w:r>
      <w:r w:rsidR="00A97A42">
        <w:rPr>
          <w:rFonts w:ascii="Times New Roman" w:hAnsi="Times New Roman"/>
          <w:szCs w:val="24"/>
        </w:rPr>
        <w:t xml:space="preserve">Thus, </w:t>
      </w:r>
      <w:r w:rsidR="00955807">
        <w:rPr>
          <w:rFonts w:ascii="Times New Roman" w:hAnsi="Times New Roman"/>
          <w:szCs w:val="24"/>
        </w:rPr>
        <w:t>new clade members</w:t>
      </w:r>
      <w:r w:rsidR="00706C9F">
        <w:rPr>
          <w:rFonts w:ascii="Times New Roman" w:hAnsi="Times New Roman"/>
          <w:szCs w:val="24"/>
        </w:rPr>
        <w:t xml:space="preserve"> </w:t>
      </w:r>
      <w:r w:rsidRPr="00C7158D">
        <w:rPr>
          <w:rFonts w:ascii="Times New Roman" w:hAnsi="Times New Roman"/>
          <w:szCs w:val="24"/>
        </w:rPr>
        <w:t>will more pr</w:t>
      </w:r>
      <w:r>
        <w:rPr>
          <w:rFonts w:ascii="Times New Roman" w:hAnsi="Times New Roman"/>
          <w:szCs w:val="24"/>
        </w:rPr>
        <w:t xml:space="preserve">obably inherit </w:t>
      </w:r>
      <w:r w:rsidR="00A97A42">
        <w:rPr>
          <w:rFonts w:ascii="Times New Roman" w:hAnsi="Times New Roman"/>
          <w:szCs w:val="24"/>
        </w:rPr>
        <w:t>the traits of the paraphyletic genus (</w:t>
      </w:r>
      <w:r>
        <w:rPr>
          <w:rFonts w:ascii="Times New Roman" w:hAnsi="Times New Roman"/>
          <w:szCs w:val="24"/>
        </w:rPr>
        <w:t>0000</w:t>
      </w:r>
      <w:r w:rsidR="00A97A42">
        <w:rPr>
          <w:rFonts w:ascii="Times New Roman" w:hAnsi="Times New Roman"/>
          <w:szCs w:val="24"/>
        </w:rPr>
        <w:t>)</w:t>
      </w:r>
      <w:r>
        <w:rPr>
          <w:rFonts w:ascii="Times New Roman" w:hAnsi="Times New Roman"/>
          <w:szCs w:val="24"/>
        </w:rPr>
        <w:t xml:space="preserve"> than </w:t>
      </w:r>
      <w:r w:rsidR="00A97A42">
        <w:rPr>
          <w:rFonts w:ascii="Times New Roman" w:hAnsi="Times New Roman"/>
          <w:szCs w:val="24"/>
        </w:rPr>
        <w:t>the derived one (</w:t>
      </w:r>
      <w:r>
        <w:rPr>
          <w:rFonts w:ascii="Times New Roman" w:hAnsi="Times New Roman"/>
          <w:szCs w:val="24"/>
        </w:rPr>
        <w:t>1000</w:t>
      </w:r>
      <w:r w:rsidR="00A97A42">
        <w:rPr>
          <w:rFonts w:ascii="Times New Roman" w:hAnsi="Times New Roman"/>
          <w:szCs w:val="24"/>
        </w:rPr>
        <w:t>)</w:t>
      </w:r>
      <w:r>
        <w:rPr>
          <w:rFonts w:ascii="Times New Roman" w:hAnsi="Times New Roman"/>
          <w:szCs w:val="24"/>
        </w:rPr>
        <w:t xml:space="preserve">. The result is that the paraphyletic genus defined by 0000 </w:t>
      </w:r>
      <w:r w:rsidR="00483638">
        <w:rPr>
          <w:rFonts w:ascii="Times New Roman" w:hAnsi="Times New Roman"/>
          <w:szCs w:val="24"/>
        </w:rPr>
        <w:t xml:space="preserve">usually </w:t>
      </w:r>
      <w:r>
        <w:rPr>
          <w:rFonts w:ascii="Times New Roman" w:hAnsi="Times New Roman"/>
          <w:szCs w:val="24"/>
        </w:rPr>
        <w:t xml:space="preserve">will be more speciose, and thus </w:t>
      </w:r>
      <w:r w:rsidR="00164025">
        <w:rPr>
          <w:rFonts w:ascii="Times New Roman" w:hAnsi="Times New Roman"/>
          <w:szCs w:val="24"/>
        </w:rPr>
        <w:t xml:space="preserve">probably will </w:t>
      </w:r>
      <w:r>
        <w:rPr>
          <w:rFonts w:ascii="Times New Roman" w:hAnsi="Times New Roman"/>
          <w:szCs w:val="24"/>
        </w:rPr>
        <w:t xml:space="preserve">have more occurrences that the monophyletic genus defined by 1000. The combination of being speciose and common, and having a more </w:t>
      </w:r>
      <w:r w:rsidR="00A97A42">
        <w:rPr>
          <w:rFonts w:ascii="Times New Roman" w:hAnsi="Times New Roman"/>
          <w:szCs w:val="24"/>
        </w:rPr>
        <w:t>common general</w:t>
      </w:r>
      <w:r>
        <w:rPr>
          <w:rFonts w:ascii="Times New Roman" w:hAnsi="Times New Roman"/>
          <w:szCs w:val="24"/>
        </w:rPr>
        <w:t xml:space="preserve"> </w:t>
      </w:r>
      <w:r w:rsidR="00A97A42">
        <w:rPr>
          <w:rFonts w:ascii="Times New Roman" w:hAnsi="Times New Roman"/>
          <w:szCs w:val="24"/>
        </w:rPr>
        <w:t>morphology</w:t>
      </w:r>
      <w:r>
        <w:rPr>
          <w:rFonts w:ascii="Times New Roman" w:hAnsi="Times New Roman"/>
          <w:szCs w:val="24"/>
        </w:rPr>
        <w:t xml:space="preserve">, would make it more likely </w:t>
      </w:r>
      <w:r w:rsidRPr="00C7158D">
        <w:rPr>
          <w:rFonts w:ascii="Times New Roman" w:hAnsi="Times New Roman"/>
          <w:szCs w:val="24"/>
        </w:rPr>
        <w:t xml:space="preserve">that systematists </w:t>
      </w:r>
      <w:r>
        <w:rPr>
          <w:rFonts w:ascii="Times New Roman" w:hAnsi="Times New Roman"/>
          <w:szCs w:val="24"/>
        </w:rPr>
        <w:t>would deem 0000</w:t>
      </w:r>
      <w:r w:rsidRPr="00C7158D">
        <w:rPr>
          <w:rFonts w:ascii="Times New Roman" w:hAnsi="Times New Roman"/>
          <w:szCs w:val="24"/>
        </w:rPr>
        <w:t xml:space="preserve"> appropriate for ty</w:t>
      </w:r>
      <w:r>
        <w:rPr>
          <w:rFonts w:ascii="Times New Roman" w:hAnsi="Times New Roman"/>
          <w:szCs w:val="24"/>
        </w:rPr>
        <w:t xml:space="preserve">pifying a subfamily or family. </w:t>
      </w:r>
      <w:r w:rsidR="00A97A42">
        <w:rPr>
          <w:rFonts w:ascii="Times New Roman" w:hAnsi="Times New Roman"/>
          <w:szCs w:val="24"/>
        </w:rPr>
        <w:lastRenderedPageBreak/>
        <w:t>Indeed, it also makes it more probable that paleontologists will have sampled species with 0000 before they have sampled those with 1000</w:t>
      </w:r>
      <w:r w:rsidR="00F230EE">
        <w:rPr>
          <w:rFonts w:ascii="Times New Roman" w:hAnsi="Times New Roman"/>
          <w:szCs w:val="24"/>
        </w:rPr>
        <w:t xml:space="preserve">. </w:t>
      </w:r>
      <w:r w:rsidRPr="00C7158D">
        <w:rPr>
          <w:rFonts w:ascii="Times New Roman" w:hAnsi="Times New Roman"/>
          <w:szCs w:val="24"/>
        </w:rPr>
        <w:t>Of course, exactly why individual “</w:t>
      </w:r>
      <w:r>
        <w:rPr>
          <w:rFonts w:ascii="Times New Roman" w:hAnsi="Times New Roman"/>
          <w:szCs w:val="24"/>
        </w:rPr>
        <w:t>dominant</w:t>
      </w:r>
      <w:r w:rsidRPr="00C7158D">
        <w:rPr>
          <w:rFonts w:ascii="Times New Roman" w:hAnsi="Times New Roman"/>
          <w:szCs w:val="24"/>
        </w:rPr>
        <w:t xml:space="preserve">” genera succeeded, and the extent to which this represents macroecological success independent of macroevolutionary success requires more detailed analyses than we can offer here: but our results are entirely consistent with the expectations that broad distributions and diversification often go hand-in-hand (e.g., </w:t>
      </w:r>
      <w:r w:rsidR="009D7623">
        <w:rPr>
          <w:rFonts w:ascii="Times New Roman" w:hAnsi="Times New Roman"/>
          <w:noProof/>
          <w:szCs w:val="24"/>
        </w:rPr>
        <w:fldChar w:fldCharType="begin"/>
      </w:r>
      <w:r w:rsidR="009D7623">
        <w:rPr>
          <w:rFonts w:ascii="Times New Roman" w:hAnsi="Times New Roman"/>
          <w:noProof/>
          <w:szCs w:val="24"/>
        </w:rPr>
        <w:instrText xml:space="preserve"> ADDIN EN.CITE &lt;EndNote&gt;&lt;Cite&gt;&lt;Author&gt;Brown&lt;/Author&gt;&lt;Year&gt;1984&lt;/Year&gt;&lt;RecNum&gt;37&lt;/RecNum&gt;&lt;DisplayText&gt;Brown 1984&lt;/DisplayText&gt;&lt;record&gt;&lt;rec-number&gt;37&lt;/rec-number&gt;&lt;foreign-keys&gt;&lt;key app="EN" db-id="r2savzrxwddstne9dvmp0wderfxdtarefrzr" timestamp="1493843041"&gt;37&lt;/key&gt;&lt;/foreign-keys&gt;&lt;ref-type name="Journal Article"&gt;17&lt;/ref-type&gt;&lt;contributors&gt;&lt;authors&gt;&lt;author&gt;Brown, James H.&lt;/author&gt;&lt;/authors&gt;&lt;/contributors&gt;&lt;titles&gt;&lt;title&gt;On the relationship between abundance and distribution of species&lt;/title&gt;&lt;secondary-title&gt;The American Naturalist&lt;/secondary-title&gt;&lt;/titles&gt;&lt;periodical&gt;&lt;full-title&gt;The American Naturalist&lt;/full-title&gt;&lt;/periodical&gt;&lt;pages&gt;255-279&lt;/pages&gt;&lt;volume&gt;124&lt;/volume&gt;&lt;number&gt;2&lt;/number&gt;&lt;section&gt;255&lt;/section&gt;&lt;dates&gt;&lt;year&gt;1984&lt;/year&gt;&lt;/dates&gt;&lt;publisher&gt;The University of Chicago Press for The American Society of Naturalists&lt;/publisher&gt;&lt;isbn&gt;00030147&lt;/isbn&gt;&lt;urls&gt;&lt;related-urls&gt;&lt;url&gt;http://www.jstor.org/stable/2461494&lt;/url&gt;&lt;/related-urls&gt;&lt;/urls&gt;&lt;electronic-resource-num&gt;10.2307/2461494&lt;/electronic-resource-num&gt;&lt;/record&gt;&lt;/Cite&gt;&lt;/EndNote&gt;</w:instrText>
      </w:r>
      <w:r w:rsidR="009D7623">
        <w:rPr>
          <w:rFonts w:ascii="Times New Roman" w:hAnsi="Times New Roman"/>
          <w:noProof/>
          <w:szCs w:val="24"/>
        </w:rPr>
        <w:fldChar w:fldCharType="separate"/>
      </w:r>
      <w:r w:rsidR="009D7623">
        <w:rPr>
          <w:rFonts w:ascii="Times New Roman" w:hAnsi="Times New Roman"/>
          <w:noProof/>
          <w:szCs w:val="24"/>
        </w:rPr>
        <w:t>Brown 1984</w:t>
      </w:r>
      <w:r w:rsidR="009D7623">
        <w:rPr>
          <w:rFonts w:ascii="Times New Roman" w:hAnsi="Times New Roman"/>
          <w:noProof/>
          <w:szCs w:val="24"/>
        </w:rPr>
        <w:fldChar w:fldCharType="end"/>
      </w:r>
      <w:r w:rsidRPr="00C7158D">
        <w:rPr>
          <w:rFonts w:ascii="Times New Roman" w:hAnsi="Times New Roman"/>
          <w:szCs w:val="24"/>
        </w:rPr>
        <w:t xml:space="preserve">). </w:t>
      </w:r>
    </w:p>
    <w:p w14:paraId="2B7DCFE4" w14:textId="72863828" w:rsidR="00FF08E6" w:rsidRPr="00C7158D" w:rsidRDefault="00FF08E6" w:rsidP="008A66AD">
      <w:pPr>
        <w:spacing w:line="480" w:lineRule="auto"/>
        <w:ind w:firstLine="360"/>
        <w:rPr>
          <w:rFonts w:ascii="Times New Roman" w:hAnsi="Times New Roman"/>
          <w:szCs w:val="24"/>
        </w:rPr>
      </w:pPr>
      <w:r w:rsidRPr="00C7158D">
        <w:rPr>
          <w:rFonts w:ascii="Times New Roman" w:hAnsi="Times New Roman"/>
          <w:szCs w:val="24"/>
        </w:rPr>
        <w:t xml:space="preserve">A corollary of our argument above is that the general congruence of the patterns seen in the dominant genera with those in the much larger compilations of described fossil genera should not be surprising. </w:t>
      </w:r>
      <w:r>
        <w:rPr>
          <w:rFonts w:ascii="Times New Roman" w:hAnsi="Times New Roman"/>
          <w:szCs w:val="24"/>
        </w:rPr>
        <w:t>As discussed above, d</w:t>
      </w:r>
      <w:r w:rsidRPr="00C7158D">
        <w:rPr>
          <w:rFonts w:ascii="Times New Roman" w:hAnsi="Times New Roman"/>
          <w:szCs w:val="24"/>
        </w:rPr>
        <w:t>ominant genera, because they are both common and widespread, are highly likely to be among the earliest to be taxonomically described. Their appearance and disappearances have thus been familiar since the earliest compilations of biodiversity history (</w:t>
      </w:r>
      <w:r w:rsidR="00447D78">
        <w:rPr>
          <w:rFonts w:ascii="Times New Roman" w:hAnsi="Times New Roman"/>
          <w:noProof/>
          <w:szCs w:val="24"/>
        </w:rPr>
        <w:fldChar w:fldCharType="begin"/>
      </w:r>
      <w:r w:rsidR="00447D78">
        <w:rPr>
          <w:rFonts w:ascii="Times New Roman" w:hAnsi="Times New Roman"/>
          <w:noProof/>
          <w:szCs w:val="24"/>
        </w:rPr>
        <w:instrText xml:space="preserve"> ADDIN EN.CITE &lt;EndNote&gt;&lt;Cite&gt;&lt;Author&gt;Sepkoski&lt;/Author&gt;&lt;Year&gt;1981&lt;/Year&gt;&lt;RecNum&gt;28&lt;/RecNum&gt;&lt;DisplayText&gt;Sepkoski et al. 1981&lt;/DisplayText&gt;&lt;record&gt;&lt;rec-number&gt;28&lt;/rec-number&gt;&lt;foreign-keys&gt;&lt;key app="EN" db-id="r2savzrxwddstne9dvmp0wderfxdtarefrzr" timestamp="1493841983"&gt;28&lt;/key&gt;&lt;/foreign-keys&gt;&lt;ref-type name="Journal Article"&gt;17&lt;/ref-type&gt;&lt;contributors&gt;&lt;authors&gt;&lt;author&gt;Sepkoski, J. John, Jr.&lt;/author&gt;&lt;author&gt;Richard K. Bambach&lt;/author&gt;&lt;author&gt;David M. Raup&lt;/author&gt;&lt;author&gt;James W. Valentine&lt;/author&gt;&lt;/authors&gt;&lt;/contributors&gt;&lt;titles&gt;&lt;title&gt;Phanerozoic marine diversity and the fossil record&lt;/title&gt;&lt;secondary-title&gt;Nature&lt;/secondary-title&gt;&lt;/titles&gt;&lt;periodical&gt;&lt;full-title&gt;Nature&lt;/full-title&gt;&lt;/periodical&gt;&lt;pages&gt;435 - 437&lt;/pages&gt;&lt;volume&gt;293&lt;/volume&gt;&lt;dates&gt;&lt;year&gt;1981&lt;/year&gt;&lt;/dates&gt;&lt;label&gt;2837&lt;/label&gt;&lt;urls&gt;&lt;/urls&gt;&lt;/record&gt;&lt;/Cite&gt;&lt;/EndNote&gt;</w:instrText>
      </w:r>
      <w:r w:rsidR="00447D78">
        <w:rPr>
          <w:rFonts w:ascii="Times New Roman" w:hAnsi="Times New Roman"/>
          <w:noProof/>
          <w:szCs w:val="24"/>
        </w:rPr>
        <w:fldChar w:fldCharType="separate"/>
      </w:r>
      <w:r w:rsidR="00447D78">
        <w:rPr>
          <w:rFonts w:ascii="Times New Roman" w:hAnsi="Times New Roman"/>
          <w:noProof/>
          <w:szCs w:val="24"/>
        </w:rPr>
        <w:t>Sepkoski et al. 1981</w:t>
      </w:r>
      <w:r w:rsidR="00447D78">
        <w:rPr>
          <w:rFonts w:ascii="Times New Roman" w:hAnsi="Times New Roman"/>
          <w:noProof/>
          <w:szCs w:val="24"/>
        </w:rPr>
        <w:fldChar w:fldCharType="end"/>
      </w:r>
      <w:r w:rsidRPr="00C7158D">
        <w:rPr>
          <w:rFonts w:ascii="Times New Roman" w:hAnsi="Times New Roman"/>
          <w:szCs w:val="24"/>
        </w:rPr>
        <w:t>) and certainly long predate the iconic Sepkoski compendium of genera (</w:t>
      </w:r>
      <w:r w:rsidR="00447D78">
        <w:rPr>
          <w:rFonts w:ascii="Times New Roman" w:hAnsi="Times New Roman"/>
          <w:noProof/>
          <w:szCs w:val="24"/>
        </w:rPr>
        <w:fldChar w:fldCharType="begin"/>
      </w:r>
      <w:r w:rsidR="00447D78">
        <w:rPr>
          <w:rFonts w:ascii="Times New Roman" w:hAnsi="Times New Roman"/>
          <w:noProof/>
          <w:szCs w:val="24"/>
        </w:rPr>
        <w:instrText xml:space="preserve"> ADDIN EN.CITE &lt;EndNote&gt;&lt;Cite&gt;&lt;Author&gt;Sepkoski&lt;/Author&gt;&lt;Year&gt;2002&lt;/Year&gt;&lt;RecNum&gt;27&lt;/RecNum&gt;&lt;DisplayText&gt;Sepkoski 2002&lt;/DisplayText&gt;&lt;record&gt;&lt;rec-number&gt;27&lt;/rec-number&gt;&lt;foreign-keys&gt;&lt;key app="EN" db-id="r2savzrxwddstne9dvmp0wderfxdtarefrzr" timestamp="1493841983"&gt;27&lt;/key&gt;&lt;/foreign-keys&gt;&lt;ref-type name="Journal Article"&gt;17&lt;/ref-type&gt;&lt;contributors&gt;&lt;authors&gt;&lt;author&gt;Sepkoski, J. John, Jr.&lt;/author&gt;&lt;/authors&gt;&lt;/contributors&gt;&lt;titles&gt;&lt;title&gt;A compendium of fossil marine animal genera&lt;/title&gt;&lt;secondary-title&gt;Bulletins of American Paleontology&lt;/secondary-title&gt;&lt;/titles&gt;&lt;periodical&gt;&lt;full-title&gt;Bulletins of American Paleontology&lt;/full-title&gt;&lt;/periodical&gt;&lt;pages&gt;1 - 563&lt;/pages&gt;&lt;volume&gt;363&lt;/volume&gt;&lt;section&gt;1&lt;/section&gt;&lt;keywords&gt;&lt;keyword&gt;Richness&lt;/keyword&gt;&lt;keyword&gt;Diversity&lt;/keyword&gt;&lt;/keywords&gt;&lt;dates&gt;&lt;year&gt;2002&lt;/year&gt;&lt;pub-dates&gt;&lt;date&gt;&lt;style face="normal" font="default" size="100%"&gt;2002&lt;/style&gt;&lt;style face="normal" font="default" size="12"&gt;/&lt;/style&gt;&lt;style face="normal" font="default" size="100%"&gt;11&lt;/style&gt;&lt;/date&gt;&lt;/pub-dates&gt;&lt;/dates&gt;&lt;label&gt;4358&lt;/label&gt;&lt;urls&gt;&lt;/urls&gt;&lt;/record&gt;&lt;/Cite&gt;&lt;/EndNote&gt;</w:instrText>
      </w:r>
      <w:r w:rsidR="00447D78">
        <w:rPr>
          <w:rFonts w:ascii="Times New Roman" w:hAnsi="Times New Roman"/>
          <w:noProof/>
          <w:szCs w:val="24"/>
        </w:rPr>
        <w:fldChar w:fldCharType="separate"/>
      </w:r>
      <w:r w:rsidR="00447D78">
        <w:rPr>
          <w:rFonts w:ascii="Times New Roman" w:hAnsi="Times New Roman"/>
          <w:noProof/>
          <w:szCs w:val="24"/>
        </w:rPr>
        <w:t>Sepkoski 2002</w:t>
      </w:r>
      <w:r w:rsidR="00447D78">
        <w:rPr>
          <w:rFonts w:ascii="Times New Roman" w:hAnsi="Times New Roman"/>
          <w:noProof/>
          <w:szCs w:val="24"/>
        </w:rPr>
        <w:fldChar w:fldCharType="end"/>
      </w:r>
      <w:r w:rsidRPr="00C7158D">
        <w:rPr>
          <w:rFonts w:ascii="Times New Roman" w:hAnsi="Times New Roman"/>
          <w:szCs w:val="24"/>
        </w:rPr>
        <w:t>). In effect</w:t>
      </w:r>
      <w:r>
        <w:rPr>
          <w:rFonts w:ascii="Times New Roman" w:hAnsi="Times New Roman"/>
          <w:szCs w:val="24"/>
        </w:rPr>
        <w:t>,</w:t>
      </w:r>
      <w:r w:rsidRPr="00C7158D">
        <w:rPr>
          <w:rFonts w:ascii="Times New Roman" w:hAnsi="Times New Roman"/>
          <w:szCs w:val="24"/>
        </w:rPr>
        <w:t xml:space="preserve"> we have “rolled back” decades of taxonomic work to show, as Sepkoski et al. (</w:t>
      </w:r>
      <w:r w:rsidR="00447D78">
        <w:rPr>
          <w:rFonts w:ascii="Times New Roman" w:hAnsi="Times New Roman"/>
          <w:noProof/>
          <w:szCs w:val="24"/>
        </w:rPr>
        <w:fldChar w:fldCharType="begin"/>
      </w:r>
      <w:r w:rsidR="00447D78">
        <w:rPr>
          <w:rFonts w:ascii="Times New Roman" w:hAnsi="Times New Roman"/>
          <w:noProof/>
          <w:szCs w:val="24"/>
        </w:rPr>
        <w:instrText xml:space="preserve"> ADDIN EN.CITE &lt;EndNote&gt;&lt;Cite ExcludeAuth="1"&gt;&lt;Author&gt;Sepkoski&lt;/Author&gt;&lt;Year&gt;1981&lt;/Year&gt;&lt;RecNum&gt;28&lt;/RecNum&gt;&lt;DisplayText&gt;1981&lt;/DisplayText&gt;&lt;record&gt;&lt;rec-number&gt;28&lt;/rec-number&gt;&lt;foreign-keys&gt;&lt;key app="EN" db-id="r2savzrxwddstne9dvmp0wderfxdtarefrzr" timestamp="1493841983"&gt;28&lt;/key&gt;&lt;/foreign-keys&gt;&lt;ref-type name="Journal Article"&gt;17&lt;/ref-type&gt;&lt;contributors&gt;&lt;authors&gt;&lt;author&gt;Sepkoski, J. John, Jr.&lt;/author&gt;&lt;author&gt;Richard K. Bambach&lt;/author&gt;&lt;author&gt;David M. Raup&lt;/author&gt;&lt;author&gt;James W. Valentine&lt;/author&gt;&lt;/authors&gt;&lt;/contributors&gt;&lt;titles&gt;&lt;title&gt;Phanerozoic marine diversity and the fossil record&lt;/title&gt;&lt;secondary-title&gt;Nature&lt;/secondary-title&gt;&lt;/titles&gt;&lt;periodical&gt;&lt;full-title&gt;Nature&lt;/full-title&gt;&lt;/periodical&gt;&lt;pages&gt;435 - 437&lt;/pages&gt;&lt;volume&gt;293&lt;/volume&gt;&lt;dates&gt;&lt;year&gt;1981&lt;/year&gt;&lt;/dates&gt;&lt;label&gt;2837&lt;/label&gt;&lt;urls&gt;&lt;/urls&gt;&lt;/record&gt;&lt;/Cite&gt;&lt;/EndNote&gt;</w:instrText>
      </w:r>
      <w:r w:rsidR="00447D78">
        <w:rPr>
          <w:rFonts w:ascii="Times New Roman" w:hAnsi="Times New Roman"/>
          <w:noProof/>
          <w:szCs w:val="24"/>
        </w:rPr>
        <w:fldChar w:fldCharType="separate"/>
      </w:r>
      <w:r w:rsidR="00447D78">
        <w:rPr>
          <w:rFonts w:ascii="Times New Roman" w:hAnsi="Times New Roman"/>
          <w:noProof/>
          <w:szCs w:val="24"/>
        </w:rPr>
        <w:t>1981</w:t>
      </w:r>
      <w:r w:rsidR="00447D78">
        <w:rPr>
          <w:rFonts w:ascii="Times New Roman" w:hAnsi="Times New Roman"/>
          <w:noProof/>
          <w:szCs w:val="24"/>
        </w:rPr>
        <w:fldChar w:fldCharType="end"/>
      </w:r>
      <w:r w:rsidRPr="00C7158D">
        <w:rPr>
          <w:rFonts w:ascii="Times New Roman" w:hAnsi="Times New Roman"/>
          <w:szCs w:val="24"/>
        </w:rPr>
        <w:t xml:space="preserve">) suggested, that the basic patterns are robust. </w:t>
      </w:r>
    </w:p>
    <w:p w14:paraId="5692F9A8" w14:textId="77777777" w:rsidR="00C721D6" w:rsidRDefault="00FF08E6" w:rsidP="008A66AD">
      <w:pPr>
        <w:spacing w:line="480" w:lineRule="auto"/>
        <w:ind w:firstLine="360"/>
        <w:rPr>
          <w:rFonts w:ascii="Times New Roman" w:hAnsi="Times New Roman"/>
          <w:szCs w:val="24"/>
        </w:rPr>
      </w:pPr>
      <w:r w:rsidRPr="00C7158D">
        <w:rPr>
          <w:rFonts w:ascii="Times New Roman" w:hAnsi="Times New Roman"/>
          <w:szCs w:val="24"/>
        </w:rPr>
        <w:t xml:space="preserve">  </w:t>
      </w:r>
      <w:r>
        <w:rPr>
          <w:rFonts w:ascii="Times New Roman" w:hAnsi="Times New Roman"/>
          <w:szCs w:val="24"/>
        </w:rPr>
        <w:t>One possibility worth examining in the future is that dominant</w:t>
      </w:r>
      <w:r w:rsidRPr="00C7158D">
        <w:rPr>
          <w:rFonts w:ascii="Times New Roman" w:hAnsi="Times New Roman"/>
          <w:szCs w:val="24"/>
        </w:rPr>
        <w:t xml:space="preserve"> genera typically were descended from other </w:t>
      </w:r>
      <w:r>
        <w:rPr>
          <w:rFonts w:ascii="Times New Roman" w:hAnsi="Times New Roman"/>
          <w:szCs w:val="24"/>
        </w:rPr>
        <w:t>dominant</w:t>
      </w:r>
      <w:r w:rsidRPr="00C7158D">
        <w:rPr>
          <w:rFonts w:ascii="Times New Roman" w:hAnsi="Times New Roman"/>
          <w:szCs w:val="24"/>
        </w:rPr>
        <w:t xml:space="preserve"> genera, and thus that part of their early relative success is inheri</w:t>
      </w:r>
      <w:r>
        <w:rPr>
          <w:rFonts w:ascii="Times New Roman" w:hAnsi="Times New Roman"/>
          <w:szCs w:val="24"/>
        </w:rPr>
        <w:t xml:space="preserve">ted from successful ancestors. </w:t>
      </w:r>
      <w:r w:rsidRPr="00C7158D">
        <w:rPr>
          <w:rFonts w:ascii="Times New Roman" w:hAnsi="Times New Roman"/>
          <w:szCs w:val="24"/>
        </w:rPr>
        <w:t xml:space="preserve">There is limited evidence that occurrence rates and occupancy rates show phylogenetic autocorrelation among species within relatively small clade (e.g., </w:t>
      </w:r>
      <w:r w:rsidR="00447D78">
        <w:rPr>
          <w:rFonts w:ascii="Times New Roman" w:hAnsi="Times New Roman"/>
          <w:noProof/>
          <w:szCs w:val="24"/>
        </w:rPr>
        <w:fldChar w:fldCharType="begin"/>
      </w:r>
      <w:r w:rsidR="00447D78">
        <w:rPr>
          <w:rFonts w:ascii="Times New Roman" w:hAnsi="Times New Roman"/>
          <w:noProof/>
          <w:szCs w:val="24"/>
        </w:rPr>
        <w:instrText xml:space="preserve"> ADDIN EN.CITE &lt;EndNote&gt;&lt;Cite&gt;&lt;Author&gt;Wagner&lt;/Author&gt;&lt;Year&gt;2000&lt;/Year&gt;&lt;RecNum&gt;49&lt;/RecNum&gt;&lt;DisplayText&gt;Wagner 2000&lt;/DisplayText&gt;&lt;record&gt;&lt;rec-number&gt;49&lt;/rec-number&gt;&lt;foreign-keys&gt;&lt;key app="EN" db-id="r2savzrxwddstne9dvmp0wderfxdtarefrzr" timestamp="1497645350"&gt;49&lt;/key&gt;&lt;/foreign-keys&gt;&lt;ref-type name="Journal Article"&gt;17&lt;/ref-type&gt;&lt;contributors&gt;&lt;authors&gt;&lt;author&gt;Peter J. Wagner&lt;/author&gt;&lt;/authors&gt;&lt;/contributors&gt;&lt;titles&gt;&lt;title&gt;Likelihood tests of hypothesized durations: determining and accommodating biasing factors&lt;/title&gt;&lt;secondary-title&gt;Paleobiology&lt;/secondary-title&gt;&lt;/titles&gt;&lt;periodical&gt;&lt;full-title&gt;Paleobiology&lt;/full-title&gt;&lt;/periodical&gt;&lt;pages&gt;431 - 449&lt;/pages&gt;&lt;volume&gt;26&lt;/volume&gt;&lt;number&gt;3&lt;/number&gt;&lt;edition&gt;2000/09/01&lt;/edition&gt;&lt;section&gt;431&lt;/section&gt;&lt;dates&gt;&lt;year&gt;2000&lt;/year&gt;&lt;pub-dates&gt;&lt;date&gt;2000/09/01&lt;/date&gt;&lt;/pub-dates&gt;&lt;/dates&gt;&lt;label&gt;2482&lt;/label&gt;&lt;urls&gt;&lt;/urls&gt;&lt;electronic-resource-num&gt;10.1666/0094-8373(2000)026&amp;lt;0431:LTOHDD&amp;gt;2.0.CO;2&lt;/electronic-resource-num&gt;&lt;/record&gt;&lt;/Cite&gt;&lt;/EndNote&gt;</w:instrText>
      </w:r>
      <w:r w:rsidR="00447D78">
        <w:rPr>
          <w:rFonts w:ascii="Times New Roman" w:hAnsi="Times New Roman"/>
          <w:noProof/>
          <w:szCs w:val="24"/>
        </w:rPr>
        <w:fldChar w:fldCharType="separate"/>
      </w:r>
      <w:r w:rsidR="00447D78">
        <w:rPr>
          <w:rFonts w:ascii="Times New Roman" w:hAnsi="Times New Roman"/>
          <w:noProof/>
          <w:szCs w:val="24"/>
        </w:rPr>
        <w:t>Wagner 2000</w:t>
      </w:r>
      <w:r w:rsidR="00447D78">
        <w:rPr>
          <w:rFonts w:ascii="Times New Roman" w:hAnsi="Times New Roman"/>
          <w:noProof/>
          <w:szCs w:val="24"/>
        </w:rPr>
        <w:fldChar w:fldCharType="end"/>
      </w:r>
      <w:r w:rsidR="00447D78">
        <w:rPr>
          <w:rFonts w:ascii="Times New Roman" w:hAnsi="Times New Roman"/>
          <w:noProof/>
          <w:szCs w:val="24"/>
        </w:rPr>
        <w:t>;</w:t>
      </w:r>
      <w:r w:rsidRPr="00C7158D">
        <w:rPr>
          <w:rFonts w:ascii="Times New Roman" w:hAnsi="Times New Roman"/>
          <w:noProof/>
          <w:szCs w:val="24"/>
        </w:rPr>
        <w:t xml:space="preserve"> </w:t>
      </w:r>
      <w:r w:rsidR="00447D78">
        <w:rPr>
          <w:rFonts w:ascii="Times New Roman" w:hAnsi="Times New Roman"/>
          <w:noProof/>
          <w:szCs w:val="24"/>
        </w:rPr>
        <w:fldChar w:fldCharType="begin"/>
      </w:r>
      <w:r w:rsidR="00447D78">
        <w:rPr>
          <w:rFonts w:ascii="Times New Roman" w:hAnsi="Times New Roman"/>
          <w:noProof/>
          <w:szCs w:val="24"/>
        </w:rPr>
        <w:instrText xml:space="preserve"> ADDIN EN.CITE &lt;EndNote&gt;&lt;Cite&gt;&lt;Author&gt;Carotenuto&lt;/Author&gt;&lt;Year&gt;2010&lt;/Year&gt;&lt;RecNum&gt;48&lt;/RecNum&gt;&lt;DisplayText&gt;Carotenuto et al. 2010&lt;/DisplayText&gt;&lt;record&gt;&lt;rec-number&gt;48&lt;/rec-number&gt;&lt;foreign-keys&gt;&lt;key app="EN" db-id="r2savzrxwddstne9dvmp0wderfxdtarefrzr" timestamp="1497645334"&gt;48&lt;/key&gt;&lt;/foreign-keys&gt;&lt;ref-type name="Journal Article"&gt;17&lt;/ref-type&gt;&lt;contributors&gt;&lt;authors&gt;&lt;author&gt;Carotenuto,Francesco&lt;/author&gt;&lt;author&gt;Barbera,Carmela&lt;/author&gt;&lt;author&gt;Raia,Pasquale&lt;/author&gt;&lt;/authors&gt;&lt;/contributors&gt;&lt;titles&gt;&lt;title&gt;Occupancy, range size, and phylogeny in Eurasian Pliocene to Recent large mammals&lt;/title&gt;&lt;secondary-title&gt;Paleobiology&lt;/secondary-title&gt;&lt;/titles&gt;&lt;periodical&gt;&lt;full-title&gt;Paleobiology&lt;/full-title&gt;&lt;/periodical&gt;&lt;pages&gt;399-414&lt;/pages&gt;&lt;volume&gt;36&lt;/volume&gt;&lt;number&gt;03&lt;/number&gt;&lt;edition&gt;2010/07/15&lt;/edition&gt;&lt;section&gt;399&lt;/section&gt;&lt;dates&gt;&lt;year&gt;2010&lt;/year&gt;&lt;pub-dates&gt;&lt;date&gt;2010/07/15&lt;/date&gt;&lt;/pub-dates&gt;&lt;/dates&gt;&lt;isbn&gt;1938-5331&lt;/isbn&gt;&lt;urls&gt;&lt;related-urls&gt;&lt;url&gt;http://dx.doi.org/10.1666/09059.1&lt;/url&gt;&lt;/related-urls&gt;&lt;/urls&gt;&lt;electronic-resource-num&gt;10.1666/09059.1&lt;/electronic-resource-num&gt;&lt;access-date&gt;2010&lt;/access-date&gt;&lt;/record&gt;&lt;/Cite&gt;&lt;/EndNote&gt;</w:instrText>
      </w:r>
      <w:r w:rsidR="00447D78">
        <w:rPr>
          <w:rFonts w:ascii="Times New Roman" w:hAnsi="Times New Roman"/>
          <w:noProof/>
          <w:szCs w:val="24"/>
        </w:rPr>
        <w:fldChar w:fldCharType="separate"/>
      </w:r>
      <w:r w:rsidR="00447D78">
        <w:rPr>
          <w:rFonts w:ascii="Times New Roman" w:hAnsi="Times New Roman"/>
          <w:noProof/>
          <w:szCs w:val="24"/>
        </w:rPr>
        <w:t>Carotenuto et al. 2010</w:t>
      </w:r>
      <w:r w:rsidR="00447D78">
        <w:rPr>
          <w:rFonts w:ascii="Times New Roman" w:hAnsi="Times New Roman"/>
          <w:noProof/>
          <w:szCs w:val="24"/>
        </w:rPr>
        <w:fldChar w:fldCharType="end"/>
      </w:r>
      <w:r w:rsidRPr="00C7158D">
        <w:rPr>
          <w:rFonts w:ascii="Times New Roman" w:hAnsi="Times New Roman"/>
          <w:szCs w:val="24"/>
        </w:rPr>
        <w:t xml:space="preserve">). Our data here are consistent for this within genera: genera probably are apt to have fewer species in their first interval than in later intervals, which means that the relatively high occupancy of </w:t>
      </w:r>
      <w:r>
        <w:rPr>
          <w:rFonts w:ascii="Times New Roman" w:hAnsi="Times New Roman"/>
          <w:szCs w:val="24"/>
        </w:rPr>
        <w:t>dominant</w:t>
      </w:r>
      <w:r w:rsidRPr="00C7158D">
        <w:rPr>
          <w:rFonts w:ascii="Times New Roman" w:hAnsi="Times New Roman"/>
          <w:szCs w:val="24"/>
        </w:rPr>
        <w:t xml:space="preserve"> genera early in their histories is accomplished with few species.</w:t>
      </w:r>
      <w:r w:rsidR="00C721D6">
        <w:rPr>
          <w:rFonts w:ascii="Times New Roman" w:hAnsi="Times New Roman"/>
          <w:szCs w:val="24"/>
        </w:rPr>
        <w:t xml:space="preserve"> </w:t>
      </w:r>
    </w:p>
    <w:p w14:paraId="03DD0FC5" w14:textId="1ACCAFAB" w:rsidR="00C721D6" w:rsidRDefault="00C721D6" w:rsidP="008854BA">
      <w:pPr>
        <w:spacing w:line="480" w:lineRule="auto"/>
        <w:ind w:firstLine="360"/>
        <w:rPr>
          <w:rFonts w:ascii="Times New Roman" w:hAnsi="Times New Roman"/>
          <w:szCs w:val="24"/>
        </w:rPr>
      </w:pPr>
      <w:r>
        <w:rPr>
          <w:rFonts w:ascii="Times New Roman" w:hAnsi="Times New Roman"/>
          <w:szCs w:val="24"/>
        </w:rPr>
        <w:lastRenderedPageBreak/>
        <w:t>There is almost certainly no single reason why a taxon is common</w:t>
      </w:r>
      <w:r w:rsidR="008854BA">
        <w:rPr>
          <w:rFonts w:ascii="Times New Roman" w:hAnsi="Times New Roman"/>
          <w:szCs w:val="24"/>
        </w:rPr>
        <w:t xml:space="preserve">, either locally or globally. </w:t>
      </w:r>
      <w:r w:rsidRPr="00C721D6">
        <w:rPr>
          <w:rFonts w:ascii="Times New Roman" w:hAnsi="Times New Roman"/>
          <w:szCs w:val="24"/>
        </w:rPr>
        <w:t xml:space="preserve"> A detailed case-by-case study will need to be made at some point to investigate this issue; </w:t>
      </w:r>
      <w:r w:rsidR="008854BA">
        <w:rPr>
          <w:rFonts w:ascii="Times New Roman" w:hAnsi="Times New Roman"/>
          <w:szCs w:val="24"/>
        </w:rPr>
        <w:t>but that is</w:t>
      </w:r>
      <w:r w:rsidRPr="00C721D6">
        <w:rPr>
          <w:rFonts w:ascii="Times New Roman" w:hAnsi="Times New Roman"/>
          <w:szCs w:val="24"/>
        </w:rPr>
        <w:t xml:space="preserve"> beyond the scope of this paper.</w:t>
      </w:r>
    </w:p>
    <w:p w14:paraId="6B14D354" w14:textId="78A94551" w:rsidR="00FF08E6" w:rsidRDefault="00FF08E6" w:rsidP="008A66AD">
      <w:pPr>
        <w:spacing w:line="480" w:lineRule="auto"/>
        <w:ind w:firstLine="360"/>
        <w:rPr>
          <w:rFonts w:ascii="Times New Roman" w:hAnsi="Times New Roman"/>
          <w:szCs w:val="24"/>
        </w:rPr>
      </w:pPr>
      <w:r>
        <w:rPr>
          <w:rFonts w:ascii="Times New Roman" w:hAnsi="Times New Roman"/>
          <w:szCs w:val="24"/>
        </w:rPr>
        <w:t>Finally, we want to raise the issue of whether the patterns we have shown for dominant genera mirror more general patterns for success in other systems, including anthropogenic ones. In this we are influenced by West (</w:t>
      </w:r>
      <w:r w:rsidR="00447D78">
        <w:rPr>
          <w:rFonts w:ascii="Times New Roman" w:hAnsi="Times New Roman"/>
          <w:szCs w:val="24"/>
        </w:rPr>
        <w:fldChar w:fldCharType="begin"/>
      </w:r>
      <w:r w:rsidR="00447D78">
        <w:rPr>
          <w:rFonts w:ascii="Times New Roman" w:hAnsi="Times New Roman"/>
          <w:szCs w:val="24"/>
        </w:rPr>
        <w:instrText xml:space="preserve"> ADDIN EN.CITE &lt;EndNote&gt;&lt;Cite ExcludeAuth="1"&gt;&lt;Author&gt;West&lt;/Author&gt;&lt;Year&gt;2017&lt;/Year&gt;&lt;RecNum&gt;68&lt;/RecNum&gt;&lt;DisplayText&gt;2017&lt;/DisplayText&gt;&lt;record&gt;&lt;rec-number&gt;68&lt;/rec-number&gt;&lt;foreign-keys&gt;&lt;key app="EN" db-id="r2savzrxwddstne9dvmp0wderfxdtarefrzr" timestamp="1509136846"&gt;68&lt;/key&gt;&lt;/foreign-keys&gt;&lt;ref-type name="Book"&gt;6&lt;/ref-type&gt;&lt;contributors&gt;&lt;authors&gt;&lt;author&gt;West, G. B.&lt;/author&gt;&lt;/authors&gt;&lt;/contributors&gt;&lt;titles&gt;&lt;title&gt;Scale: the universal laws of growth, innovation, sustainability, and the pace of life in organisms, cities, economies, and companies&lt;/title&gt;&lt;/titles&gt;&lt;section&gt;483&lt;/section&gt;&lt;dates&gt;&lt;year&gt;2017&lt;/year&gt;&lt;/dates&gt;&lt;pub-location&gt;New York&lt;/pub-location&gt;&lt;publisher&gt;Penguin Press&lt;/publisher&gt;&lt;urls&gt;&lt;/urls&gt;&lt;/record&gt;&lt;/Cite&gt;&lt;/EndNote&gt;</w:instrText>
      </w:r>
      <w:r w:rsidR="00447D78">
        <w:rPr>
          <w:rFonts w:ascii="Times New Roman" w:hAnsi="Times New Roman"/>
          <w:szCs w:val="24"/>
        </w:rPr>
        <w:fldChar w:fldCharType="separate"/>
      </w:r>
      <w:r w:rsidR="00447D78">
        <w:rPr>
          <w:rFonts w:ascii="Times New Roman" w:hAnsi="Times New Roman"/>
          <w:noProof/>
          <w:szCs w:val="24"/>
        </w:rPr>
        <w:t>2017</w:t>
      </w:r>
      <w:r w:rsidR="00447D78">
        <w:rPr>
          <w:rFonts w:ascii="Times New Roman" w:hAnsi="Times New Roman"/>
          <w:szCs w:val="24"/>
        </w:rPr>
        <w:fldChar w:fldCharType="end"/>
      </w:r>
      <w:r>
        <w:rPr>
          <w:rFonts w:ascii="Times New Roman" w:hAnsi="Times New Roman"/>
          <w:szCs w:val="24"/>
        </w:rPr>
        <w:t xml:space="preserve">), who argues that the processes that govern survival of organisms, cities, and corporations may have universal mathematical properties. One property of corporate success he discusses is being listed on the Standard &amp; Poors or </w:t>
      </w:r>
      <w:r w:rsidRPr="00BB0F5D">
        <w:rPr>
          <w:rFonts w:ascii="Times New Roman" w:hAnsi="Times New Roman"/>
          <w:i/>
          <w:szCs w:val="24"/>
        </w:rPr>
        <w:t>Fortune</w:t>
      </w:r>
      <w:r>
        <w:rPr>
          <w:rFonts w:ascii="Times New Roman" w:hAnsi="Times New Roman"/>
          <w:szCs w:val="24"/>
        </w:rPr>
        <w:t xml:space="preserve"> magazine list of five hundred most successful companies. West points out that most companies have a finite lifetime on these lists; currently the average survival in about eighteen years. We have used the list of top 500 global companies published by the </w:t>
      </w:r>
      <w:r w:rsidRPr="00BD67B0">
        <w:rPr>
          <w:rFonts w:ascii="Times New Roman" w:hAnsi="Times New Roman"/>
          <w:i/>
          <w:szCs w:val="24"/>
        </w:rPr>
        <w:t>Financial Times</w:t>
      </w:r>
      <w:r>
        <w:rPr>
          <w:rFonts w:ascii="Times New Roman" w:hAnsi="Times New Roman"/>
          <w:szCs w:val="24"/>
        </w:rPr>
        <w:t xml:space="preserve">; of the top ten companies in 2002, only four were ranked that high in 2013. Other fields in which relative success is ephemeral are </w:t>
      </w:r>
      <w:r w:rsidRPr="00C7158D">
        <w:rPr>
          <w:rFonts w:ascii="Times New Roman" w:hAnsi="Times New Roman"/>
          <w:szCs w:val="24"/>
        </w:rPr>
        <w:t>“hit” songs a</w:t>
      </w:r>
      <w:r>
        <w:rPr>
          <w:rFonts w:ascii="Times New Roman" w:hAnsi="Times New Roman"/>
          <w:szCs w:val="24"/>
        </w:rPr>
        <w:t>nd albums,</w:t>
      </w:r>
      <w:r w:rsidRPr="00C7158D">
        <w:rPr>
          <w:rFonts w:ascii="Times New Roman" w:hAnsi="Times New Roman"/>
          <w:szCs w:val="24"/>
        </w:rPr>
        <w:t xml:space="preserve"> “blockbuster” movies, championship s</w:t>
      </w:r>
      <w:r>
        <w:rPr>
          <w:rFonts w:ascii="Times New Roman" w:hAnsi="Times New Roman"/>
          <w:szCs w:val="24"/>
        </w:rPr>
        <w:t>ports teams, university status</w:t>
      </w:r>
      <w:r w:rsidRPr="00C7158D">
        <w:rPr>
          <w:rFonts w:ascii="Times New Roman" w:hAnsi="Times New Roman"/>
          <w:szCs w:val="24"/>
        </w:rPr>
        <w:t>, corp</w:t>
      </w:r>
      <w:r>
        <w:rPr>
          <w:rFonts w:ascii="Times New Roman" w:hAnsi="Times New Roman"/>
          <w:szCs w:val="24"/>
        </w:rPr>
        <w:t>orate and individual net worth</w:t>
      </w:r>
      <w:r w:rsidRPr="00C7158D">
        <w:rPr>
          <w:rFonts w:ascii="Times New Roman" w:hAnsi="Times New Roman"/>
          <w:szCs w:val="24"/>
        </w:rPr>
        <w:t>, word usage and other cultural factors (</w:t>
      </w:r>
      <w:r w:rsidR="00447D78">
        <w:rPr>
          <w:rFonts w:ascii="Times New Roman" w:hAnsi="Times New Roman"/>
          <w:szCs w:val="24"/>
        </w:rPr>
        <w:fldChar w:fldCharType="begin"/>
      </w:r>
      <w:r w:rsidR="00EA54AA">
        <w:rPr>
          <w:rFonts w:ascii="Times New Roman" w:hAnsi="Times New Roman"/>
          <w:szCs w:val="24"/>
        </w:rPr>
        <w:instrText xml:space="preserve"> ADDIN EN.CITE &lt;EndNote&gt;&lt;Cite&gt;&lt;Author&gt;Michel&lt;/Author&gt;&lt;Year&gt;2011&lt;/Year&gt;&lt;RecNum&gt;17946&lt;/RecNum&gt;&lt;DisplayText&gt;Michel et al. 2011&lt;/DisplayText&gt;&lt;record&gt;&lt;rec-number&gt;17946&lt;/rec-number&gt;&lt;foreign-keys&gt;&lt;key app="EN" db-id="wz00v599a2zpv4etvzgv2e93052sszxwve5v" timestamp="1406843748"&gt;17946&lt;/key&gt;&lt;/foreign-keys&gt;&lt;ref-type name="Journal Article"&gt;17&lt;/ref-type&gt;&lt;contributors&gt;&lt;authors&gt;&lt;author&gt;Michel, Jean-Baptiste&lt;/author&gt;&lt;author&gt;Shen, Yuan Kui&lt;/author&gt;&lt;author&gt;Aiden, Aviva Presser&lt;/author&gt;&lt;author&gt;Veres, Adrian&lt;/author&gt;&lt;author&gt;Gray, Matthew K.&lt;/author&gt;&lt;author&gt;The Google Books Team&lt;/author&gt;&lt;author&gt;Pickett, Joseph P.&lt;/author&gt;&lt;author&gt;Hoiberg, Dale&lt;/author&gt;&lt;author&gt;Clancy, Dan&lt;/author&gt;&lt;author&gt;Norvig, Peter&lt;/author&gt;&lt;author&gt;Orwant, Jon&lt;/author&gt;&lt;author&gt;Pinker, Steven&lt;/author&gt;&lt;author&gt;Nowak, Martin A.&lt;/author&gt;&lt;author&gt;Aiden, Erez Lieberman&lt;/author&gt;&lt;/authors&gt;&lt;/contributors&gt;&lt;titles&gt;&lt;title&gt;Quantitative Analysis of Culture Using Millions of Digitized Books&lt;/title&gt;&lt;secondary-title&gt;Science&lt;/secondary-title&gt;&lt;/titles&gt;&lt;periodical&gt;&lt;full-title&gt;Science&lt;/full-title&gt;&lt;/periodical&gt;&lt;pages&gt;176-182&lt;/pages&gt;&lt;volume&gt;331&lt;/volume&gt;&lt;number&gt;6014&lt;/number&gt;&lt;dates&gt;&lt;year&gt;2011&lt;/year&gt;&lt;pub-dates&gt;&lt;date&gt;January 14, 2011&lt;/date&gt;&lt;/pub-dates&gt;&lt;/dates&gt;&lt;urls&gt;&lt;related-urls&gt;&lt;url&gt;http://www.sciencemag.org/content/331/6014/176.abstract&lt;/url&gt;&lt;/related-urls&gt;&lt;/urls&gt;&lt;electronic-resource-num&gt;10.1126/science.1199644&lt;/electronic-resource-num&gt;&lt;/record&gt;&lt;/Cite&gt;&lt;/EndNote&gt;</w:instrText>
      </w:r>
      <w:r w:rsidR="00447D78">
        <w:rPr>
          <w:rFonts w:ascii="Times New Roman" w:hAnsi="Times New Roman"/>
          <w:szCs w:val="24"/>
        </w:rPr>
        <w:fldChar w:fldCharType="separate"/>
      </w:r>
      <w:r w:rsidR="00447D78">
        <w:rPr>
          <w:rFonts w:ascii="Times New Roman" w:hAnsi="Times New Roman"/>
          <w:noProof/>
          <w:szCs w:val="24"/>
        </w:rPr>
        <w:t>Michel et al. 2011</w:t>
      </w:r>
      <w:r w:rsidR="00447D78">
        <w:rPr>
          <w:rFonts w:ascii="Times New Roman" w:hAnsi="Times New Roman"/>
          <w:szCs w:val="24"/>
        </w:rPr>
        <w:fldChar w:fldCharType="end"/>
      </w:r>
      <w:r w:rsidRPr="00C7158D">
        <w:rPr>
          <w:rFonts w:ascii="Times New Roman" w:hAnsi="Times New Roman"/>
          <w:szCs w:val="24"/>
        </w:rPr>
        <w:t>) and citation metrics. In some of these cases, success is ephemeral, whereas in others, high ranking persist</w:t>
      </w:r>
      <w:r>
        <w:rPr>
          <w:rFonts w:ascii="Times New Roman" w:hAnsi="Times New Roman"/>
          <w:szCs w:val="24"/>
        </w:rPr>
        <w:t>s for extended periods of time. Future research might focus on whether there are commonalities in the statistical properties and perhaps in the underlying process models that describe these patterns. For example, Bradlow and Fader (</w:t>
      </w:r>
      <w:r w:rsidR="00EF4A1F">
        <w:rPr>
          <w:rFonts w:ascii="Times New Roman" w:hAnsi="Times New Roman"/>
          <w:szCs w:val="24"/>
        </w:rPr>
        <w:fldChar w:fldCharType="begin"/>
      </w:r>
      <w:r w:rsidR="00EF4A1F">
        <w:rPr>
          <w:rFonts w:ascii="Times New Roman" w:hAnsi="Times New Roman"/>
          <w:szCs w:val="24"/>
        </w:rPr>
        <w:instrText xml:space="preserve"> ADDIN EN.CITE &lt;EndNote&gt;&lt;Cite ExcludeAuth="1"&gt;&lt;Author&gt;Bradlow&lt;/Author&gt;&lt;Year&gt;2001&lt;/Year&gt;&lt;RecNum&gt;60&lt;/RecNum&gt;&lt;DisplayText&gt;2001&lt;/DisplayText&gt;&lt;record&gt;&lt;rec-number&gt;60&lt;/rec-number&gt;&lt;foreign-keys&gt;&lt;key app="EN" db-id="r2savzrxwddstne9dvmp0wderfxdtarefrzr" timestamp="1509135302"&gt;60&lt;/key&gt;&lt;/foreign-keys&gt;&lt;ref-type name="Journal Article"&gt;17&lt;/ref-type&gt;&lt;contributors&gt;&lt;authors&gt;&lt;author&gt;Bradlow, Eric T.&lt;/author&gt;&lt;author&gt;Fader, Peter S.&lt;/author&gt;&lt;/authors&gt;&lt;/contributors&gt;&lt;titles&gt;&lt;title&gt;A Bayesian Lifetime Model for the “Hot 100” Billboard Songs&lt;/title&gt;&lt;secondary-title&gt;Journal of the American Statistical Association&lt;/secondary-title&gt;&lt;/titles&gt;&lt;periodical&gt;&lt;full-title&gt;Journal of the American Statistical Association&lt;/full-title&gt;&lt;/periodical&gt;&lt;pages&gt;368-381&lt;/pages&gt;&lt;volume&gt;96&lt;/volume&gt;&lt;number&gt;454&lt;/number&gt;&lt;section&gt;368&lt;/section&gt;&lt;dates&gt;&lt;year&gt;2001&lt;/year&gt;&lt;pub-dates&gt;&lt;date&gt;2001/06/01&lt;/date&gt;&lt;/pub-dates&gt;&lt;/dates&gt;&lt;publisher&gt;Taylor &amp;amp; Francis&lt;/publisher&gt;&lt;isbn&gt;0162-1459&lt;/isbn&gt;&lt;urls&gt;&lt;related-urls&gt;&lt;url&gt;http://dx.doi.org/10.1198/016214501753168091&lt;/url&gt;&lt;url&gt;http://www.tandfonline.com/doi/abs/10.1198/016214501753168091&lt;/url&gt;&lt;/related-urls&gt;&lt;/urls&gt;&lt;electronic-resource-num&gt;10.1198/016214501753168091&lt;/electronic-resource-num&gt;&lt;access-date&gt;2015/02/10&lt;/access-date&gt;&lt;/record&gt;&lt;/Cite&gt;&lt;/EndNote&gt;</w:instrText>
      </w:r>
      <w:r w:rsidR="00EF4A1F">
        <w:rPr>
          <w:rFonts w:ascii="Times New Roman" w:hAnsi="Times New Roman"/>
          <w:szCs w:val="24"/>
        </w:rPr>
        <w:fldChar w:fldCharType="separate"/>
      </w:r>
      <w:r w:rsidR="00EF4A1F">
        <w:rPr>
          <w:rFonts w:ascii="Times New Roman" w:hAnsi="Times New Roman"/>
          <w:noProof/>
          <w:szCs w:val="24"/>
        </w:rPr>
        <w:t>2001</w:t>
      </w:r>
      <w:r w:rsidR="00EF4A1F">
        <w:rPr>
          <w:rFonts w:ascii="Times New Roman" w:hAnsi="Times New Roman"/>
          <w:szCs w:val="24"/>
        </w:rPr>
        <w:fldChar w:fldCharType="end"/>
      </w:r>
      <w:r>
        <w:rPr>
          <w:rFonts w:ascii="Times New Roman" w:hAnsi="Times New Roman"/>
          <w:szCs w:val="24"/>
        </w:rPr>
        <w:t xml:space="preserve">) discussed the lack of research on time series models for ranked objects; using Billboard top 100 songs as an example, they suggested a Bayesian lifetime model based on the gamma distribution. Similar models might be applied to other categories of ranked objects, including dominant taxa. </w:t>
      </w:r>
    </w:p>
    <w:p w14:paraId="18FC3DB8" w14:textId="77777777" w:rsidR="00FF08E6" w:rsidRPr="007B3C31" w:rsidRDefault="00FF08E6" w:rsidP="008A66AD">
      <w:pPr>
        <w:spacing w:line="480" w:lineRule="auto"/>
        <w:ind w:firstLine="360"/>
        <w:rPr>
          <w:rFonts w:ascii="Times New Roman" w:hAnsi="Times New Roman"/>
          <w:b/>
          <w:szCs w:val="24"/>
        </w:rPr>
      </w:pPr>
    </w:p>
    <w:bookmarkEnd w:id="1"/>
    <w:p w14:paraId="1FD88D98" w14:textId="77777777" w:rsidR="00FF08E6" w:rsidRPr="007B3C31" w:rsidRDefault="00FF08E6" w:rsidP="008A66AD">
      <w:pPr>
        <w:keepNext/>
        <w:spacing w:line="480" w:lineRule="auto"/>
        <w:jc w:val="center"/>
        <w:outlineLvl w:val="0"/>
        <w:rPr>
          <w:rFonts w:ascii="Times New Roman" w:hAnsi="Times New Roman"/>
          <w:b/>
          <w:szCs w:val="24"/>
        </w:rPr>
      </w:pPr>
      <w:r w:rsidRPr="007B3C31">
        <w:rPr>
          <w:rFonts w:ascii="Times New Roman" w:hAnsi="Times New Roman"/>
          <w:b/>
          <w:szCs w:val="24"/>
        </w:rPr>
        <w:lastRenderedPageBreak/>
        <w:t>Conclusions</w:t>
      </w:r>
    </w:p>
    <w:p w14:paraId="51BCBA36" w14:textId="75F24F29" w:rsidR="00FF08E6" w:rsidRPr="00C7158D" w:rsidRDefault="00FF08E6" w:rsidP="008A66AD">
      <w:pPr>
        <w:spacing w:line="480" w:lineRule="auto"/>
        <w:ind w:firstLine="360"/>
        <w:rPr>
          <w:rFonts w:ascii="Times New Roman" w:hAnsi="Times New Roman"/>
          <w:szCs w:val="24"/>
        </w:rPr>
      </w:pPr>
      <w:bookmarkStart w:id="2" w:name="_Hlk485905114"/>
      <w:r w:rsidRPr="00C7158D">
        <w:rPr>
          <w:rFonts w:ascii="Times New Roman" w:hAnsi="Times New Roman"/>
          <w:szCs w:val="24"/>
        </w:rPr>
        <w:t xml:space="preserve">One possible measure of success in both evolution and ecology is ubiquity, that is, how widespread and common a taxon is. </w:t>
      </w:r>
      <w:bookmarkEnd w:id="2"/>
      <w:r w:rsidRPr="00C7158D">
        <w:rPr>
          <w:rFonts w:ascii="Times New Roman" w:hAnsi="Times New Roman"/>
          <w:szCs w:val="24"/>
        </w:rPr>
        <w:t xml:space="preserve">Our </w:t>
      </w:r>
      <w:r>
        <w:rPr>
          <w:rFonts w:ascii="Times New Roman" w:hAnsi="Times New Roman"/>
          <w:szCs w:val="24"/>
        </w:rPr>
        <w:t xml:space="preserve">dominant </w:t>
      </w:r>
      <w:r w:rsidRPr="00C7158D">
        <w:rPr>
          <w:rFonts w:ascii="Times New Roman" w:hAnsi="Times New Roman"/>
          <w:szCs w:val="24"/>
        </w:rPr>
        <w:t>genera here are the “greatest hits” of the fossil record. Informally, these</w:t>
      </w:r>
      <w:r>
        <w:rPr>
          <w:rFonts w:ascii="Times New Roman" w:hAnsi="Times New Roman"/>
          <w:szCs w:val="24"/>
        </w:rPr>
        <w:t xml:space="preserve"> dominant </w:t>
      </w:r>
      <w:r w:rsidRPr="00C7158D">
        <w:rPr>
          <w:rFonts w:ascii="Times New Roman" w:hAnsi="Times New Roman"/>
          <w:szCs w:val="24"/>
        </w:rPr>
        <w:t>g</w:t>
      </w:r>
      <w:bookmarkStart w:id="3" w:name="_Hlk485905270"/>
      <w:r w:rsidRPr="00C7158D">
        <w:rPr>
          <w:rFonts w:ascii="Times New Roman" w:hAnsi="Times New Roman"/>
          <w:szCs w:val="24"/>
        </w:rPr>
        <w:t xml:space="preserve">enera that will be frequently encountered during even a casual collecting trip to a unit of the right age. Examples of such genera include the Devonian trilobite </w:t>
      </w:r>
      <w:r w:rsidRPr="00C7158D">
        <w:rPr>
          <w:rFonts w:ascii="Times New Roman" w:hAnsi="Times New Roman"/>
          <w:i/>
          <w:szCs w:val="24"/>
        </w:rPr>
        <w:t>Phacops</w:t>
      </w:r>
      <w:r w:rsidRPr="00C7158D">
        <w:rPr>
          <w:rFonts w:ascii="Times New Roman" w:hAnsi="Times New Roman"/>
          <w:szCs w:val="24"/>
        </w:rPr>
        <w:t xml:space="preserve">, the Mississippian blastoid </w:t>
      </w:r>
      <w:r w:rsidRPr="00C7158D">
        <w:rPr>
          <w:rFonts w:ascii="Times New Roman" w:hAnsi="Times New Roman"/>
          <w:i/>
          <w:szCs w:val="24"/>
        </w:rPr>
        <w:t>Pentremites</w:t>
      </w:r>
      <w:r w:rsidRPr="00C7158D">
        <w:rPr>
          <w:rFonts w:ascii="Times New Roman" w:hAnsi="Times New Roman"/>
          <w:szCs w:val="24"/>
        </w:rPr>
        <w:t xml:space="preserve">, and the Cretaceous ammonite </w:t>
      </w:r>
      <w:r w:rsidRPr="00C7158D">
        <w:rPr>
          <w:rFonts w:ascii="Times New Roman" w:hAnsi="Times New Roman"/>
          <w:i/>
          <w:szCs w:val="24"/>
        </w:rPr>
        <w:t>Baculites</w:t>
      </w:r>
      <w:bookmarkEnd w:id="3"/>
      <w:r w:rsidRPr="00C7158D">
        <w:rPr>
          <w:rFonts w:ascii="Times New Roman" w:hAnsi="Times New Roman"/>
          <w:szCs w:val="24"/>
        </w:rPr>
        <w:t>. What have shown here and earlier (</w:t>
      </w:r>
      <w:r w:rsidR="00D34CE2">
        <w:rPr>
          <w:rFonts w:ascii="Times New Roman" w:hAnsi="Times New Roman"/>
          <w:szCs w:val="24"/>
        </w:rPr>
        <w:fldChar w:fldCharType="begin"/>
      </w:r>
      <w:r w:rsidR="00D34CE2">
        <w:rPr>
          <w:rFonts w:ascii="Times New Roman" w:hAnsi="Times New Roman"/>
          <w:szCs w:val="24"/>
        </w:rPr>
        <w:instrText xml:space="preserve"> ADDIN EN.CITE &lt;EndNote&gt;&lt;Cite&gt;&lt;Author&gt;Plotnick&lt;/Author&gt;&lt;Year&gt;2006&lt;/Year&gt;&lt;RecNum&gt;23&lt;/RecNum&gt;&lt;DisplayText&gt;Plotnick and Wagner 2006&lt;/DisplayText&gt;&lt;record&gt;&lt;rec-number&gt;23&lt;/rec-number&gt;&lt;foreign-keys&gt;&lt;key app="EN" db-id="r2savzrxwddstne9dvmp0wderfxdtarefrzr" timestamp="1493841983"&gt;23&lt;/key&gt;&lt;/foreign-keys&gt;&lt;ref-type name="Journal Article"&gt;17&lt;/ref-type&gt;&lt;contributors&gt;&lt;authors&gt;&lt;author&gt;Roy E. Plotnick&lt;/author&gt;&lt;author&gt;Peter J. Wagner&lt;/author&gt;&lt;/authors&gt;&lt;/contributors&gt;&lt;titles&gt;&lt;title&gt;Round up the usual suspects: common genera in the fossil record and the nature of wastebasket taxa&lt;/title&gt;&lt;secondary-title&gt;Paleobiology&lt;/secondary-title&gt;&lt;/titles&gt;&lt;periodical&gt;&lt;full-title&gt;Paleobiology&lt;/full-title&gt;&lt;/periodical&gt;&lt;pages&gt;126 - 146&lt;/pages&gt;&lt;volume&gt;32&lt;/volume&gt;&lt;number&gt;1&lt;/number&gt;&lt;edition&gt;2006/01/01&lt;/edition&gt;&lt;section&gt;126&lt;/section&gt;&lt;dates&gt;&lt;year&gt;2006&lt;/year&gt;&lt;pub-dates&gt;&lt;date&gt;2006/01/01&lt;/date&gt;&lt;/pub-dates&gt;&lt;/dates&gt;&lt;urls&gt;&lt;/urls&gt;&lt;electronic-resource-num&gt;10.1666/04056.1&lt;/electronic-resource-num&gt;&lt;/record&gt;&lt;/Cite&gt;&lt;/EndNote&gt;</w:instrText>
      </w:r>
      <w:r w:rsidR="00D34CE2">
        <w:rPr>
          <w:rFonts w:ascii="Times New Roman" w:hAnsi="Times New Roman"/>
          <w:szCs w:val="24"/>
        </w:rPr>
        <w:fldChar w:fldCharType="separate"/>
      </w:r>
      <w:r w:rsidR="00D34CE2">
        <w:rPr>
          <w:rFonts w:ascii="Times New Roman" w:hAnsi="Times New Roman"/>
          <w:noProof/>
          <w:szCs w:val="24"/>
        </w:rPr>
        <w:t>Plotnick and Wagner 2006</w:t>
      </w:r>
      <w:r w:rsidR="00D34CE2">
        <w:rPr>
          <w:rFonts w:ascii="Times New Roman" w:hAnsi="Times New Roman"/>
          <w:szCs w:val="24"/>
        </w:rPr>
        <w:fldChar w:fldCharType="end"/>
      </w:r>
      <w:r w:rsidRPr="00C7158D">
        <w:rPr>
          <w:rFonts w:ascii="Times New Roman" w:hAnsi="Times New Roman"/>
          <w:szCs w:val="24"/>
        </w:rPr>
        <w:t xml:space="preserve">) is that </w:t>
      </w:r>
      <w:r>
        <w:rPr>
          <w:rFonts w:ascii="Times New Roman" w:hAnsi="Times New Roman"/>
          <w:szCs w:val="24"/>
        </w:rPr>
        <w:t xml:space="preserve">dominant </w:t>
      </w:r>
      <w:r w:rsidRPr="00C7158D">
        <w:rPr>
          <w:rFonts w:ascii="Times New Roman" w:hAnsi="Times New Roman"/>
          <w:szCs w:val="24"/>
        </w:rPr>
        <w:t xml:space="preserve">taxa make up a disproportionate share of the total fossil occurrences. In addition, the temporal behavior of this small fraction of the total biodiversity mirrors the overall patterns shown by the far larger number of total taxa. This has direct implications for interpretations of mechanisms </w:t>
      </w:r>
      <w:r w:rsidR="007C2058">
        <w:rPr>
          <w:rFonts w:ascii="Times New Roman" w:hAnsi="Times New Roman"/>
          <w:szCs w:val="24"/>
        </w:rPr>
        <w:t xml:space="preserve">that control these fluctuations: extinctions must be capable of removing common </w:t>
      </w:r>
      <w:r w:rsidR="002D2F54">
        <w:rPr>
          <w:rFonts w:ascii="Times New Roman" w:hAnsi="Times New Roman"/>
          <w:szCs w:val="24"/>
        </w:rPr>
        <w:t>and widespread ecological generalists</w:t>
      </w:r>
      <w:r w:rsidR="007C2058">
        <w:rPr>
          <w:rFonts w:ascii="Times New Roman" w:hAnsi="Times New Roman"/>
          <w:szCs w:val="24"/>
        </w:rPr>
        <w:t xml:space="preserve">; evolutionary radiations should produce </w:t>
      </w:r>
      <w:r w:rsidR="002D2F54">
        <w:rPr>
          <w:rFonts w:ascii="Times New Roman" w:hAnsi="Times New Roman"/>
          <w:szCs w:val="24"/>
        </w:rPr>
        <w:t xml:space="preserve">dominant taxa as well as increase diversity. </w:t>
      </w:r>
    </w:p>
    <w:p w14:paraId="50409A15" w14:textId="77777777" w:rsidR="00FF08E6" w:rsidRPr="00C7158D" w:rsidRDefault="00FF08E6" w:rsidP="008A66AD">
      <w:pPr>
        <w:spacing w:line="480" w:lineRule="auto"/>
        <w:ind w:firstLine="360"/>
        <w:rPr>
          <w:rFonts w:ascii="Times New Roman" w:hAnsi="Times New Roman"/>
          <w:szCs w:val="24"/>
        </w:rPr>
      </w:pPr>
      <w:r w:rsidRPr="00C7158D">
        <w:rPr>
          <w:rFonts w:ascii="Times New Roman" w:hAnsi="Times New Roman"/>
          <w:szCs w:val="24"/>
        </w:rPr>
        <w:t>We have also shown that, among Phanerozoic marine invertebrates, the d</w:t>
      </w:r>
      <w:bookmarkStart w:id="4" w:name="_Hlk485906082"/>
      <w:r w:rsidRPr="00C7158D">
        <w:rPr>
          <w:rFonts w:ascii="Times New Roman" w:hAnsi="Times New Roman"/>
          <w:szCs w:val="24"/>
        </w:rPr>
        <w:t xml:space="preserve">ifferences in turnover among </w:t>
      </w:r>
      <w:r>
        <w:rPr>
          <w:rFonts w:ascii="Times New Roman" w:hAnsi="Times New Roman"/>
          <w:szCs w:val="24"/>
        </w:rPr>
        <w:t xml:space="preserve">dominant </w:t>
      </w:r>
      <w:r w:rsidRPr="00C7158D">
        <w:rPr>
          <w:rFonts w:ascii="Times New Roman" w:hAnsi="Times New Roman"/>
          <w:szCs w:val="24"/>
        </w:rPr>
        <w:t>gastropods, bivalves, trilobites, etc., reflect the general differences in turnover among those different taxa.</w:t>
      </w:r>
      <w:bookmarkEnd w:id="4"/>
      <w:r>
        <w:rPr>
          <w:rFonts w:ascii="Times New Roman" w:hAnsi="Times New Roman"/>
          <w:szCs w:val="24"/>
        </w:rPr>
        <w:t xml:space="preserve"> </w:t>
      </w:r>
      <w:r w:rsidRPr="00C7158D">
        <w:rPr>
          <w:rFonts w:ascii="Times New Roman" w:hAnsi="Times New Roman"/>
          <w:szCs w:val="24"/>
        </w:rPr>
        <w:t xml:space="preserve">Moreover, the general histories of </w:t>
      </w:r>
      <w:r>
        <w:rPr>
          <w:rFonts w:ascii="Times New Roman" w:hAnsi="Times New Roman"/>
          <w:szCs w:val="24"/>
        </w:rPr>
        <w:t>dominant</w:t>
      </w:r>
      <w:r w:rsidRPr="00C7158D">
        <w:rPr>
          <w:rFonts w:ascii="Times New Roman" w:hAnsi="Times New Roman"/>
          <w:szCs w:val="24"/>
        </w:rPr>
        <w:t xml:space="preserve"> and </w:t>
      </w:r>
      <w:r>
        <w:rPr>
          <w:rFonts w:ascii="Times New Roman" w:hAnsi="Times New Roman"/>
          <w:szCs w:val="24"/>
        </w:rPr>
        <w:t>non-dominant</w:t>
      </w:r>
      <w:r w:rsidRPr="00C7158D">
        <w:rPr>
          <w:rFonts w:ascii="Times New Roman" w:hAnsi="Times New Roman"/>
          <w:szCs w:val="24"/>
        </w:rPr>
        <w:t xml:space="preserve"> genera tend to be similar, as both typically achieve maximum levels of occupancy/occurrence in </w:t>
      </w:r>
      <w:r>
        <w:rPr>
          <w:rFonts w:ascii="Times New Roman" w:hAnsi="Times New Roman"/>
          <w:szCs w:val="24"/>
        </w:rPr>
        <w:t xml:space="preserve">the middle of their histories. </w:t>
      </w:r>
      <w:r w:rsidRPr="00C7158D">
        <w:rPr>
          <w:rFonts w:ascii="Times New Roman" w:hAnsi="Times New Roman"/>
          <w:szCs w:val="24"/>
        </w:rPr>
        <w:t>However,</w:t>
      </w:r>
      <w:r>
        <w:rPr>
          <w:rFonts w:ascii="Times New Roman" w:hAnsi="Times New Roman"/>
          <w:szCs w:val="24"/>
        </w:rPr>
        <w:t xml:space="preserve"> dominant</w:t>
      </w:r>
      <w:r w:rsidRPr="00C7158D">
        <w:rPr>
          <w:rFonts w:ascii="Times New Roman" w:hAnsi="Times New Roman"/>
          <w:szCs w:val="24"/>
        </w:rPr>
        <w:t xml:space="preserve"> genera in those groups do share featur</w:t>
      </w:r>
      <w:r>
        <w:rPr>
          <w:rFonts w:ascii="Times New Roman" w:hAnsi="Times New Roman"/>
          <w:szCs w:val="24"/>
        </w:rPr>
        <w:t xml:space="preserve">es, such as the tendency to be disproportionally important at their origin. </w:t>
      </w:r>
      <w:r w:rsidRPr="00C7158D">
        <w:rPr>
          <w:rFonts w:ascii="Times New Roman" w:hAnsi="Times New Roman"/>
          <w:szCs w:val="24"/>
        </w:rPr>
        <w:t>Thus, whether a genus achieves occupancy “greatness” is strongly affected by how it begins</w:t>
      </w:r>
      <w:r>
        <w:rPr>
          <w:rFonts w:ascii="Times New Roman" w:hAnsi="Times New Roman"/>
          <w:szCs w:val="24"/>
        </w:rPr>
        <w:t xml:space="preserve">. Dominant </w:t>
      </w:r>
      <w:r w:rsidRPr="00C7158D">
        <w:rPr>
          <w:rFonts w:ascii="Times New Roman" w:hAnsi="Times New Roman"/>
          <w:szCs w:val="24"/>
        </w:rPr>
        <w:t>genera also have a strong tendency to typify subfamilies and families, which is consistent with simple models of morphological and phylogenetic diversification coupled with a positive correlation between s</w:t>
      </w:r>
      <w:r>
        <w:rPr>
          <w:rFonts w:ascii="Times New Roman" w:hAnsi="Times New Roman"/>
          <w:szCs w:val="24"/>
        </w:rPr>
        <w:t xml:space="preserve">pecies-richness and occupancy. </w:t>
      </w:r>
    </w:p>
    <w:p w14:paraId="59640A1E" w14:textId="37B820CF" w:rsidR="00FF08E6" w:rsidRDefault="00FF08E6" w:rsidP="008A66AD">
      <w:pPr>
        <w:spacing w:line="480" w:lineRule="auto"/>
        <w:ind w:firstLine="360"/>
        <w:rPr>
          <w:rFonts w:ascii="Times New Roman" w:hAnsi="Times New Roman"/>
          <w:szCs w:val="24"/>
        </w:rPr>
      </w:pPr>
      <w:r w:rsidRPr="00C7158D">
        <w:rPr>
          <w:rFonts w:ascii="Times New Roman" w:hAnsi="Times New Roman"/>
          <w:szCs w:val="24"/>
        </w:rPr>
        <w:lastRenderedPageBreak/>
        <w:t xml:space="preserve">What we have not been able to answer is why these genera, out of the millions of others that have existed, were so successful. Did they possess shared characteristics that </w:t>
      </w:r>
      <w:r w:rsidR="0021649A">
        <w:rPr>
          <w:rFonts w:ascii="Times New Roman" w:hAnsi="Times New Roman"/>
          <w:szCs w:val="24"/>
        </w:rPr>
        <w:t xml:space="preserve">made them inevitably successful, </w:t>
      </w:r>
      <w:r w:rsidRPr="00C7158D">
        <w:rPr>
          <w:rFonts w:ascii="Times New Roman" w:hAnsi="Times New Roman"/>
          <w:szCs w:val="24"/>
        </w:rPr>
        <w:t>were they simply lucky (</w:t>
      </w:r>
      <w:r w:rsidR="00EA251E">
        <w:rPr>
          <w:rFonts w:ascii="Times New Roman" w:hAnsi="Times New Roman"/>
          <w:noProof/>
          <w:szCs w:val="24"/>
        </w:rPr>
        <w:fldChar w:fldCharType="begin"/>
      </w:r>
      <w:r w:rsidR="008A66AD">
        <w:rPr>
          <w:rFonts w:ascii="Times New Roman" w:hAnsi="Times New Roman"/>
          <w:noProof/>
          <w:szCs w:val="24"/>
        </w:rPr>
        <w:instrText xml:space="preserve"> ADDIN EN.CITE &lt;EndNote&gt;&lt;Cite&gt;&lt;Author&gt;Gould&lt;/Author&gt;&lt;Year&gt;1989&lt;/Year&gt;&lt;RecNum&gt;11&lt;/RecNum&gt;&lt;DisplayText&gt;Gould 1989&lt;/DisplayText&gt;&lt;record&gt;&lt;rec-number&gt;11&lt;/rec-number&gt;&lt;foreign-keys&gt;&lt;key app="EN" db-id="r2savzrxwddstne9dvmp0wderfxdtarefrzr" timestamp="1493841983"&gt;11&lt;/key&gt;&lt;/foreign-keys&gt;&lt;ref-type name="Book"&gt;6&lt;/ref-type&gt;&lt;contributors&gt;&lt;authors&gt;&lt;author&gt;Stephen Jay Gould&lt;/author&gt;&lt;/authors&gt;&lt;/contributors&gt;&lt;titles&gt;&lt;title&gt;Wonderful life&lt;/title&gt;&lt;/titles&gt;&lt;pages&gt;347&lt;/pages&gt;&lt;section&gt;347&lt;/section&gt;&lt;keywords&gt;&lt;keyword&gt;Burgess Shale.&lt;/keyword&gt;&lt;/keywords&gt;&lt;dates&gt;&lt;year&gt;1989&lt;/year&gt;&lt;/dates&gt;&lt;pub-location&gt;New York&lt;/pub-location&gt;&lt;publisher&gt;W.W. Norton and Co.&lt;/publisher&gt;&lt;label&gt;128&lt;/label&gt;&lt;urls&gt;&lt;/urls&gt;&lt;/record&gt;&lt;/Cite&gt;&lt;/EndNote&gt;</w:instrText>
      </w:r>
      <w:r w:rsidR="00EA251E">
        <w:rPr>
          <w:rFonts w:ascii="Times New Roman" w:hAnsi="Times New Roman"/>
          <w:noProof/>
          <w:szCs w:val="24"/>
        </w:rPr>
        <w:fldChar w:fldCharType="separate"/>
      </w:r>
      <w:r w:rsidR="00EA251E">
        <w:rPr>
          <w:rFonts w:ascii="Times New Roman" w:hAnsi="Times New Roman"/>
          <w:noProof/>
          <w:szCs w:val="24"/>
        </w:rPr>
        <w:t>Gould 1989</w:t>
      </w:r>
      <w:r w:rsidR="00EA251E">
        <w:rPr>
          <w:rFonts w:ascii="Times New Roman" w:hAnsi="Times New Roman"/>
          <w:noProof/>
          <w:szCs w:val="24"/>
        </w:rPr>
        <w:fldChar w:fldCharType="end"/>
      </w:r>
      <w:r w:rsidR="007C2058">
        <w:rPr>
          <w:rFonts w:ascii="Times New Roman" w:hAnsi="Times New Roman"/>
          <w:szCs w:val="24"/>
        </w:rPr>
        <w:t>)</w:t>
      </w:r>
      <w:r w:rsidR="0021649A">
        <w:rPr>
          <w:rFonts w:ascii="Times New Roman" w:hAnsi="Times New Roman"/>
          <w:szCs w:val="24"/>
        </w:rPr>
        <w:t>, or is their commonness an epiphenomenon of the intersection of biology and taxonomic practice</w:t>
      </w:r>
      <w:r w:rsidR="007C2058">
        <w:rPr>
          <w:rFonts w:ascii="Times New Roman" w:hAnsi="Times New Roman"/>
          <w:szCs w:val="24"/>
        </w:rPr>
        <w:t xml:space="preserve">? </w:t>
      </w:r>
      <w:r w:rsidRPr="00C7158D">
        <w:rPr>
          <w:rFonts w:ascii="Times New Roman" w:hAnsi="Times New Roman"/>
          <w:szCs w:val="24"/>
        </w:rPr>
        <w:t>Evaluating this will require further integration of macroevolutio</w:t>
      </w:r>
      <w:r w:rsidR="0021649A">
        <w:rPr>
          <w:rFonts w:ascii="Times New Roman" w:hAnsi="Times New Roman"/>
          <w:szCs w:val="24"/>
        </w:rPr>
        <w:t xml:space="preserve">nary and macroecological theory, as well as </w:t>
      </w:r>
      <w:r w:rsidR="00384D93">
        <w:rPr>
          <w:rFonts w:ascii="Times New Roman" w:hAnsi="Times New Roman"/>
          <w:szCs w:val="24"/>
        </w:rPr>
        <w:t xml:space="preserve">continued </w:t>
      </w:r>
      <w:r w:rsidR="0021649A">
        <w:rPr>
          <w:rFonts w:ascii="Times New Roman" w:hAnsi="Times New Roman"/>
          <w:szCs w:val="24"/>
        </w:rPr>
        <w:t xml:space="preserve">detailed analyses of the basic data of the paleontological record. </w:t>
      </w:r>
    </w:p>
    <w:p w14:paraId="0CC1C5CF" w14:textId="77777777" w:rsidR="00BD62FA" w:rsidRDefault="00BD62FA" w:rsidP="008A66AD">
      <w:pPr>
        <w:spacing w:line="480" w:lineRule="auto"/>
        <w:jc w:val="center"/>
        <w:outlineLvl w:val="0"/>
        <w:rPr>
          <w:rFonts w:ascii="Times New Roman" w:hAnsi="Times New Roman"/>
          <w:b/>
          <w:szCs w:val="24"/>
        </w:rPr>
      </w:pPr>
    </w:p>
    <w:p w14:paraId="00CE41D0" w14:textId="2E05DD36" w:rsidR="00FF08E6" w:rsidRPr="001756EA" w:rsidRDefault="00FF08E6" w:rsidP="00A97A42">
      <w:pPr>
        <w:keepNext/>
        <w:spacing w:line="480" w:lineRule="auto"/>
        <w:jc w:val="center"/>
        <w:outlineLvl w:val="0"/>
        <w:rPr>
          <w:rFonts w:ascii="Times New Roman" w:hAnsi="Times New Roman"/>
          <w:b/>
          <w:szCs w:val="24"/>
        </w:rPr>
      </w:pPr>
      <w:r w:rsidRPr="001756EA">
        <w:rPr>
          <w:rFonts w:ascii="Times New Roman" w:hAnsi="Times New Roman"/>
          <w:b/>
          <w:szCs w:val="24"/>
        </w:rPr>
        <w:t>Acknowledgments</w:t>
      </w:r>
    </w:p>
    <w:p w14:paraId="03BF711A" w14:textId="2FE924B4" w:rsidR="00FF08E6" w:rsidRPr="001C3C2F" w:rsidRDefault="00FF08E6" w:rsidP="008A66AD">
      <w:pPr>
        <w:spacing w:line="480" w:lineRule="auto"/>
        <w:rPr>
          <w:rFonts w:ascii="Times New Roman" w:hAnsi="Times New Roman"/>
          <w:szCs w:val="24"/>
          <w:lang w:val="de-DE"/>
        </w:rPr>
      </w:pPr>
      <w:r>
        <w:rPr>
          <w:rFonts w:ascii="Times New Roman" w:hAnsi="Times New Roman"/>
          <w:szCs w:val="24"/>
        </w:rPr>
        <w:t xml:space="preserve"> P. Novack-Gottshall commented on an early draft. We are very grateful to B. Hannisdal and an anonymous reviewer, as well as associate editor W. </w:t>
      </w:r>
      <w:r w:rsidRPr="00F13D53">
        <w:rPr>
          <w:rFonts w:ascii="Times New Roman" w:hAnsi="Times New Roman"/>
          <w:szCs w:val="24"/>
        </w:rPr>
        <w:t>Kiessling</w:t>
      </w:r>
      <w:r>
        <w:rPr>
          <w:rFonts w:ascii="Times New Roman" w:hAnsi="Times New Roman"/>
          <w:szCs w:val="24"/>
        </w:rPr>
        <w:t xml:space="preserve"> for their comments, which greatly improved this paper</w:t>
      </w:r>
      <w:r w:rsidR="0021649A">
        <w:rPr>
          <w:rFonts w:ascii="Times New Roman" w:hAnsi="Times New Roman"/>
          <w:szCs w:val="24"/>
        </w:rPr>
        <w:t xml:space="preserve"> and caught some egregious errors</w:t>
      </w:r>
      <w:r>
        <w:rPr>
          <w:rFonts w:ascii="Times New Roman" w:hAnsi="Times New Roman"/>
          <w:szCs w:val="24"/>
        </w:rPr>
        <w:t xml:space="preserve">. </w:t>
      </w:r>
      <w:bookmarkStart w:id="5" w:name="_GoBack"/>
      <w:bookmarkEnd w:id="5"/>
      <w:r w:rsidR="0021649A">
        <w:rPr>
          <w:rFonts w:ascii="Times New Roman" w:hAnsi="Times New Roman"/>
          <w:szCs w:val="24"/>
        </w:rPr>
        <w:t xml:space="preserve">They went above and beyond. </w:t>
      </w:r>
      <w:r w:rsidRPr="00D21AF1">
        <w:rPr>
          <w:rFonts w:ascii="Times New Roman" w:hAnsi="Times New Roman"/>
          <w:szCs w:val="24"/>
        </w:rPr>
        <w:t xml:space="preserve">We thank the many people who entered records into the Paleobiology Database, particularly M. Clapham, W. Kiessling, A. Hendy, A. Miller, M. Aberhan, J. Alroy, F. Fürsich, M. Foote, M. Patzkowsky and S. Holland. We also thank the many researchers who created the original datasets. </w:t>
      </w:r>
      <w:r w:rsidRPr="00194B4A">
        <w:rPr>
          <w:rFonts w:ascii="Times New Roman" w:hAnsi="Times New Roman"/>
          <w:szCs w:val="24"/>
          <w:lang w:val="de-DE"/>
        </w:rPr>
        <w:t xml:space="preserve">This is </w:t>
      </w:r>
      <w:r w:rsidR="00475280">
        <w:rPr>
          <w:rFonts w:ascii="Times New Roman" w:hAnsi="Times New Roman"/>
          <w:szCs w:val="24"/>
          <w:lang w:val="de-DE"/>
        </w:rPr>
        <w:t>Paleobiology Database</w:t>
      </w:r>
      <w:r w:rsidR="00475280" w:rsidRPr="00194B4A">
        <w:rPr>
          <w:rFonts w:ascii="Times New Roman" w:hAnsi="Times New Roman"/>
          <w:szCs w:val="24"/>
          <w:lang w:val="de-DE"/>
        </w:rPr>
        <w:t xml:space="preserve"> </w:t>
      </w:r>
      <w:r w:rsidRPr="00194B4A">
        <w:rPr>
          <w:rFonts w:ascii="Times New Roman" w:hAnsi="Times New Roman"/>
          <w:szCs w:val="24"/>
          <w:lang w:val="de-DE"/>
        </w:rPr>
        <w:t>contribution #</w:t>
      </w:r>
      <w:r w:rsidR="00C706D1">
        <w:rPr>
          <w:rFonts w:ascii="Times New Roman" w:hAnsi="Times New Roman"/>
          <w:szCs w:val="24"/>
          <w:lang w:val="de-DE"/>
        </w:rPr>
        <w:t>308</w:t>
      </w:r>
      <w:r w:rsidRPr="00194B4A">
        <w:rPr>
          <w:rFonts w:ascii="Times New Roman" w:hAnsi="Times New Roman"/>
          <w:szCs w:val="24"/>
          <w:lang w:val="de-DE"/>
        </w:rPr>
        <w:t>.</w:t>
      </w:r>
    </w:p>
    <w:p w14:paraId="7294B5CB" w14:textId="77777777" w:rsidR="001C3C2F" w:rsidRDefault="001C3C2F" w:rsidP="008A66AD">
      <w:pPr>
        <w:keepNext/>
        <w:spacing w:line="480" w:lineRule="auto"/>
        <w:ind w:firstLine="360"/>
        <w:jc w:val="center"/>
        <w:outlineLvl w:val="0"/>
        <w:rPr>
          <w:rFonts w:ascii="Times New Roman" w:hAnsi="Times New Roman"/>
          <w:b/>
          <w:szCs w:val="24"/>
          <w:lang w:val="de-DE"/>
        </w:rPr>
      </w:pPr>
    </w:p>
    <w:p w14:paraId="7F0DFA2F" w14:textId="2BA1ED03" w:rsidR="00FF08E6" w:rsidRPr="009912E4" w:rsidRDefault="00512EFA" w:rsidP="008A66AD">
      <w:pPr>
        <w:keepNext/>
        <w:spacing w:line="480" w:lineRule="auto"/>
        <w:ind w:firstLine="360"/>
        <w:jc w:val="center"/>
        <w:outlineLvl w:val="0"/>
        <w:rPr>
          <w:rFonts w:ascii="Times New Roman" w:hAnsi="Times New Roman"/>
          <w:b/>
          <w:szCs w:val="24"/>
          <w:lang w:val="de-DE"/>
        </w:rPr>
      </w:pPr>
      <w:r>
        <w:rPr>
          <w:rFonts w:ascii="Times New Roman" w:hAnsi="Times New Roman"/>
          <w:b/>
          <w:szCs w:val="24"/>
          <w:lang w:val="de-DE"/>
        </w:rPr>
        <w:t>Literature Cited</w:t>
      </w:r>
    </w:p>
    <w:p w14:paraId="6744C750" w14:textId="247004E9" w:rsidR="00FF187D" w:rsidRPr="00EA54AA" w:rsidRDefault="00FF187D" w:rsidP="00FF187D">
      <w:pPr>
        <w:pStyle w:val="EndNoteBibliography"/>
        <w:ind w:left="360" w:hanging="360"/>
        <w:rPr>
          <w:noProof/>
        </w:rPr>
      </w:pPr>
      <w:r w:rsidRPr="00EA54AA">
        <w:rPr>
          <w:noProof/>
        </w:rPr>
        <w:t>Aberhan, M</w:t>
      </w:r>
      <w:r>
        <w:rPr>
          <w:noProof/>
        </w:rPr>
        <w:t xml:space="preserve">. </w:t>
      </w:r>
      <w:r w:rsidRPr="00EA54AA">
        <w:rPr>
          <w:noProof/>
        </w:rPr>
        <w:t>1992</w:t>
      </w:r>
      <w:r>
        <w:rPr>
          <w:noProof/>
        </w:rPr>
        <w:t xml:space="preserve">. </w:t>
      </w:r>
      <w:r w:rsidRPr="00EA54AA">
        <w:rPr>
          <w:noProof/>
        </w:rPr>
        <w:t>Pal</w:t>
      </w:r>
      <w:r>
        <w:rPr>
          <w:noProof/>
        </w:rPr>
        <w:t>ö</w:t>
      </w:r>
      <w:r w:rsidRPr="00EA54AA">
        <w:rPr>
          <w:noProof/>
        </w:rPr>
        <w:t>kologie und zeitliche Verbreitung benthischer Faunengemeinschaften im Unterjura von Chile</w:t>
      </w:r>
      <w:r>
        <w:rPr>
          <w:noProof/>
        </w:rPr>
        <w:t xml:space="preserve">. </w:t>
      </w:r>
      <w:r w:rsidRPr="00EA54AA">
        <w:rPr>
          <w:noProof/>
        </w:rPr>
        <w:t>Beringeria 5:1</w:t>
      </w:r>
      <w:r>
        <w:rPr>
          <w:noProof/>
        </w:rPr>
        <w:t>–</w:t>
      </w:r>
      <w:r w:rsidRPr="00EA54AA">
        <w:rPr>
          <w:noProof/>
        </w:rPr>
        <w:t>174.</w:t>
      </w:r>
    </w:p>
    <w:p w14:paraId="549F2F3D" w14:textId="506A0063" w:rsidR="00FF187D" w:rsidRPr="00EA54AA" w:rsidRDefault="00FF187D" w:rsidP="00FF187D">
      <w:pPr>
        <w:pStyle w:val="EndNoteBibliography"/>
        <w:ind w:left="360" w:hanging="360"/>
        <w:rPr>
          <w:noProof/>
        </w:rPr>
      </w:pPr>
      <w:r w:rsidRPr="00EA54AA">
        <w:rPr>
          <w:noProof/>
        </w:rPr>
        <w:t xml:space="preserve">Alroy, J., M. Aberhan, D. J. Bottjer, M. Foote, F. T. Fürsich, P. J. Harries, A. J. W. Hendy, S. M. Holland, L. C. Ivany, W. Kiessling, M. A. Kosnik, C. R. Marshall, A. J. McGowan, A. I. Miller, T. D. Olszewski, M. E. Patzkowsky, S. E. Peters, L. Villier, P. J. Wagner, N. Bonuso, P. S. Borkow, B. Brenneis, M. E. Clapham, L. M. Fall, C. A. Ferguson, V. L. Hanson, A. Z. </w:t>
      </w:r>
      <w:r w:rsidRPr="00EA54AA">
        <w:rPr>
          <w:noProof/>
        </w:rPr>
        <w:lastRenderedPageBreak/>
        <w:t>Krug, K. M. Layou, E. H. Leckey, S. Nürnberg, C. M. Powers, J. A. Sessa, C. Simpson, A. Tomasovych, and C. C. Visaggi</w:t>
      </w:r>
      <w:r>
        <w:rPr>
          <w:noProof/>
        </w:rPr>
        <w:t xml:space="preserve">. </w:t>
      </w:r>
      <w:r w:rsidRPr="00EA54AA">
        <w:rPr>
          <w:noProof/>
        </w:rPr>
        <w:t>2008</w:t>
      </w:r>
      <w:r>
        <w:rPr>
          <w:noProof/>
        </w:rPr>
        <w:t xml:space="preserve">. </w:t>
      </w:r>
      <w:r w:rsidRPr="00EA54AA">
        <w:rPr>
          <w:noProof/>
        </w:rPr>
        <w:t>Phanerozoic trends in the global diversity of marine invertebrates</w:t>
      </w:r>
      <w:r>
        <w:rPr>
          <w:noProof/>
        </w:rPr>
        <w:t xml:space="preserve">. </w:t>
      </w:r>
      <w:r w:rsidRPr="00EA54AA">
        <w:rPr>
          <w:noProof/>
        </w:rPr>
        <w:t>Science 321:97</w:t>
      </w:r>
      <w:r>
        <w:rPr>
          <w:noProof/>
        </w:rPr>
        <w:t>–</w:t>
      </w:r>
      <w:r w:rsidRPr="00EA54AA">
        <w:rPr>
          <w:noProof/>
        </w:rPr>
        <w:t>100.</w:t>
      </w:r>
    </w:p>
    <w:p w14:paraId="79E41591" w14:textId="093F7438" w:rsidR="00FF187D" w:rsidRPr="00EA54AA" w:rsidRDefault="00FF187D" w:rsidP="00FF187D">
      <w:pPr>
        <w:pStyle w:val="EndNoteBibliography"/>
        <w:ind w:left="360" w:hanging="360"/>
        <w:rPr>
          <w:noProof/>
        </w:rPr>
      </w:pPr>
      <w:r w:rsidRPr="00EA54AA">
        <w:rPr>
          <w:noProof/>
        </w:rPr>
        <w:t>Alroy, J., C. R. Marshall, R. K. Bambach, K. Bezusko, M. Foote, F. T. Fürsich, T. A. Hansen, S. M. Holland, L. C. Ivany, D. Jablonski, D. K. Jacobs, D. C. Jones, M. A. Kosnik, S. Lidgard, S. Low, A. I. Miller, P. M. Novack</w:t>
      </w:r>
      <w:r>
        <w:rPr>
          <w:noProof/>
        </w:rPr>
        <w:t>–</w:t>
      </w:r>
      <w:r w:rsidRPr="00EA54AA">
        <w:rPr>
          <w:noProof/>
        </w:rPr>
        <w:t>Gottshall, T. D. Olszewski, M. E. Patzkowsky, D. M. Raup, K. Roy, J. J. John Sepkoski, M. G. Sommers, P. J. Wagner, and A. Webber</w:t>
      </w:r>
      <w:r>
        <w:rPr>
          <w:noProof/>
        </w:rPr>
        <w:t xml:space="preserve">. </w:t>
      </w:r>
      <w:r w:rsidRPr="00EA54AA">
        <w:rPr>
          <w:noProof/>
        </w:rPr>
        <w:t>2001</w:t>
      </w:r>
      <w:r>
        <w:rPr>
          <w:noProof/>
        </w:rPr>
        <w:t xml:space="preserve">. </w:t>
      </w:r>
      <w:r w:rsidRPr="00EA54AA">
        <w:rPr>
          <w:noProof/>
        </w:rPr>
        <w:t>Effects of sampling standardization on estimates of Phanerozoic marine diversity</w:t>
      </w:r>
      <w:r>
        <w:rPr>
          <w:noProof/>
        </w:rPr>
        <w:t xml:space="preserve">. </w:t>
      </w:r>
      <w:r w:rsidRPr="00EA54AA">
        <w:rPr>
          <w:noProof/>
        </w:rPr>
        <w:t>Proceedings of the National Academy of Sciences, USA 98:6261</w:t>
      </w:r>
      <w:r>
        <w:rPr>
          <w:noProof/>
        </w:rPr>
        <w:t>–</w:t>
      </w:r>
      <w:r w:rsidRPr="00EA54AA">
        <w:rPr>
          <w:noProof/>
        </w:rPr>
        <w:t>6266.</w:t>
      </w:r>
    </w:p>
    <w:p w14:paraId="3E1C56C9" w14:textId="3F04C347" w:rsidR="00FF187D" w:rsidRPr="00EA54AA" w:rsidRDefault="00FF187D" w:rsidP="00FF187D">
      <w:pPr>
        <w:pStyle w:val="EndNoteBibliography"/>
        <w:ind w:left="360" w:hanging="360"/>
        <w:rPr>
          <w:noProof/>
        </w:rPr>
      </w:pPr>
      <w:r w:rsidRPr="00EA54AA">
        <w:rPr>
          <w:noProof/>
        </w:rPr>
        <w:t>Bailey, L. L., D. I. MacKenzie, and J. D. Nichols</w:t>
      </w:r>
      <w:r>
        <w:rPr>
          <w:noProof/>
        </w:rPr>
        <w:t xml:space="preserve">. </w:t>
      </w:r>
      <w:r w:rsidRPr="00EA54AA">
        <w:rPr>
          <w:noProof/>
        </w:rPr>
        <w:t>2014</w:t>
      </w:r>
      <w:r>
        <w:rPr>
          <w:noProof/>
        </w:rPr>
        <w:t xml:space="preserve">. </w:t>
      </w:r>
      <w:r w:rsidRPr="00EA54AA">
        <w:rPr>
          <w:noProof/>
        </w:rPr>
        <w:t>Advances and applications of occupancy models</w:t>
      </w:r>
      <w:r>
        <w:rPr>
          <w:noProof/>
        </w:rPr>
        <w:t xml:space="preserve">. </w:t>
      </w:r>
      <w:r w:rsidRPr="00EA54AA">
        <w:rPr>
          <w:noProof/>
        </w:rPr>
        <w:t>Methods in Ecology and Evolution 5:1269</w:t>
      </w:r>
      <w:r>
        <w:rPr>
          <w:noProof/>
        </w:rPr>
        <w:t>–</w:t>
      </w:r>
      <w:r w:rsidRPr="00EA54AA">
        <w:rPr>
          <w:noProof/>
        </w:rPr>
        <w:t>1279.</w:t>
      </w:r>
    </w:p>
    <w:p w14:paraId="603A2147" w14:textId="6CA1A8FE" w:rsidR="00FF187D" w:rsidRPr="00EA54AA" w:rsidRDefault="00FF187D" w:rsidP="00FF187D">
      <w:pPr>
        <w:pStyle w:val="EndNoteBibliography"/>
        <w:ind w:left="360" w:hanging="360"/>
        <w:rPr>
          <w:noProof/>
        </w:rPr>
      </w:pPr>
      <w:r w:rsidRPr="00EA54AA">
        <w:rPr>
          <w:noProof/>
        </w:rPr>
        <w:t>Bell, G</w:t>
      </w:r>
      <w:r>
        <w:rPr>
          <w:noProof/>
        </w:rPr>
        <w:t xml:space="preserve">. </w:t>
      </w:r>
      <w:r w:rsidRPr="00EA54AA">
        <w:rPr>
          <w:noProof/>
        </w:rPr>
        <w:t>2001</w:t>
      </w:r>
      <w:r>
        <w:rPr>
          <w:noProof/>
        </w:rPr>
        <w:t xml:space="preserve">. </w:t>
      </w:r>
      <w:r w:rsidRPr="00EA54AA">
        <w:rPr>
          <w:noProof/>
        </w:rPr>
        <w:t>Neutral Macroecology</w:t>
      </w:r>
      <w:r>
        <w:rPr>
          <w:noProof/>
        </w:rPr>
        <w:t xml:space="preserve">. </w:t>
      </w:r>
      <w:r w:rsidRPr="00EA54AA">
        <w:rPr>
          <w:noProof/>
        </w:rPr>
        <w:t>Science 293:2413</w:t>
      </w:r>
      <w:r>
        <w:rPr>
          <w:noProof/>
        </w:rPr>
        <w:t>–</w:t>
      </w:r>
      <w:r w:rsidRPr="00EA54AA">
        <w:rPr>
          <w:noProof/>
        </w:rPr>
        <w:t>2418.</w:t>
      </w:r>
    </w:p>
    <w:p w14:paraId="311B8CD7" w14:textId="0BAAC163" w:rsidR="00FF187D" w:rsidRPr="00EA54AA" w:rsidRDefault="00FF187D" w:rsidP="00FF187D">
      <w:pPr>
        <w:pStyle w:val="EndNoteBibliography"/>
        <w:ind w:left="360" w:hanging="360"/>
        <w:rPr>
          <w:noProof/>
        </w:rPr>
      </w:pPr>
      <w:r w:rsidRPr="00EA54AA">
        <w:rPr>
          <w:noProof/>
        </w:rPr>
        <w:t>Besairie, H., and M. Collignon</w:t>
      </w:r>
      <w:r>
        <w:rPr>
          <w:noProof/>
        </w:rPr>
        <w:t xml:space="preserve">. </w:t>
      </w:r>
      <w:r w:rsidRPr="00EA54AA">
        <w:rPr>
          <w:noProof/>
        </w:rPr>
        <w:t>1972</w:t>
      </w:r>
      <w:r>
        <w:rPr>
          <w:noProof/>
        </w:rPr>
        <w:t xml:space="preserve">. </w:t>
      </w:r>
      <w:r w:rsidRPr="00EA54AA">
        <w:rPr>
          <w:noProof/>
        </w:rPr>
        <w:t>Geologie de Madagascar I. Les Terrains Sedimentaires</w:t>
      </w:r>
      <w:r>
        <w:rPr>
          <w:noProof/>
        </w:rPr>
        <w:t xml:space="preserve">. </w:t>
      </w:r>
      <w:r w:rsidRPr="00EA54AA">
        <w:rPr>
          <w:noProof/>
        </w:rPr>
        <w:t>Annales Geologiques de Madagascar 35:1</w:t>
      </w:r>
      <w:r>
        <w:rPr>
          <w:noProof/>
        </w:rPr>
        <w:t>–</w:t>
      </w:r>
      <w:r w:rsidRPr="00EA54AA">
        <w:rPr>
          <w:noProof/>
        </w:rPr>
        <w:t>463.</w:t>
      </w:r>
    </w:p>
    <w:p w14:paraId="08F6EB1A" w14:textId="1D55CE46" w:rsidR="00FF187D" w:rsidRPr="00EA54AA" w:rsidRDefault="00FF187D" w:rsidP="00FF187D">
      <w:pPr>
        <w:pStyle w:val="EndNoteBibliography"/>
        <w:ind w:left="360" w:hanging="360"/>
        <w:rPr>
          <w:noProof/>
        </w:rPr>
      </w:pPr>
      <w:r w:rsidRPr="00EA54AA">
        <w:rPr>
          <w:noProof/>
        </w:rPr>
        <w:t>Bradlow, E. T., and P. S. Fader</w:t>
      </w:r>
      <w:r>
        <w:rPr>
          <w:noProof/>
        </w:rPr>
        <w:t xml:space="preserve">. </w:t>
      </w:r>
      <w:r w:rsidRPr="00EA54AA">
        <w:rPr>
          <w:noProof/>
        </w:rPr>
        <w:t>2001</w:t>
      </w:r>
      <w:r>
        <w:rPr>
          <w:noProof/>
        </w:rPr>
        <w:t xml:space="preserve">. </w:t>
      </w:r>
      <w:r w:rsidRPr="00EA54AA">
        <w:rPr>
          <w:noProof/>
        </w:rPr>
        <w:t xml:space="preserve">A Bayesian </w:t>
      </w:r>
      <w:r w:rsidR="0012296F" w:rsidRPr="00EA54AA">
        <w:rPr>
          <w:noProof/>
        </w:rPr>
        <w:t>lifetime model</w:t>
      </w:r>
      <w:r w:rsidRPr="00EA54AA">
        <w:rPr>
          <w:noProof/>
        </w:rPr>
        <w:t xml:space="preserve"> for the “Hot 100” Billboard </w:t>
      </w:r>
      <w:r w:rsidR="0012296F">
        <w:rPr>
          <w:noProof/>
        </w:rPr>
        <w:t>s</w:t>
      </w:r>
      <w:r w:rsidRPr="00EA54AA">
        <w:rPr>
          <w:noProof/>
        </w:rPr>
        <w:t>ongs</w:t>
      </w:r>
      <w:r>
        <w:rPr>
          <w:noProof/>
        </w:rPr>
        <w:t xml:space="preserve">. </w:t>
      </w:r>
      <w:r w:rsidRPr="00EA54AA">
        <w:rPr>
          <w:noProof/>
        </w:rPr>
        <w:t>Journal of the American Statistical Association 96:368</w:t>
      </w:r>
      <w:r>
        <w:rPr>
          <w:noProof/>
        </w:rPr>
        <w:t>–</w:t>
      </w:r>
      <w:r w:rsidRPr="00EA54AA">
        <w:rPr>
          <w:noProof/>
        </w:rPr>
        <w:t>381.</w:t>
      </w:r>
    </w:p>
    <w:p w14:paraId="03A5F381" w14:textId="4D681C15" w:rsidR="00FF187D" w:rsidRPr="00EA54AA" w:rsidRDefault="00FF187D" w:rsidP="00FF187D">
      <w:pPr>
        <w:pStyle w:val="EndNoteBibliography"/>
        <w:ind w:left="360" w:hanging="360"/>
        <w:rPr>
          <w:noProof/>
        </w:rPr>
      </w:pPr>
      <w:r w:rsidRPr="00EA54AA">
        <w:rPr>
          <w:noProof/>
        </w:rPr>
        <w:t>Brown, J. H</w:t>
      </w:r>
      <w:r>
        <w:rPr>
          <w:noProof/>
        </w:rPr>
        <w:t xml:space="preserve">. </w:t>
      </w:r>
      <w:r w:rsidRPr="00EA54AA">
        <w:rPr>
          <w:noProof/>
        </w:rPr>
        <w:t>1984</w:t>
      </w:r>
      <w:r>
        <w:rPr>
          <w:noProof/>
        </w:rPr>
        <w:t xml:space="preserve">. </w:t>
      </w:r>
      <w:r w:rsidRPr="00EA54AA">
        <w:rPr>
          <w:noProof/>
        </w:rPr>
        <w:t>On the relationship between abundance and distribution of species</w:t>
      </w:r>
      <w:r>
        <w:rPr>
          <w:noProof/>
        </w:rPr>
        <w:t xml:space="preserve">. </w:t>
      </w:r>
      <w:r w:rsidRPr="00EA54AA">
        <w:rPr>
          <w:noProof/>
        </w:rPr>
        <w:t>The American Naturalist 124:255</w:t>
      </w:r>
      <w:r>
        <w:rPr>
          <w:noProof/>
        </w:rPr>
        <w:t>–</w:t>
      </w:r>
      <w:r w:rsidRPr="00EA54AA">
        <w:rPr>
          <w:noProof/>
        </w:rPr>
        <w:t>279.</w:t>
      </w:r>
    </w:p>
    <w:p w14:paraId="107B520A" w14:textId="3ACF97CC" w:rsidR="00FF187D" w:rsidRPr="00EA54AA" w:rsidRDefault="00FF187D" w:rsidP="00FF187D">
      <w:pPr>
        <w:pStyle w:val="EndNoteBibliography"/>
        <w:ind w:left="360" w:hanging="360"/>
        <w:rPr>
          <w:noProof/>
        </w:rPr>
      </w:pPr>
      <w:r w:rsidRPr="00EA54AA">
        <w:rPr>
          <w:noProof/>
        </w:rPr>
        <w:t>Buzas, M. A., C. F. Koch, S. J. Culver, and N. F. Sohl</w:t>
      </w:r>
      <w:r>
        <w:rPr>
          <w:noProof/>
        </w:rPr>
        <w:t xml:space="preserve">. </w:t>
      </w:r>
      <w:r w:rsidRPr="00EA54AA">
        <w:rPr>
          <w:noProof/>
        </w:rPr>
        <w:t>1982</w:t>
      </w:r>
      <w:r>
        <w:rPr>
          <w:noProof/>
        </w:rPr>
        <w:t xml:space="preserve">. </w:t>
      </w:r>
      <w:r w:rsidRPr="00EA54AA">
        <w:rPr>
          <w:noProof/>
        </w:rPr>
        <w:t>On the distribution of species occurrence</w:t>
      </w:r>
      <w:r>
        <w:rPr>
          <w:noProof/>
        </w:rPr>
        <w:t xml:space="preserve">. </w:t>
      </w:r>
      <w:r w:rsidRPr="00EA54AA">
        <w:rPr>
          <w:noProof/>
        </w:rPr>
        <w:t>Paleobiology 8:143</w:t>
      </w:r>
      <w:r>
        <w:rPr>
          <w:noProof/>
        </w:rPr>
        <w:t>–</w:t>
      </w:r>
      <w:r w:rsidRPr="00EA54AA">
        <w:rPr>
          <w:noProof/>
        </w:rPr>
        <w:t>150.</w:t>
      </w:r>
    </w:p>
    <w:p w14:paraId="6607099F" w14:textId="0042F4F3" w:rsidR="00FF187D" w:rsidRPr="00EA54AA" w:rsidRDefault="00FF187D" w:rsidP="00FF187D">
      <w:pPr>
        <w:pStyle w:val="EndNoteBibliography"/>
        <w:ind w:left="360" w:hanging="360"/>
        <w:rPr>
          <w:noProof/>
        </w:rPr>
      </w:pPr>
      <w:r w:rsidRPr="00EA54AA">
        <w:rPr>
          <w:noProof/>
        </w:rPr>
        <w:t>Carotenuto, F., C. Barbera, and P. Raia</w:t>
      </w:r>
      <w:r>
        <w:rPr>
          <w:noProof/>
        </w:rPr>
        <w:t xml:space="preserve">. </w:t>
      </w:r>
      <w:r w:rsidRPr="00EA54AA">
        <w:rPr>
          <w:noProof/>
        </w:rPr>
        <w:t>2010</w:t>
      </w:r>
      <w:r>
        <w:rPr>
          <w:noProof/>
        </w:rPr>
        <w:t xml:space="preserve">. </w:t>
      </w:r>
      <w:r w:rsidRPr="00EA54AA">
        <w:rPr>
          <w:noProof/>
        </w:rPr>
        <w:t>Occupancy, range size, and phylogeny in Eurasian Pliocene to Recent large mammals</w:t>
      </w:r>
      <w:r>
        <w:rPr>
          <w:noProof/>
        </w:rPr>
        <w:t xml:space="preserve">. </w:t>
      </w:r>
      <w:r w:rsidRPr="00EA54AA">
        <w:rPr>
          <w:noProof/>
        </w:rPr>
        <w:t>Paleobiology 36:399</w:t>
      </w:r>
      <w:r>
        <w:rPr>
          <w:noProof/>
        </w:rPr>
        <w:t>–</w:t>
      </w:r>
      <w:r w:rsidRPr="00EA54AA">
        <w:rPr>
          <w:noProof/>
        </w:rPr>
        <w:t>414.</w:t>
      </w:r>
    </w:p>
    <w:p w14:paraId="3708F73F" w14:textId="72AEF5AF" w:rsidR="00FF187D" w:rsidRPr="00EA54AA" w:rsidRDefault="00FF187D" w:rsidP="00FF187D">
      <w:pPr>
        <w:pStyle w:val="EndNoteBibliography"/>
        <w:ind w:left="360" w:hanging="360"/>
        <w:rPr>
          <w:noProof/>
        </w:rPr>
      </w:pPr>
      <w:r w:rsidRPr="00EA54AA">
        <w:rPr>
          <w:noProof/>
        </w:rPr>
        <w:lastRenderedPageBreak/>
        <w:t>Christie, M., S. M. Holland, and A. M. Bush</w:t>
      </w:r>
      <w:r>
        <w:rPr>
          <w:noProof/>
        </w:rPr>
        <w:t xml:space="preserve">. </w:t>
      </w:r>
      <w:r w:rsidRPr="00EA54AA">
        <w:rPr>
          <w:noProof/>
        </w:rPr>
        <w:t>2013</w:t>
      </w:r>
      <w:r>
        <w:rPr>
          <w:noProof/>
        </w:rPr>
        <w:t xml:space="preserve">. </w:t>
      </w:r>
      <w:r w:rsidRPr="00EA54AA">
        <w:rPr>
          <w:noProof/>
        </w:rPr>
        <w:t>Contrasting the ecological and taxonomic consequences of extinction</w:t>
      </w:r>
      <w:r>
        <w:rPr>
          <w:noProof/>
        </w:rPr>
        <w:t xml:space="preserve">. </w:t>
      </w:r>
      <w:r w:rsidRPr="00EA54AA">
        <w:rPr>
          <w:noProof/>
        </w:rPr>
        <w:t>Paleobiology 39:538</w:t>
      </w:r>
      <w:r>
        <w:rPr>
          <w:noProof/>
        </w:rPr>
        <w:t>–</w:t>
      </w:r>
      <w:r w:rsidRPr="00EA54AA">
        <w:rPr>
          <w:noProof/>
        </w:rPr>
        <w:t>559.</w:t>
      </w:r>
    </w:p>
    <w:p w14:paraId="6E020799" w14:textId="04714888" w:rsidR="00FF187D" w:rsidRPr="00EA54AA" w:rsidRDefault="00FF187D" w:rsidP="00FF187D">
      <w:pPr>
        <w:pStyle w:val="EndNoteBibliography"/>
        <w:ind w:left="360" w:hanging="360"/>
        <w:rPr>
          <w:noProof/>
        </w:rPr>
      </w:pPr>
      <w:r w:rsidRPr="00EA54AA">
        <w:rPr>
          <w:noProof/>
        </w:rPr>
        <w:t>Connolly, S. R., and A. I. Miller</w:t>
      </w:r>
      <w:r>
        <w:rPr>
          <w:noProof/>
        </w:rPr>
        <w:t xml:space="preserve">. </w:t>
      </w:r>
      <w:r w:rsidRPr="00EA54AA">
        <w:rPr>
          <w:noProof/>
        </w:rPr>
        <w:t>2001</w:t>
      </w:r>
      <w:r>
        <w:rPr>
          <w:noProof/>
        </w:rPr>
        <w:t xml:space="preserve">. </w:t>
      </w:r>
      <w:r w:rsidRPr="00EA54AA">
        <w:rPr>
          <w:noProof/>
        </w:rPr>
        <w:t>Global Ordovician faunal transitions in the marine benthos: proximate causes</w:t>
      </w:r>
      <w:r>
        <w:rPr>
          <w:noProof/>
        </w:rPr>
        <w:t xml:space="preserve">. </w:t>
      </w:r>
      <w:r w:rsidRPr="00EA54AA">
        <w:rPr>
          <w:noProof/>
        </w:rPr>
        <w:t>Paleobiology 27:779</w:t>
      </w:r>
      <w:r>
        <w:rPr>
          <w:noProof/>
        </w:rPr>
        <w:t>–</w:t>
      </w:r>
      <w:r w:rsidRPr="00EA54AA">
        <w:rPr>
          <w:noProof/>
        </w:rPr>
        <w:t>795.</w:t>
      </w:r>
    </w:p>
    <w:p w14:paraId="5EEA5F02" w14:textId="4A708970" w:rsidR="00FF187D" w:rsidRPr="00EA54AA" w:rsidRDefault="00FF187D" w:rsidP="00FF187D">
      <w:pPr>
        <w:pStyle w:val="EndNoteBibliography"/>
        <w:ind w:left="360" w:hanging="360"/>
        <w:rPr>
          <w:noProof/>
        </w:rPr>
      </w:pPr>
      <w:r w:rsidRPr="00EA54AA">
        <w:rPr>
          <w:noProof/>
        </w:rPr>
        <w:t>Cooper, G. A., and R. E. Grant</w:t>
      </w:r>
      <w:r>
        <w:rPr>
          <w:noProof/>
        </w:rPr>
        <w:t xml:space="preserve">. </w:t>
      </w:r>
      <w:r w:rsidRPr="00EA54AA">
        <w:rPr>
          <w:noProof/>
        </w:rPr>
        <w:t>1977</w:t>
      </w:r>
      <w:r>
        <w:rPr>
          <w:noProof/>
        </w:rPr>
        <w:t xml:space="preserve">. </w:t>
      </w:r>
      <w:r w:rsidRPr="00EA54AA">
        <w:rPr>
          <w:noProof/>
        </w:rPr>
        <w:t>Permian Brachiopods of West Texas, VI</w:t>
      </w:r>
      <w:r>
        <w:rPr>
          <w:noProof/>
        </w:rPr>
        <w:t xml:space="preserve">. </w:t>
      </w:r>
      <w:r w:rsidRPr="00EA54AA">
        <w:rPr>
          <w:noProof/>
        </w:rPr>
        <w:t>Smithsonian Contributions to Paleobiology 32:3161</w:t>
      </w:r>
      <w:r>
        <w:rPr>
          <w:noProof/>
        </w:rPr>
        <w:t>–</w:t>
      </w:r>
      <w:r w:rsidRPr="00EA54AA">
        <w:rPr>
          <w:noProof/>
        </w:rPr>
        <w:t>3370.</w:t>
      </w:r>
    </w:p>
    <w:p w14:paraId="604BB541" w14:textId="1B1244F7" w:rsidR="00FF187D" w:rsidRPr="00EA54AA" w:rsidRDefault="00FF187D" w:rsidP="00FF187D">
      <w:pPr>
        <w:pStyle w:val="EndNoteBibliography"/>
        <w:ind w:left="360" w:hanging="360"/>
        <w:rPr>
          <w:noProof/>
        </w:rPr>
      </w:pPr>
      <w:r w:rsidRPr="00EA54AA">
        <w:rPr>
          <w:noProof/>
        </w:rPr>
        <w:t>Darroch, S. A. F., and P. J. Wagner</w:t>
      </w:r>
      <w:r>
        <w:rPr>
          <w:noProof/>
        </w:rPr>
        <w:t xml:space="preserve">. </w:t>
      </w:r>
      <w:r w:rsidRPr="00EA54AA">
        <w:rPr>
          <w:noProof/>
        </w:rPr>
        <w:t>2015</w:t>
      </w:r>
      <w:r>
        <w:rPr>
          <w:noProof/>
        </w:rPr>
        <w:t xml:space="preserve">. </w:t>
      </w:r>
      <w:r w:rsidRPr="00EA54AA">
        <w:rPr>
          <w:noProof/>
        </w:rPr>
        <w:t>Response of beta diversity to pulses of Ordovician</w:t>
      </w:r>
      <w:r>
        <w:rPr>
          <w:noProof/>
        </w:rPr>
        <w:t>–</w:t>
      </w:r>
      <w:r w:rsidRPr="00EA54AA">
        <w:rPr>
          <w:noProof/>
        </w:rPr>
        <w:t>Silurian mass extinction</w:t>
      </w:r>
      <w:r>
        <w:rPr>
          <w:noProof/>
        </w:rPr>
        <w:t xml:space="preserve">. </w:t>
      </w:r>
      <w:r w:rsidRPr="00EA54AA">
        <w:rPr>
          <w:noProof/>
        </w:rPr>
        <w:t>Ecology 96:532–549.</w:t>
      </w:r>
    </w:p>
    <w:p w14:paraId="53755D2C" w14:textId="593826A3" w:rsidR="00FF187D" w:rsidRPr="00EA54AA" w:rsidRDefault="00FF187D" w:rsidP="00FF187D">
      <w:pPr>
        <w:pStyle w:val="EndNoteBibliography"/>
        <w:ind w:left="360" w:hanging="360"/>
        <w:rPr>
          <w:noProof/>
        </w:rPr>
      </w:pPr>
      <w:r w:rsidRPr="00EA54AA">
        <w:rPr>
          <w:noProof/>
        </w:rPr>
        <w:t>Droser, M. L., D. J. Bottjer, and P. M. Sheehan</w:t>
      </w:r>
      <w:r>
        <w:rPr>
          <w:noProof/>
        </w:rPr>
        <w:t xml:space="preserve">. </w:t>
      </w:r>
      <w:r w:rsidRPr="00EA54AA">
        <w:rPr>
          <w:noProof/>
        </w:rPr>
        <w:t>1997</w:t>
      </w:r>
      <w:r>
        <w:rPr>
          <w:noProof/>
        </w:rPr>
        <w:t xml:space="preserve">. </w:t>
      </w:r>
      <w:r w:rsidRPr="00EA54AA">
        <w:rPr>
          <w:noProof/>
        </w:rPr>
        <w:t>Evaluating the ecological architecture of major events in the Phanerozoic history of marine invertebrate life</w:t>
      </w:r>
      <w:r>
        <w:rPr>
          <w:noProof/>
        </w:rPr>
        <w:t xml:space="preserve">. </w:t>
      </w:r>
      <w:r w:rsidRPr="00EA54AA">
        <w:rPr>
          <w:noProof/>
        </w:rPr>
        <w:t>Geology 25:167</w:t>
      </w:r>
      <w:r>
        <w:rPr>
          <w:noProof/>
        </w:rPr>
        <w:t>–</w:t>
      </w:r>
      <w:r w:rsidRPr="00EA54AA">
        <w:rPr>
          <w:noProof/>
        </w:rPr>
        <w:t>170.</w:t>
      </w:r>
    </w:p>
    <w:p w14:paraId="588443AA" w14:textId="5D21D66B" w:rsidR="00FF187D" w:rsidRPr="00EA54AA" w:rsidRDefault="00FF187D" w:rsidP="00FF187D">
      <w:pPr>
        <w:pStyle w:val="EndNoteBibliography"/>
        <w:ind w:left="360" w:hanging="360"/>
        <w:rPr>
          <w:noProof/>
        </w:rPr>
      </w:pPr>
      <w:r w:rsidRPr="00EA54AA">
        <w:rPr>
          <w:noProof/>
        </w:rPr>
        <w:t>Droser, M. L., D. J. Bottjer, P. M. Sheehan, and G. R. McGhee</w:t>
      </w:r>
      <w:r>
        <w:rPr>
          <w:noProof/>
        </w:rPr>
        <w:t xml:space="preserve">. </w:t>
      </w:r>
      <w:r w:rsidRPr="00EA54AA">
        <w:rPr>
          <w:noProof/>
        </w:rPr>
        <w:t>2000</w:t>
      </w:r>
      <w:r>
        <w:rPr>
          <w:noProof/>
        </w:rPr>
        <w:t xml:space="preserve">. </w:t>
      </w:r>
      <w:r w:rsidRPr="00EA54AA">
        <w:rPr>
          <w:noProof/>
        </w:rPr>
        <w:t>Decoupling of taxonomic and ecologic severity of Phanerozoic marine mass extinctions</w:t>
      </w:r>
      <w:r>
        <w:rPr>
          <w:noProof/>
        </w:rPr>
        <w:t xml:space="preserve">. </w:t>
      </w:r>
      <w:r w:rsidRPr="00EA54AA">
        <w:rPr>
          <w:noProof/>
        </w:rPr>
        <w:t>Geology 28:675</w:t>
      </w:r>
      <w:r>
        <w:rPr>
          <w:noProof/>
        </w:rPr>
        <w:t>–</w:t>
      </w:r>
      <w:r w:rsidRPr="00EA54AA">
        <w:rPr>
          <w:noProof/>
        </w:rPr>
        <w:t>678.</w:t>
      </w:r>
    </w:p>
    <w:p w14:paraId="6524B310" w14:textId="04454656" w:rsidR="00FF187D" w:rsidRPr="00EA54AA" w:rsidRDefault="00FF187D" w:rsidP="00FF187D">
      <w:pPr>
        <w:pStyle w:val="EndNoteBibliography"/>
        <w:ind w:left="360" w:hanging="360"/>
        <w:rPr>
          <w:noProof/>
        </w:rPr>
      </w:pPr>
      <w:r w:rsidRPr="00EA54AA">
        <w:rPr>
          <w:noProof/>
        </w:rPr>
        <w:t>Etienne, R. S</w:t>
      </w:r>
      <w:r>
        <w:rPr>
          <w:noProof/>
        </w:rPr>
        <w:t xml:space="preserve">. </w:t>
      </w:r>
      <w:r w:rsidRPr="00EA54AA">
        <w:rPr>
          <w:noProof/>
        </w:rPr>
        <w:t>2007</w:t>
      </w:r>
      <w:r>
        <w:rPr>
          <w:noProof/>
        </w:rPr>
        <w:t xml:space="preserve">. </w:t>
      </w:r>
      <w:r w:rsidRPr="00EA54AA">
        <w:rPr>
          <w:noProof/>
        </w:rPr>
        <w:t>A neutral sampling formula for multiple samples and an ‘exact’ test of neutrality</w:t>
      </w:r>
      <w:r>
        <w:rPr>
          <w:noProof/>
        </w:rPr>
        <w:t xml:space="preserve">. </w:t>
      </w:r>
      <w:r w:rsidRPr="00EA54AA">
        <w:rPr>
          <w:noProof/>
        </w:rPr>
        <w:t>Ecology Letters 10:608</w:t>
      </w:r>
      <w:r>
        <w:rPr>
          <w:noProof/>
        </w:rPr>
        <w:t>–</w:t>
      </w:r>
      <w:r w:rsidRPr="00EA54AA">
        <w:rPr>
          <w:noProof/>
        </w:rPr>
        <w:t>618.</w:t>
      </w:r>
    </w:p>
    <w:p w14:paraId="4BF652A4" w14:textId="3527E894" w:rsidR="00FF187D" w:rsidRPr="00EA54AA" w:rsidRDefault="00FF187D" w:rsidP="00FF187D">
      <w:pPr>
        <w:pStyle w:val="EndNoteBibliography"/>
        <w:ind w:left="360" w:hanging="360"/>
        <w:rPr>
          <w:noProof/>
        </w:rPr>
      </w:pPr>
      <w:r w:rsidRPr="00EA54AA">
        <w:rPr>
          <w:noProof/>
        </w:rPr>
        <w:t>Foote, M</w:t>
      </w:r>
      <w:r>
        <w:rPr>
          <w:noProof/>
        </w:rPr>
        <w:t xml:space="preserve">. </w:t>
      </w:r>
      <w:r w:rsidRPr="00EA54AA">
        <w:rPr>
          <w:noProof/>
        </w:rPr>
        <w:t>1992</w:t>
      </w:r>
      <w:r>
        <w:rPr>
          <w:noProof/>
        </w:rPr>
        <w:t xml:space="preserve">. </w:t>
      </w:r>
      <w:r w:rsidRPr="00EA54AA">
        <w:rPr>
          <w:noProof/>
        </w:rPr>
        <w:t>Paleozoic record of morphological diversity in blastozoan echinoderms</w:t>
      </w:r>
      <w:r>
        <w:rPr>
          <w:noProof/>
        </w:rPr>
        <w:t xml:space="preserve">. </w:t>
      </w:r>
      <w:r w:rsidRPr="00EA54AA">
        <w:rPr>
          <w:noProof/>
        </w:rPr>
        <w:t>Proceedings of the National Academy of Sciences, USA 89:7325</w:t>
      </w:r>
      <w:r>
        <w:rPr>
          <w:noProof/>
        </w:rPr>
        <w:t>–</w:t>
      </w:r>
      <w:r w:rsidRPr="00EA54AA">
        <w:rPr>
          <w:noProof/>
        </w:rPr>
        <w:t>7329.</w:t>
      </w:r>
    </w:p>
    <w:p w14:paraId="43CD31A6" w14:textId="70B2FE24" w:rsidR="00FF187D" w:rsidRPr="00EA54AA" w:rsidRDefault="00FF187D" w:rsidP="00FF187D">
      <w:pPr>
        <w:pStyle w:val="EndNoteBibliography"/>
        <w:ind w:left="360" w:hanging="360"/>
        <w:rPr>
          <w:noProof/>
        </w:rPr>
      </w:pPr>
      <w:r w:rsidRPr="00EA54AA">
        <w:rPr>
          <w:noProof/>
        </w:rPr>
        <w:t>Foote, M</w:t>
      </w:r>
      <w:r>
        <w:rPr>
          <w:noProof/>
        </w:rPr>
        <w:t xml:space="preserve">. </w:t>
      </w:r>
      <w:r w:rsidRPr="00EA54AA">
        <w:rPr>
          <w:noProof/>
        </w:rPr>
        <w:t>2007</w:t>
      </w:r>
      <w:r>
        <w:rPr>
          <w:noProof/>
        </w:rPr>
        <w:t xml:space="preserve">. </w:t>
      </w:r>
      <w:r w:rsidRPr="00EA54AA">
        <w:rPr>
          <w:noProof/>
        </w:rPr>
        <w:t>Symmetric waxing and waning of marine invertebrate genera</w:t>
      </w:r>
      <w:r>
        <w:rPr>
          <w:noProof/>
        </w:rPr>
        <w:t xml:space="preserve">. </w:t>
      </w:r>
      <w:r w:rsidRPr="00EA54AA">
        <w:rPr>
          <w:noProof/>
        </w:rPr>
        <w:t>Paleobiology 33:517</w:t>
      </w:r>
      <w:r>
        <w:rPr>
          <w:noProof/>
        </w:rPr>
        <w:t>–</w:t>
      </w:r>
      <w:r w:rsidRPr="00EA54AA">
        <w:rPr>
          <w:noProof/>
        </w:rPr>
        <w:t>529.</w:t>
      </w:r>
    </w:p>
    <w:p w14:paraId="31F67F81" w14:textId="7259F7F0" w:rsidR="00FF187D" w:rsidRPr="00EA54AA" w:rsidRDefault="00FF187D" w:rsidP="00FF187D">
      <w:pPr>
        <w:pStyle w:val="EndNoteBibliography"/>
        <w:ind w:left="360" w:hanging="360"/>
        <w:rPr>
          <w:noProof/>
        </w:rPr>
      </w:pPr>
      <w:r w:rsidRPr="00EA54AA">
        <w:rPr>
          <w:noProof/>
        </w:rPr>
        <w:t>————————</w:t>
      </w:r>
      <w:r>
        <w:rPr>
          <w:noProof/>
        </w:rPr>
        <w:t xml:space="preserve">. </w:t>
      </w:r>
      <w:r w:rsidRPr="00EA54AA">
        <w:rPr>
          <w:noProof/>
        </w:rPr>
        <w:t>2016</w:t>
      </w:r>
      <w:r>
        <w:rPr>
          <w:noProof/>
        </w:rPr>
        <w:t xml:space="preserve">. </w:t>
      </w:r>
      <w:r w:rsidRPr="00EA54AA">
        <w:rPr>
          <w:noProof/>
        </w:rPr>
        <w:t>On the measurement of occupancy in ecology and paleontology</w:t>
      </w:r>
      <w:r>
        <w:rPr>
          <w:noProof/>
        </w:rPr>
        <w:t xml:space="preserve">. </w:t>
      </w:r>
      <w:r w:rsidRPr="00EA54AA">
        <w:rPr>
          <w:noProof/>
        </w:rPr>
        <w:t>Paleobiology 42:707</w:t>
      </w:r>
      <w:r>
        <w:rPr>
          <w:noProof/>
        </w:rPr>
        <w:t>–</w:t>
      </w:r>
      <w:r w:rsidRPr="00EA54AA">
        <w:rPr>
          <w:noProof/>
        </w:rPr>
        <w:t>729.</w:t>
      </w:r>
    </w:p>
    <w:p w14:paraId="5886354E" w14:textId="728487C3" w:rsidR="00FF187D" w:rsidRPr="00EA54AA" w:rsidRDefault="00FF187D" w:rsidP="00FF187D">
      <w:pPr>
        <w:pStyle w:val="EndNoteBibliography"/>
        <w:ind w:left="360" w:hanging="360"/>
        <w:rPr>
          <w:noProof/>
        </w:rPr>
      </w:pPr>
      <w:r w:rsidRPr="00EA54AA">
        <w:rPr>
          <w:noProof/>
        </w:rPr>
        <w:t>Foote, M., J. S. Crampton, A. G. Beu, B. A. Marshall, R. A. Cooper, P. A. Maxwell, and I. Matcham</w:t>
      </w:r>
      <w:r>
        <w:rPr>
          <w:noProof/>
        </w:rPr>
        <w:t xml:space="preserve">. </w:t>
      </w:r>
      <w:r w:rsidRPr="00EA54AA">
        <w:rPr>
          <w:noProof/>
        </w:rPr>
        <w:t>2007</w:t>
      </w:r>
      <w:r>
        <w:rPr>
          <w:noProof/>
        </w:rPr>
        <w:t xml:space="preserve">. </w:t>
      </w:r>
      <w:r w:rsidRPr="00EA54AA">
        <w:rPr>
          <w:noProof/>
        </w:rPr>
        <w:t xml:space="preserve">Rise and </w:t>
      </w:r>
      <w:r w:rsidR="0012296F" w:rsidRPr="00EA54AA">
        <w:rPr>
          <w:noProof/>
        </w:rPr>
        <w:t>fall of species occupancy</w:t>
      </w:r>
      <w:r w:rsidRPr="00EA54AA">
        <w:rPr>
          <w:noProof/>
        </w:rPr>
        <w:t xml:space="preserve"> in Cenozoic </w:t>
      </w:r>
      <w:r w:rsidR="0012296F" w:rsidRPr="00EA54AA">
        <w:rPr>
          <w:noProof/>
        </w:rPr>
        <w:t>fossil mollusks</w:t>
      </w:r>
      <w:r>
        <w:rPr>
          <w:noProof/>
        </w:rPr>
        <w:t xml:space="preserve">. </w:t>
      </w:r>
      <w:r w:rsidRPr="00EA54AA">
        <w:rPr>
          <w:noProof/>
        </w:rPr>
        <w:t>Science 318:1131</w:t>
      </w:r>
      <w:r>
        <w:rPr>
          <w:noProof/>
        </w:rPr>
        <w:t>–</w:t>
      </w:r>
      <w:r w:rsidRPr="00EA54AA">
        <w:rPr>
          <w:noProof/>
        </w:rPr>
        <w:t>1134.</w:t>
      </w:r>
    </w:p>
    <w:p w14:paraId="2FB7C914" w14:textId="7E410CDA" w:rsidR="00FF187D" w:rsidRPr="00EA54AA" w:rsidRDefault="00FF187D" w:rsidP="00FF187D">
      <w:pPr>
        <w:pStyle w:val="EndNoteBibliography"/>
        <w:ind w:left="360" w:hanging="360"/>
        <w:rPr>
          <w:noProof/>
        </w:rPr>
      </w:pPr>
      <w:r w:rsidRPr="00EA54AA">
        <w:rPr>
          <w:noProof/>
        </w:rPr>
        <w:lastRenderedPageBreak/>
        <w:t>Foote, M., K. A. Ritterbush, and A. I. Miller</w:t>
      </w:r>
      <w:r>
        <w:rPr>
          <w:noProof/>
        </w:rPr>
        <w:t xml:space="preserve">. </w:t>
      </w:r>
      <w:r w:rsidRPr="00EA54AA">
        <w:rPr>
          <w:noProof/>
        </w:rPr>
        <w:t>2016</w:t>
      </w:r>
      <w:r>
        <w:rPr>
          <w:noProof/>
        </w:rPr>
        <w:t xml:space="preserve">. </w:t>
      </w:r>
      <w:r w:rsidRPr="00EA54AA">
        <w:rPr>
          <w:noProof/>
        </w:rPr>
        <w:t>Geographic ranges of genera and their constituent species: structure, evolutionary dynamics, and extinction resistance</w:t>
      </w:r>
      <w:r>
        <w:rPr>
          <w:noProof/>
        </w:rPr>
        <w:t xml:space="preserve">. </w:t>
      </w:r>
      <w:r w:rsidRPr="00EA54AA">
        <w:rPr>
          <w:noProof/>
        </w:rPr>
        <w:t>Paleobiology 42:269</w:t>
      </w:r>
      <w:r>
        <w:rPr>
          <w:noProof/>
        </w:rPr>
        <w:t>–</w:t>
      </w:r>
      <w:r w:rsidRPr="00EA54AA">
        <w:rPr>
          <w:noProof/>
        </w:rPr>
        <w:t>288.</w:t>
      </w:r>
    </w:p>
    <w:p w14:paraId="38A9D2A4" w14:textId="4B14189B" w:rsidR="00FF187D" w:rsidRPr="00EA54AA" w:rsidRDefault="00FF187D" w:rsidP="00FF187D">
      <w:pPr>
        <w:pStyle w:val="EndNoteBibliography"/>
        <w:ind w:left="360" w:hanging="360"/>
        <w:rPr>
          <w:noProof/>
        </w:rPr>
      </w:pPr>
      <w:r w:rsidRPr="00EA54AA">
        <w:rPr>
          <w:noProof/>
        </w:rPr>
        <w:t>Gardner, J. R</w:t>
      </w:r>
      <w:r>
        <w:rPr>
          <w:noProof/>
        </w:rPr>
        <w:t xml:space="preserve">. </w:t>
      </w:r>
      <w:r w:rsidRPr="00EA54AA">
        <w:rPr>
          <w:noProof/>
        </w:rPr>
        <w:t>1947</w:t>
      </w:r>
      <w:r>
        <w:rPr>
          <w:noProof/>
        </w:rPr>
        <w:t xml:space="preserve">. </w:t>
      </w:r>
      <w:r w:rsidRPr="00EA54AA">
        <w:rPr>
          <w:noProof/>
        </w:rPr>
        <w:t xml:space="preserve">The </w:t>
      </w:r>
      <w:r w:rsidR="0012296F" w:rsidRPr="00EA54AA">
        <w:rPr>
          <w:noProof/>
        </w:rPr>
        <w:t>molluscan fauna</w:t>
      </w:r>
      <w:r w:rsidRPr="00EA54AA">
        <w:rPr>
          <w:noProof/>
        </w:rPr>
        <w:t xml:space="preserve"> of the Alum Bluff Group of Florida</w:t>
      </w:r>
      <w:r>
        <w:rPr>
          <w:noProof/>
        </w:rPr>
        <w:t xml:space="preserve">. </w:t>
      </w:r>
      <w:r w:rsidRPr="00EA54AA">
        <w:rPr>
          <w:noProof/>
        </w:rPr>
        <w:t>United States Geological Survey Professional Paper 1</w:t>
      </w:r>
      <w:r>
        <w:rPr>
          <w:noProof/>
        </w:rPr>
        <w:t>–</w:t>
      </w:r>
      <w:r w:rsidRPr="00EA54AA">
        <w:rPr>
          <w:noProof/>
        </w:rPr>
        <w:t>709.</w:t>
      </w:r>
    </w:p>
    <w:p w14:paraId="6602B744" w14:textId="7DE13967" w:rsidR="00FF187D" w:rsidRPr="00EA54AA" w:rsidRDefault="00FF187D" w:rsidP="00FF187D">
      <w:pPr>
        <w:pStyle w:val="EndNoteBibliography"/>
        <w:ind w:left="360" w:hanging="360"/>
        <w:rPr>
          <w:noProof/>
        </w:rPr>
      </w:pPr>
      <w:r w:rsidRPr="00EA54AA">
        <w:rPr>
          <w:noProof/>
        </w:rPr>
        <w:t>Gaston, K. J</w:t>
      </w:r>
      <w:r>
        <w:rPr>
          <w:noProof/>
        </w:rPr>
        <w:t xml:space="preserve">. </w:t>
      </w:r>
      <w:r w:rsidRPr="00EA54AA">
        <w:rPr>
          <w:noProof/>
        </w:rPr>
        <w:t>2010</w:t>
      </w:r>
      <w:r>
        <w:rPr>
          <w:noProof/>
        </w:rPr>
        <w:t xml:space="preserve">. </w:t>
      </w:r>
      <w:r w:rsidRPr="00EA54AA">
        <w:rPr>
          <w:noProof/>
        </w:rPr>
        <w:t>Valuing common species</w:t>
      </w:r>
      <w:r>
        <w:rPr>
          <w:noProof/>
        </w:rPr>
        <w:t xml:space="preserve">. </w:t>
      </w:r>
      <w:r w:rsidRPr="00EA54AA">
        <w:rPr>
          <w:noProof/>
        </w:rPr>
        <w:t>Science 327:154</w:t>
      </w:r>
      <w:r>
        <w:rPr>
          <w:noProof/>
        </w:rPr>
        <w:t>–</w:t>
      </w:r>
      <w:r w:rsidRPr="00EA54AA">
        <w:rPr>
          <w:noProof/>
        </w:rPr>
        <w:t>155.</w:t>
      </w:r>
    </w:p>
    <w:p w14:paraId="113D95CE" w14:textId="11DF44AB" w:rsidR="00FF187D" w:rsidRPr="00EA54AA" w:rsidRDefault="00FF187D" w:rsidP="00FF187D">
      <w:pPr>
        <w:pStyle w:val="EndNoteBibliography"/>
        <w:ind w:left="360" w:hanging="360"/>
        <w:rPr>
          <w:noProof/>
        </w:rPr>
      </w:pPr>
      <w:r w:rsidRPr="00EA54AA">
        <w:rPr>
          <w:noProof/>
        </w:rPr>
        <w:t>Gitton, J. L., P. Lozouet, and M. Ph</w:t>
      </w:r>
      <w:r>
        <w:rPr>
          <w:noProof/>
        </w:rPr>
        <w:t xml:space="preserve">. </w:t>
      </w:r>
      <w:r w:rsidRPr="00EA54AA">
        <w:rPr>
          <w:noProof/>
        </w:rPr>
        <w:t>1986</w:t>
      </w:r>
      <w:r>
        <w:rPr>
          <w:noProof/>
        </w:rPr>
        <w:t xml:space="preserve">. </w:t>
      </w:r>
      <w:r w:rsidRPr="00EA54AA">
        <w:rPr>
          <w:noProof/>
        </w:rPr>
        <w:t>Biostratigraphie et paleoecologie des gisements types du Stampian de la region d'Etampes (Essonne)</w:t>
      </w:r>
      <w:r>
        <w:rPr>
          <w:noProof/>
        </w:rPr>
        <w:t xml:space="preserve">. </w:t>
      </w:r>
      <w:r w:rsidRPr="00EA54AA">
        <w:rPr>
          <w:noProof/>
        </w:rPr>
        <w:t>Geologie de la France 3</w:t>
      </w:r>
      <w:r>
        <w:rPr>
          <w:noProof/>
        </w:rPr>
        <w:t>–</w:t>
      </w:r>
      <w:r w:rsidRPr="00EA54AA">
        <w:rPr>
          <w:noProof/>
        </w:rPr>
        <w:t>101.</w:t>
      </w:r>
    </w:p>
    <w:p w14:paraId="02A8BB1C" w14:textId="1F02EE9A" w:rsidR="00FF187D" w:rsidRPr="00EA54AA" w:rsidRDefault="00FF187D" w:rsidP="00FF187D">
      <w:pPr>
        <w:pStyle w:val="EndNoteBibliography"/>
        <w:ind w:left="360" w:hanging="360"/>
        <w:rPr>
          <w:noProof/>
        </w:rPr>
      </w:pPr>
      <w:r w:rsidRPr="00EA54AA">
        <w:rPr>
          <w:noProof/>
        </w:rPr>
        <w:t>Gould, S. J</w:t>
      </w:r>
      <w:r>
        <w:rPr>
          <w:noProof/>
        </w:rPr>
        <w:t xml:space="preserve">. </w:t>
      </w:r>
      <w:r w:rsidRPr="00EA54AA">
        <w:rPr>
          <w:noProof/>
        </w:rPr>
        <w:t>1989</w:t>
      </w:r>
      <w:r>
        <w:rPr>
          <w:noProof/>
        </w:rPr>
        <w:t xml:space="preserve">. </w:t>
      </w:r>
      <w:r w:rsidRPr="00EA54AA">
        <w:rPr>
          <w:noProof/>
        </w:rPr>
        <w:t>Wonderful life</w:t>
      </w:r>
      <w:r>
        <w:rPr>
          <w:noProof/>
        </w:rPr>
        <w:t xml:space="preserve">. </w:t>
      </w:r>
      <w:r w:rsidRPr="00EA54AA">
        <w:rPr>
          <w:noProof/>
        </w:rPr>
        <w:t>W.W. Norton and Co., New York</w:t>
      </w:r>
      <w:r>
        <w:rPr>
          <w:noProof/>
        </w:rPr>
        <w:t xml:space="preserve">. </w:t>
      </w:r>
    </w:p>
    <w:p w14:paraId="1E1EC849" w14:textId="3BF26A7E" w:rsidR="00FF187D" w:rsidRPr="00EA54AA" w:rsidRDefault="00FF187D" w:rsidP="00FF187D">
      <w:pPr>
        <w:pStyle w:val="EndNoteBibliography"/>
        <w:ind w:left="360" w:hanging="360"/>
        <w:rPr>
          <w:noProof/>
        </w:rPr>
      </w:pPr>
      <w:r w:rsidRPr="00EA54AA">
        <w:rPr>
          <w:noProof/>
        </w:rPr>
        <w:t>Gould, S. J., N. L. Gilinsky, and R. Z. German</w:t>
      </w:r>
      <w:r>
        <w:rPr>
          <w:noProof/>
        </w:rPr>
        <w:t xml:space="preserve">. </w:t>
      </w:r>
      <w:r w:rsidRPr="00EA54AA">
        <w:rPr>
          <w:noProof/>
        </w:rPr>
        <w:t>1987</w:t>
      </w:r>
      <w:r>
        <w:rPr>
          <w:noProof/>
        </w:rPr>
        <w:t xml:space="preserve">. </w:t>
      </w:r>
      <w:r w:rsidRPr="00EA54AA">
        <w:rPr>
          <w:noProof/>
        </w:rPr>
        <w:t>Asymmetry of lineages and the direction of evolutionary time</w:t>
      </w:r>
      <w:r>
        <w:rPr>
          <w:noProof/>
        </w:rPr>
        <w:t xml:space="preserve">. </w:t>
      </w:r>
      <w:r w:rsidRPr="00EA54AA">
        <w:rPr>
          <w:noProof/>
        </w:rPr>
        <w:t>Science 236:1437</w:t>
      </w:r>
      <w:r>
        <w:rPr>
          <w:noProof/>
        </w:rPr>
        <w:t>–</w:t>
      </w:r>
      <w:r w:rsidRPr="00EA54AA">
        <w:rPr>
          <w:noProof/>
        </w:rPr>
        <w:t>1441.</w:t>
      </w:r>
    </w:p>
    <w:p w14:paraId="1DF66B52" w14:textId="26308B71" w:rsidR="00FF187D" w:rsidRPr="00EA54AA" w:rsidRDefault="00FF187D" w:rsidP="00FF187D">
      <w:pPr>
        <w:pStyle w:val="EndNoteBibliography"/>
        <w:ind w:left="360" w:hanging="360"/>
        <w:rPr>
          <w:noProof/>
        </w:rPr>
      </w:pPr>
      <w:r w:rsidRPr="00EA54AA">
        <w:rPr>
          <w:noProof/>
        </w:rPr>
        <w:t>Hannisdal, B., K. A. Haaga, T. Reitan, D. Diego, and L. H. Liow</w:t>
      </w:r>
      <w:r>
        <w:rPr>
          <w:noProof/>
        </w:rPr>
        <w:t xml:space="preserve">. </w:t>
      </w:r>
      <w:r w:rsidRPr="00EA54AA">
        <w:rPr>
          <w:noProof/>
        </w:rPr>
        <w:t>2017</w:t>
      </w:r>
      <w:r>
        <w:rPr>
          <w:noProof/>
        </w:rPr>
        <w:t xml:space="preserve">. </w:t>
      </w:r>
      <w:r w:rsidRPr="00EA54AA">
        <w:rPr>
          <w:noProof/>
        </w:rPr>
        <w:t>Common species link global ecosystems to climate change: dynamical evidence in the planktonic fossil record</w:t>
      </w:r>
      <w:r>
        <w:rPr>
          <w:noProof/>
        </w:rPr>
        <w:t xml:space="preserve">. </w:t>
      </w:r>
      <w:r w:rsidRPr="00EA54AA">
        <w:rPr>
          <w:noProof/>
        </w:rPr>
        <w:t>Proceedings of the Royal Society B: Biological Sciences 284:</w:t>
      </w:r>
    </w:p>
    <w:p w14:paraId="117FE842" w14:textId="67AC11D8" w:rsidR="00FF187D" w:rsidRPr="00EA54AA" w:rsidRDefault="00FF187D" w:rsidP="00FF187D">
      <w:pPr>
        <w:pStyle w:val="EndNoteBibliography"/>
        <w:ind w:left="360" w:hanging="360"/>
        <w:rPr>
          <w:noProof/>
        </w:rPr>
      </w:pPr>
      <w:r w:rsidRPr="00EA54AA">
        <w:rPr>
          <w:noProof/>
        </w:rPr>
        <w:t>Harnik, P. G., H. K. Lotze, S. C. Anderson, Z. V. Finkel, S. Finnegan, D. R. Lindberg, L. H. Liow, R. Lockwood, C. R. McClain, J. L. McGuire, A. O’Dea, J. M. Pandolfi, C. Simpson, and D. P. Tittensor</w:t>
      </w:r>
      <w:r>
        <w:rPr>
          <w:noProof/>
        </w:rPr>
        <w:t xml:space="preserve">. </w:t>
      </w:r>
      <w:r w:rsidRPr="00EA54AA">
        <w:rPr>
          <w:noProof/>
        </w:rPr>
        <w:t>2012</w:t>
      </w:r>
      <w:r>
        <w:rPr>
          <w:noProof/>
        </w:rPr>
        <w:t xml:space="preserve">. </w:t>
      </w:r>
      <w:r w:rsidRPr="00EA54AA">
        <w:rPr>
          <w:noProof/>
        </w:rPr>
        <w:t>Extinctions in ancient and modern seas</w:t>
      </w:r>
      <w:r>
        <w:rPr>
          <w:noProof/>
        </w:rPr>
        <w:t xml:space="preserve">. </w:t>
      </w:r>
      <w:r w:rsidRPr="00EA54AA">
        <w:rPr>
          <w:noProof/>
        </w:rPr>
        <w:t>Trends in Ecology &amp; Evolution 27:608</w:t>
      </w:r>
      <w:r>
        <w:rPr>
          <w:noProof/>
        </w:rPr>
        <w:t>–</w:t>
      </w:r>
      <w:r w:rsidRPr="00EA54AA">
        <w:rPr>
          <w:noProof/>
        </w:rPr>
        <w:t>617.</w:t>
      </w:r>
    </w:p>
    <w:p w14:paraId="72FDD9AE" w14:textId="529B49E8" w:rsidR="00FF187D" w:rsidRPr="00EA54AA" w:rsidRDefault="00FF187D" w:rsidP="00FF187D">
      <w:pPr>
        <w:pStyle w:val="EndNoteBibliography"/>
        <w:ind w:left="360" w:hanging="360"/>
        <w:rPr>
          <w:noProof/>
        </w:rPr>
      </w:pPr>
      <w:r w:rsidRPr="00EA54AA">
        <w:rPr>
          <w:noProof/>
        </w:rPr>
        <w:t>Hendricks, J. R., E. E. Saupe, C. E. Myers, E. J. Hermsen, and W. D. Allmon</w:t>
      </w:r>
      <w:r>
        <w:rPr>
          <w:noProof/>
        </w:rPr>
        <w:t xml:space="preserve">. </w:t>
      </w:r>
      <w:r w:rsidRPr="00EA54AA">
        <w:rPr>
          <w:noProof/>
        </w:rPr>
        <w:t>2014</w:t>
      </w:r>
      <w:r>
        <w:rPr>
          <w:noProof/>
        </w:rPr>
        <w:t xml:space="preserve">. </w:t>
      </w:r>
      <w:r w:rsidRPr="00EA54AA">
        <w:rPr>
          <w:noProof/>
        </w:rPr>
        <w:t>The generification of the fossil Record</w:t>
      </w:r>
      <w:r>
        <w:rPr>
          <w:noProof/>
        </w:rPr>
        <w:t xml:space="preserve">. </w:t>
      </w:r>
      <w:r w:rsidRPr="00EA54AA">
        <w:rPr>
          <w:noProof/>
        </w:rPr>
        <w:t>Paleobiology 40:511</w:t>
      </w:r>
      <w:r>
        <w:rPr>
          <w:noProof/>
        </w:rPr>
        <w:t>–</w:t>
      </w:r>
      <w:r w:rsidRPr="00EA54AA">
        <w:rPr>
          <w:noProof/>
        </w:rPr>
        <w:t>528.</w:t>
      </w:r>
    </w:p>
    <w:p w14:paraId="0F94E0C6" w14:textId="07E1E890" w:rsidR="00FF187D" w:rsidRPr="00EA54AA" w:rsidRDefault="00FF187D" w:rsidP="00FF187D">
      <w:pPr>
        <w:pStyle w:val="EndNoteBibliography"/>
        <w:ind w:left="360" w:hanging="360"/>
        <w:rPr>
          <w:noProof/>
        </w:rPr>
      </w:pPr>
      <w:r w:rsidRPr="00EA54AA">
        <w:rPr>
          <w:noProof/>
        </w:rPr>
        <w:t>Holland, S. M., and M. E. Patzkowsky</w:t>
      </w:r>
      <w:r>
        <w:rPr>
          <w:noProof/>
        </w:rPr>
        <w:t xml:space="preserve">. </w:t>
      </w:r>
      <w:r w:rsidRPr="00EA54AA">
        <w:rPr>
          <w:noProof/>
        </w:rPr>
        <w:t>2007</w:t>
      </w:r>
      <w:r>
        <w:rPr>
          <w:noProof/>
        </w:rPr>
        <w:t xml:space="preserve">. </w:t>
      </w:r>
      <w:r w:rsidRPr="00EA54AA">
        <w:rPr>
          <w:noProof/>
        </w:rPr>
        <w:t>Gradient ecology of a biotic invasion: biofacies of the type Cincinnatian Series (Upper Ordovician), Cincinnati, Ohio region, USA</w:t>
      </w:r>
      <w:r>
        <w:rPr>
          <w:noProof/>
        </w:rPr>
        <w:t xml:space="preserve">. </w:t>
      </w:r>
      <w:r w:rsidRPr="00EA54AA">
        <w:rPr>
          <w:noProof/>
        </w:rPr>
        <w:t>Palaios 22:408</w:t>
      </w:r>
      <w:r>
        <w:rPr>
          <w:noProof/>
        </w:rPr>
        <w:t>–</w:t>
      </w:r>
      <w:r w:rsidRPr="00EA54AA">
        <w:rPr>
          <w:noProof/>
        </w:rPr>
        <w:t>423.</w:t>
      </w:r>
    </w:p>
    <w:p w14:paraId="5D7FC972" w14:textId="4D071605" w:rsidR="00FF187D" w:rsidRPr="00EA54AA" w:rsidRDefault="00FF187D" w:rsidP="00FF187D">
      <w:pPr>
        <w:pStyle w:val="EndNoteBibliography"/>
        <w:ind w:left="360" w:hanging="360"/>
        <w:rPr>
          <w:noProof/>
        </w:rPr>
      </w:pPr>
      <w:r w:rsidRPr="00EA54AA">
        <w:rPr>
          <w:noProof/>
        </w:rPr>
        <w:lastRenderedPageBreak/>
        <w:t>Hubbell, S. P</w:t>
      </w:r>
      <w:r>
        <w:rPr>
          <w:noProof/>
        </w:rPr>
        <w:t xml:space="preserve">. </w:t>
      </w:r>
      <w:r w:rsidRPr="00EA54AA">
        <w:rPr>
          <w:noProof/>
        </w:rPr>
        <w:t>1997</w:t>
      </w:r>
      <w:r>
        <w:rPr>
          <w:noProof/>
        </w:rPr>
        <w:t xml:space="preserve">. </w:t>
      </w:r>
      <w:r w:rsidRPr="00EA54AA">
        <w:rPr>
          <w:noProof/>
        </w:rPr>
        <w:t>A unified theory of biogeography and relative species abundance and its application to tropical rain forests and coral reefs</w:t>
      </w:r>
      <w:r>
        <w:rPr>
          <w:noProof/>
        </w:rPr>
        <w:t xml:space="preserve">. </w:t>
      </w:r>
      <w:r w:rsidRPr="00EA54AA">
        <w:rPr>
          <w:noProof/>
        </w:rPr>
        <w:t>Coral Reefs 16 Supplemental:S9</w:t>
      </w:r>
      <w:r>
        <w:rPr>
          <w:noProof/>
        </w:rPr>
        <w:t>–</w:t>
      </w:r>
      <w:r w:rsidRPr="00EA54AA">
        <w:rPr>
          <w:noProof/>
        </w:rPr>
        <w:t>S21.</w:t>
      </w:r>
    </w:p>
    <w:p w14:paraId="0A5FF921" w14:textId="3D8DD02B" w:rsidR="00FF187D" w:rsidRPr="00EA54AA" w:rsidRDefault="00FF187D" w:rsidP="00FF187D">
      <w:pPr>
        <w:pStyle w:val="EndNoteBibliography"/>
        <w:ind w:left="360" w:hanging="360"/>
        <w:rPr>
          <w:noProof/>
        </w:rPr>
      </w:pPr>
      <w:r w:rsidRPr="00EA54AA">
        <w:rPr>
          <w:noProof/>
        </w:rPr>
        <w:t>Hughes, M., S. Gerber, and M. A. Wills</w:t>
      </w:r>
      <w:r>
        <w:rPr>
          <w:noProof/>
        </w:rPr>
        <w:t xml:space="preserve">. </w:t>
      </w:r>
      <w:r w:rsidRPr="00EA54AA">
        <w:rPr>
          <w:noProof/>
        </w:rPr>
        <w:t>2013</w:t>
      </w:r>
      <w:r>
        <w:rPr>
          <w:noProof/>
        </w:rPr>
        <w:t xml:space="preserve">. </w:t>
      </w:r>
      <w:r w:rsidRPr="00EA54AA">
        <w:rPr>
          <w:noProof/>
        </w:rPr>
        <w:t>Clades reach highest morphological disparity early in their evolution</w:t>
      </w:r>
      <w:r>
        <w:rPr>
          <w:noProof/>
        </w:rPr>
        <w:t xml:space="preserve">. </w:t>
      </w:r>
      <w:r w:rsidRPr="00EA54AA">
        <w:rPr>
          <w:noProof/>
        </w:rPr>
        <w:t>Proceedings of the National Academy of Sciences 110:13875</w:t>
      </w:r>
      <w:r>
        <w:rPr>
          <w:noProof/>
        </w:rPr>
        <w:t>–</w:t>
      </w:r>
      <w:r w:rsidRPr="00EA54AA">
        <w:rPr>
          <w:noProof/>
        </w:rPr>
        <w:t>13879.</w:t>
      </w:r>
    </w:p>
    <w:p w14:paraId="1EE50AE2" w14:textId="0350C4E2" w:rsidR="00FF187D" w:rsidRPr="00EA54AA" w:rsidRDefault="00FF187D" w:rsidP="00FF187D">
      <w:pPr>
        <w:pStyle w:val="EndNoteBibliography"/>
        <w:ind w:left="360" w:hanging="360"/>
        <w:rPr>
          <w:noProof/>
        </w:rPr>
      </w:pPr>
      <w:r w:rsidRPr="00EA54AA">
        <w:rPr>
          <w:noProof/>
        </w:rPr>
        <w:t>Hull, P. M., S. A. F. Darroch, and D. H. Erwin</w:t>
      </w:r>
      <w:r>
        <w:rPr>
          <w:noProof/>
        </w:rPr>
        <w:t xml:space="preserve">. </w:t>
      </w:r>
      <w:r w:rsidRPr="00EA54AA">
        <w:rPr>
          <w:noProof/>
        </w:rPr>
        <w:t>2015</w:t>
      </w:r>
      <w:r>
        <w:rPr>
          <w:noProof/>
        </w:rPr>
        <w:t xml:space="preserve">. </w:t>
      </w:r>
      <w:r w:rsidRPr="00EA54AA">
        <w:rPr>
          <w:noProof/>
        </w:rPr>
        <w:t>Rarity in mass extinctions and the future of ecosystems</w:t>
      </w:r>
      <w:r>
        <w:rPr>
          <w:noProof/>
        </w:rPr>
        <w:t xml:space="preserve">. </w:t>
      </w:r>
      <w:r w:rsidRPr="00EA54AA">
        <w:rPr>
          <w:noProof/>
        </w:rPr>
        <w:t>Nature 528:345</w:t>
      </w:r>
      <w:r>
        <w:rPr>
          <w:noProof/>
        </w:rPr>
        <w:t>–</w:t>
      </w:r>
      <w:r w:rsidRPr="00EA54AA">
        <w:rPr>
          <w:noProof/>
        </w:rPr>
        <w:t>351.</w:t>
      </w:r>
    </w:p>
    <w:p w14:paraId="53DF33CD" w14:textId="16C5753C" w:rsidR="00FF187D" w:rsidRPr="00EA54AA" w:rsidRDefault="00FF187D" w:rsidP="00FF187D">
      <w:pPr>
        <w:pStyle w:val="EndNoteBibliography"/>
        <w:ind w:left="360" w:hanging="360"/>
        <w:rPr>
          <w:noProof/>
        </w:rPr>
      </w:pPr>
      <w:r w:rsidRPr="00EA54AA">
        <w:rPr>
          <w:noProof/>
        </w:rPr>
        <w:t>Jablonski, D</w:t>
      </w:r>
      <w:r>
        <w:rPr>
          <w:noProof/>
        </w:rPr>
        <w:t xml:space="preserve">. </w:t>
      </w:r>
      <w:r w:rsidRPr="00EA54AA">
        <w:rPr>
          <w:noProof/>
        </w:rPr>
        <w:t>2005</w:t>
      </w:r>
      <w:r>
        <w:rPr>
          <w:noProof/>
        </w:rPr>
        <w:t xml:space="preserve">. </w:t>
      </w:r>
      <w:r w:rsidRPr="00EA54AA">
        <w:rPr>
          <w:noProof/>
        </w:rPr>
        <w:t>Mass extinctions and macroevolution</w:t>
      </w:r>
      <w:r>
        <w:rPr>
          <w:noProof/>
        </w:rPr>
        <w:t xml:space="preserve">. </w:t>
      </w:r>
      <w:r w:rsidRPr="00EA54AA">
        <w:rPr>
          <w:noProof/>
        </w:rPr>
        <w:t>Pp. 192</w:t>
      </w:r>
      <w:r>
        <w:rPr>
          <w:noProof/>
        </w:rPr>
        <w:t>–</w:t>
      </w:r>
      <w:r w:rsidRPr="00EA54AA">
        <w:rPr>
          <w:noProof/>
        </w:rPr>
        <w:t xml:space="preserve">210 </w:t>
      </w:r>
      <w:r w:rsidRPr="00EA54AA">
        <w:rPr>
          <w:noProof/>
          <w:u w:val="single"/>
        </w:rPr>
        <w:t>in</w:t>
      </w:r>
      <w:r w:rsidRPr="00EA54AA">
        <w:rPr>
          <w:noProof/>
        </w:rPr>
        <w:t xml:space="preserve"> E. S. Vrba and N. Eldredge, eds. Paleobiology Memoir 31</w:t>
      </w:r>
      <w:r>
        <w:rPr>
          <w:noProof/>
        </w:rPr>
        <w:t xml:space="preserve">. </w:t>
      </w:r>
    </w:p>
    <w:p w14:paraId="34D3260D" w14:textId="21A7CB10" w:rsidR="00FF187D" w:rsidRPr="00EA54AA" w:rsidRDefault="00FF187D" w:rsidP="00FF187D">
      <w:pPr>
        <w:pStyle w:val="EndNoteBibliography"/>
        <w:ind w:left="360" w:hanging="360"/>
        <w:rPr>
          <w:noProof/>
        </w:rPr>
      </w:pPr>
      <w:r w:rsidRPr="00EA54AA">
        <w:rPr>
          <w:noProof/>
        </w:rPr>
        <w:t>Jablonski, D., and D. M. Raup</w:t>
      </w:r>
      <w:r>
        <w:rPr>
          <w:noProof/>
        </w:rPr>
        <w:t xml:space="preserve">. </w:t>
      </w:r>
      <w:r w:rsidRPr="00EA54AA">
        <w:rPr>
          <w:noProof/>
        </w:rPr>
        <w:t>1995</w:t>
      </w:r>
      <w:r>
        <w:rPr>
          <w:noProof/>
        </w:rPr>
        <w:t xml:space="preserve">. </w:t>
      </w:r>
      <w:r w:rsidRPr="00EA54AA">
        <w:rPr>
          <w:noProof/>
        </w:rPr>
        <w:t>Selectivity of end</w:t>
      </w:r>
      <w:r>
        <w:rPr>
          <w:noProof/>
        </w:rPr>
        <w:t>–</w:t>
      </w:r>
      <w:r w:rsidRPr="00EA54AA">
        <w:rPr>
          <w:noProof/>
        </w:rPr>
        <w:t>Cretaceous marine bivalve extinctions</w:t>
      </w:r>
      <w:r>
        <w:rPr>
          <w:noProof/>
        </w:rPr>
        <w:t xml:space="preserve">. </w:t>
      </w:r>
      <w:r w:rsidRPr="00EA54AA">
        <w:rPr>
          <w:noProof/>
        </w:rPr>
        <w:t>Science 268:389</w:t>
      </w:r>
      <w:r>
        <w:rPr>
          <w:noProof/>
        </w:rPr>
        <w:t>–</w:t>
      </w:r>
      <w:r w:rsidRPr="00EA54AA">
        <w:rPr>
          <w:noProof/>
        </w:rPr>
        <w:t>391.</w:t>
      </w:r>
    </w:p>
    <w:p w14:paraId="23678DC0" w14:textId="77C548E3" w:rsidR="00FF187D" w:rsidRPr="00EA54AA" w:rsidRDefault="00FF187D" w:rsidP="00FF187D">
      <w:pPr>
        <w:pStyle w:val="EndNoteBibliography"/>
        <w:ind w:left="360" w:hanging="360"/>
        <w:rPr>
          <w:noProof/>
        </w:rPr>
      </w:pPr>
      <w:r w:rsidRPr="00EA54AA">
        <w:rPr>
          <w:noProof/>
        </w:rPr>
        <w:t>King, R. E</w:t>
      </w:r>
      <w:r>
        <w:rPr>
          <w:noProof/>
        </w:rPr>
        <w:t xml:space="preserve">. </w:t>
      </w:r>
      <w:r w:rsidRPr="00EA54AA">
        <w:rPr>
          <w:noProof/>
        </w:rPr>
        <w:t>1931</w:t>
      </w:r>
      <w:r>
        <w:rPr>
          <w:noProof/>
        </w:rPr>
        <w:t xml:space="preserve">. </w:t>
      </w:r>
      <w:r w:rsidRPr="00EA54AA">
        <w:rPr>
          <w:noProof/>
        </w:rPr>
        <w:t>The Geology of the Glass Mountains, Texas, Part II, Faunal summary and correlation of the Permian formations with description of Brachiopoda</w:t>
      </w:r>
      <w:r>
        <w:rPr>
          <w:noProof/>
        </w:rPr>
        <w:t xml:space="preserve">. </w:t>
      </w:r>
      <w:r w:rsidRPr="00EA54AA">
        <w:rPr>
          <w:noProof/>
        </w:rPr>
        <w:t>The University of Texas Bulletin 3042:1</w:t>
      </w:r>
      <w:r>
        <w:rPr>
          <w:noProof/>
        </w:rPr>
        <w:t>–</w:t>
      </w:r>
      <w:r w:rsidRPr="00EA54AA">
        <w:rPr>
          <w:noProof/>
        </w:rPr>
        <w:t>245.</w:t>
      </w:r>
    </w:p>
    <w:p w14:paraId="56B5CE19" w14:textId="5B56CB18" w:rsidR="00FF187D" w:rsidRPr="00EA54AA" w:rsidRDefault="00FF187D" w:rsidP="00FF187D">
      <w:pPr>
        <w:pStyle w:val="EndNoteBibliography"/>
        <w:ind w:left="360" w:hanging="360"/>
        <w:rPr>
          <w:noProof/>
        </w:rPr>
      </w:pPr>
      <w:r w:rsidRPr="00EA54AA">
        <w:rPr>
          <w:noProof/>
        </w:rPr>
        <w:t>Liow, L. H</w:t>
      </w:r>
      <w:r>
        <w:rPr>
          <w:noProof/>
        </w:rPr>
        <w:t xml:space="preserve">. </w:t>
      </w:r>
      <w:r w:rsidRPr="00EA54AA">
        <w:rPr>
          <w:noProof/>
        </w:rPr>
        <w:t>2007</w:t>
      </w:r>
      <w:r>
        <w:rPr>
          <w:noProof/>
        </w:rPr>
        <w:t xml:space="preserve">. </w:t>
      </w:r>
      <w:r w:rsidRPr="00EA54AA">
        <w:rPr>
          <w:noProof/>
        </w:rPr>
        <w:t>Does versatility as measured by geographic range, bathymetric range and morphological variability contribute to taxon longevity?  Global Ecology and Biogeography 16:117</w:t>
      </w:r>
      <w:r>
        <w:rPr>
          <w:noProof/>
        </w:rPr>
        <w:t>–</w:t>
      </w:r>
      <w:r w:rsidRPr="00EA54AA">
        <w:rPr>
          <w:noProof/>
        </w:rPr>
        <w:t>128.</w:t>
      </w:r>
    </w:p>
    <w:p w14:paraId="17B07CA3" w14:textId="27A8A9D4" w:rsidR="00FF187D" w:rsidRPr="00EA54AA" w:rsidRDefault="00FF187D" w:rsidP="00FF187D">
      <w:pPr>
        <w:pStyle w:val="EndNoteBibliography"/>
        <w:ind w:left="360" w:hanging="360"/>
        <w:rPr>
          <w:noProof/>
        </w:rPr>
      </w:pPr>
      <w:r w:rsidRPr="00EA54AA">
        <w:rPr>
          <w:noProof/>
        </w:rPr>
        <w:t>MacKenzie, D. I., L. L. Bailey, and J. D. Nichols</w:t>
      </w:r>
      <w:r>
        <w:rPr>
          <w:noProof/>
        </w:rPr>
        <w:t xml:space="preserve">. </w:t>
      </w:r>
      <w:r w:rsidRPr="00EA54AA">
        <w:rPr>
          <w:noProof/>
        </w:rPr>
        <w:t>2004</w:t>
      </w:r>
      <w:r>
        <w:rPr>
          <w:noProof/>
        </w:rPr>
        <w:t xml:space="preserve">. </w:t>
      </w:r>
      <w:r w:rsidRPr="00EA54AA">
        <w:rPr>
          <w:noProof/>
        </w:rPr>
        <w:t>Investigating species co</w:t>
      </w:r>
      <w:r>
        <w:rPr>
          <w:noProof/>
        </w:rPr>
        <w:t>–</w:t>
      </w:r>
      <w:r w:rsidRPr="00EA54AA">
        <w:rPr>
          <w:noProof/>
        </w:rPr>
        <w:t>occurrence patterns when species are detected imperfectly</w:t>
      </w:r>
      <w:r>
        <w:rPr>
          <w:noProof/>
        </w:rPr>
        <w:t xml:space="preserve">. </w:t>
      </w:r>
      <w:r w:rsidRPr="00EA54AA">
        <w:rPr>
          <w:noProof/>
        </w:rPr>
        <w:t>Journal of Animal Ecology 73:546</w:t>
      </w:r>
      <w:r>
        <w:rPr>
          <w:noProof/>
        </w:rPr>
        <w:t>–</w:t>
      </w:r>
      <w:r w:rsidRPr="00EA54AA">
        <w:rPr>
          <w:noProof/>
        </w:rPr>
        <w:t>555.</w:t>
      </w:r>
    </w:p>
    <w:p w14:paraId="68AA2DBD" w14:textId="56CCB3F7" w:rsidR="00FF187D" w:rsidRPr="00EA54AA" w:rsidRDefault="00FF187D" w:rsidP="00FF187D">
      <w:pPr>
        <w:pStyle w:val="EndNoteBibliography"/>
        <w:ind w:left="360" w:hanging="360"/>
        <w:rPr>
          <w:noProof/>
        </w:rPr>
      </w:pPr>
      <w:r w:rsidRPr="00EA54AA">
        <w:rPr>
          <w:noProof/>
        </w:rPr>
        <w:t>MacKenzie, D. I., J. D. Nichols, J. E. Hines, M. G. Knutson, and A. B. Franklin</w:t>
      </w:r>
      <w:r>
        <w:rPr>
          <w:noProof/>
        </w:rPr>
        <w:t xml:space="preserve">. </w:t>
      </w:r>
      <w:r w:rsidRPr="00EA54AA">
        <w:rPr>
          <w:noProof/>
        </w:rPr>
        <w:t>2003</w:t>
      </w:r>
      <w:r>
        <w:rPr>
          <w:noProof/>
        </w:rPr>
        <w:t xml:space="preserve">. </w:t>
      </w:r>
      <w:r w:rsidRPr="00EA54AA">
        <w:rPr>
          <w:noProof/>
        </w:rPr>
        <w:t>Estimating site occupancy, colonization and local extinction when a species is detected imperfectly</w:t>
      </w:r>
      <w:r>
        <w:rPr>
          <w:noProof/>
        </w:rPr>
        <w:t xml:space="preserve">. </w:t>
      </w:r>
      <w:r w:rsidRPr="00EA54AA">
        <w:rPr>
          <w:noProof/>
        </w:rPr>
        <w:t>Ecology 84:2200</w:t>
      </w:r>
      <w:r>
        <w:rPr>
          <w:noProof/>
        </w:rPr>
        <w:t>–</w:t>
      </w:r>
      <w:r w:rsidRPr="00EA54AA">
        <w:rPr>
          <w:noProof/>
        </w:rPr>
        <w:t>2207.</w:t>
      </w:r>
    </w:p>
    <w:p w14:paraId="63A99229" w14:textId="39070E87" w:rsidR="00FF187D" w:rsidRPr="00EA54AA" w:rsidRDefault="00FF187D" w:rsidP="00FF187D">
      <w:pPr>
        <w:pStyle w:val="EndNoteBibliography"/>
        <w:ind w:left="360" w:hanging="360"/>
        <w:rPr>
          <w:noProof/>
        </w:rPr>
      </w:pPr>
      <w:r w:rsidRPr="00EA54AA">
        <w:rPr>
          <w:noProof/>
        </w:rPr>
        <w:lastRenderedPageBreak/>
        <w:t>MacKenzie, D. I., J. D. Nichols, G. B. Lachman, S. Droege, J. Andrew Royle, and C. A. Langtimm</w:t>
      </w:r>
      <w:r>
        <w:rPr>
          <w:noProof/>
        </w:rPr>
        <w:t xml:space="preserve">. </w:t>
      </w:r>
      <w:r w:rsidRPr="00EA54AA">
        <w:rPr>
          <w:noProof/>
        </w:rPr>
        <w:t>2002</w:t>
      </w:r>
      <w:r>
        <w:rPr>
          <w:noProof/>
        </w:rPr>
        <w:t xml:space="preserve">. </w:t>
      </w:r>
      <w:r w:rsidRPr="00EA54AA">
        <w:rPr>
          <w:noProof/>
        </w:rPr>
        <w:t>Estimating site occupancy rates when detection probabilities are less than one</w:t>
      </w:r>
      <w:r>
        <w:rPr>
          <w:noProof/>
        </w:rPr>
        <w:t xml:space="preserve">. </w:t>
      </w:r>
      <w:r w:rsidRPr="00EA54AA">
        <w:rPr>
          <w:noProof/>
        </w:rPr>
        <w:t>Ecology 83:2248</w:t>
      </w:r>
      <w:r>
        <w:rPr>
          <w:noProof/>
        </w:rPr>
        <w:t>–</w:t>
      </w:r>
      <w:r w:rsidRPr="00EA54AA">
        <w:rPr>
          <w:noProof/>
        </w:rPr>
        <w:t>2255.</w:t>
      </w:r>
    </w:p>
    <w:p w14:paraId="7B591B50" w14:textId="4C78585E" w:rsidR="00FF187D" w:rsidRPr="00EA54AA" w:rsidRDefault="00FF187D" w:rsidP="00FF187D">
      <w:pPr>
        <w:pStyle w:val="EndNoteBibliography"/>
        <w:ind w:left="360" w:hanging="360"/>
        <w:rPr>
          <w:noProof/>
        </w:rPr>
      </w:pPr>
      <w:r w:rsidRPr="00EA54AA">
        <w:rPr>
          <w:noProof/>
        </w:rPr>
        <w:t>Manivit, J., Y. M. Le Nindre, and D. Vaslet</w:t>
      </w:r>
      <w:r>
        <w:rPr>
          <w:noProof/>
        </w:rPr>
        <w:t xml:space="preserve">. </w:t>
      </w:r>
      <w:r w:rsidRPr="00EA54AA">
        <w:rPr>
          <w:noProof/>
        </w:rPr>
        <w:t>1990</w:t>
      </w:r>
      <w:r>
        <w:rPr>
          <w:noProof/>
        </w:rPr>
        <w:t xml:space="preserve">. </w:t>
      </w:r>
      <w:r w:rsidRPr="00EA54AA">
        <w:rPr>
          <w:noProof/>
        </w:rPr>
        <w:t>Le Jurassique D`Arabie Centrale</w:t>
      </w:r>
      <w:r>
        <w:rPr>
          <w:noProof/>
        </w:rPr>
        <w:t xml:space="preserve">. </w:t>
      </w:r>
      <w:r w:rsidRPr="00EA54AA">
        <w:rPr>
          <w:noProof/>
        </w:rPr>
        <w:t>Document du BRGM 4:25</w:t>
      </w:r>
      <w:r>
        <w:rPr>
          <w:noProof/>
        </w:rPr>
        <w:t>–</w:t>
      </w:r>
      <w:r w:rsidRPr="00EA54AA">
        <w:rPr>
          <w:noProof/>
        </w:rPr>
        <w:t>519.</w:t>
      </w:r>
    </w:p>
    <w:p w14:paraId="2479C5E6" w14:textId="242D1E2D" w:rsidR="00FF187D" w:rsidRPr="00EA54AA" w:rsidRDefault="00FF187D" w:rsidP="00FF187D">
      <w:pPr>
        <w:pStyle w:val="EndNoteBibliography"/>
        <w:ind w:left="360" w:hanging="360"/>
        <w:rPr>
          <w:noProof/>
        </w:rPr>
      </w:pPr>
      <w:r w:rsidRPr="00EA54AA">
        <w:rPr>
          <w:noProof/>
        </w:rPr>
        <w:t>McGhee, G. R., Jr., M. E. Clapham, P. M. Sheehan, D. J. Bottjer, and M. L. Droser</w:t>
      </w:r>
      <w:r>
        <w:rPr>
          <w:noProof/>
        </w:rPr>
        <w:t xml:space="preserve">. </w:t>
      </w:r>
      <w:r w:rsidRPr="00EA54AA">
        <w:rPr>
          <w:noProof/>
        </w:rPr>
        <w:t>2013</w:t>
      </w:r>
      <w:r>
        <w:rPr>
          <w:noProof/>
        </w:rPr>
        <w:t xml:space="preserve">. </w:t>
      </w:r>
      <w:r w:rsidRPr="00EA54AA">
        <w:rPr>
          <w:noProof/>
        </w:rPr>
        <w:t>A new ecological</w:t>
      </w:r>
      <w:r w:rsidR="0012296F">
        <w:rPr>
          <w:noProof/>
        </w:rPr>
        <w:t>-</w:t>
      </w:r>
      <w:r w:rsidRPr="00EA54AA">
        <w:rPr>
          <w:noProof/>
        </w:rPr>
        <w:t>severity ranking of major Phanerozoic biodiversity crises</w:t>
      </w:r>
      <w:r>
        <w:rPr>
          <w:noProof/>
        </w:rPr>
        <w:t xml:space="preserve">. </w:t>
      </w:r>
      <w:r w:rsidRPr="00EA54AA">
        <w:rPr>
          <w:noProof/>
        </w:rPr>
        <w:t>Palaeogeography, Palaeoclimatology, Palaeoecology 370:260</w:t>
      </w:r>
      <w:r>
        <w:rPr>
          <w:noProof/>
        </w:rPr>
        <w:t>–</w:t>
      </w:r>
      <w:r w:rsidRPr="00EA54AA">
        <w:rPr>
          <w:noProof/>
        </w:rPr>
        <w:t>270.</w:t>
      </w:r>
    </w:p>
    <w:p w14:paraId="6EA9C984" w14:textId="28F688D3" w:rsidR="00FF187D" w:rsidRPr="00EA54AA" w:rsidRDefault="00FF187D" w:rsidP="00FF187D">
      <w:pPr>
        <w:pStyle w:val="EndNoteBibliography"/>
        <w:ind w:left="360" w:hanging="360"/>
        <w:rPr>
          <w:noProof/>
        </w:rPr>
      </w:pPr>
      <w:r w:rsidRPr="00EA54AA">
        <w:rPr>
          <w:noProof/>
        </w:rPr>
        <w:t>McGill, B. J</w:t>
      </w:r>
      <w:r>
        <w:rPr>
          <w:noProof/>
        </w:rPr>
        <w:t xml:space="preserve">. </w:t>
      </w:r>
      <w:r w:rsidRPr="00EA54AA">
        <w:rPr>
          <w:noProof/>
        </w:rPr>
        <w:t>2006</w:t>
      </w:r>
      <w:r>
        <w:rPr>
          <w:noProof/>
        </w:rPr>
        <w:t xml:space="preserve">. </w:t>
      </w:r>
      <w:r w:rsidRPr="00EA54AA">
        <w:rPr>
          <w:noProof/>
        </w:rPr>
        <w:t>A renaissance in the study of abundance</w:t>
      </w:r>
      <w:r>
        <w:rPr>
          <w:noProof/>
        </w:rPr>
        <w:t xml:space="preserve">. </w:t>
      </w:r>
      <w:r w:rsidRPr="00EA54AA">
        <w:rPr>
          <w:noProof/>
        </w:rPr>
        <w:t>Science 314:770</w:t>
      </w:r>
      <w:r>
        <w:rPr>
          <w:noProof/>
        </w:rPr>
        <w:t>–</w:t>
      </w:r>
      <w:r w:rsidRPr="00EA54AA">
        <w:rPr>
          <w:noProof/>
        </w:rPr>
        <w:t>772.</w:t>
      </w:r>
    </w:p>
    <w:p w14:paraId="02A4B94E" w14:textId="18DF3A1D" w:rsidR="00FF187D" w:rsidRPr="00EA54AA" w:rsidRDefault="00FF187D" w:rsidP="00FF187D">
      <w:pPr>
        <w:pStyle w:val="EndNoteBibliography"/>
        <w:ind w:left="360" w:hanging="360"/>
        <w:rPr>
          <w:noProof/>
        </w:rPr>
      </w:pPr>
      <w:r w:rsidRPr="00EA54AA">
        <w:rPr>
          <w:noProof/>
        </w:rPr>
        <w:t>Michel, J.</w:t>
      </w:r>
      <w:r>
        <w:rPr>
          <w:noProof/>
        </w:rPr>
        <w:t>–</w:t>
      </w:r>
      <w:r w:rsidRPr="00EA54AA">
        <w:rPr>
          <w:noProof/>
        </w:rPr>
        <w:t>B., Y. K. Shen, A. P. Aiden, A. Veres, M. K. Gray, T. G. B. Team, J. P. Pickett, D. Hoiberg, D. Clancy, P. Norvig, J. Orwant, S. Pinker, M. A. Nowak, and E. L. Aiden</w:t>
      </w:r>
      <w:r>
        <w:rPr>
          <w:noProof/>
        </w:rPr>
        <w:t xml:space="preserve">. </w:t>
      </w:r>
      <w:r w:rsidRPr="00EA54AA">
        <w:rPr>
          <w:noProof/>
        </w:rPr>
        <w:t>2011</w:t>
      </w:r>
      <w:r>
        <w:rPr>
          <w:noProof/>
        </w:rPr>
        <w:t xml:space="preserve">. </w:t>
      </w:r>
      <w:r w:rsidRPr="00EA54AA">
        <w:rPr>
          <w:noProof/>
        </w:rPr>
        <w:t xml:space="preserve">Quantitative </w:t>
      </w:r>
      <w:r w:rsidR="0012296F" w:rsidRPr="00EA54AA">
        <w:rPr>
          <w:noProof/>
        </w:rPr>
        <w:t>analysis of culture using millions of digitized book</w:t>
      </w:r>
      <w:r w:rsidRPr="00EA54AA">
        <w:rPr>
          <w:noProof/>
        </w:rPr>
        <w:t>s</w:t>
      </w:r>
      <w:r>
        <w:rPr>
          <w:noProof/>
        </w:rPr>
        <w:t xml:space="preserve">. </w:t>
      </w:r>
      <w:r w:rsidRPr="00EA54AA">
        <w:rPr>
          <w:noProof/>
        </w:rPr>
        <w:t>Science 331:176</w:t>
      </w:r>
      <w:r>
        <w:rPr>
          <w:noProof/>
        </w:rPr>
        <w:t>–</w:t>
      </w:r>
      <w:r w:rsidRPr="00EA54AA">
        <w:rPr>
          <w:noProof/>
        </w:rPr>
        <w:t>182.</w:t>
      </w:r>
    </w:p>
    <w:p w14:paraId="04658BA1" w14:textId="74316F26" w:rsidR="00FF187D" w:rsidRPr="00EA54AA" w:rsidRDefault="00FF187D" w:rsidP="00FF187D">
      <w:pPr>
        <w:pStyle w:val="EndNoteBibliography"/>
        <w:ind w:left="360" w:hanging="360"/>
        <w:rPr>
          <w:noProof/>
        </w:rPr>
      </w:pPr>
      <w:r w:rsidRPr="00EA54AA">
        <w:rPr>
          <w:noProof/>
        </w:rPr>
        <w:t>Patzkowsky, M. E</w:t>
      </w:r>
      <w:r>
        <w:rPr>
          <w:noProof/>
        </w:rPr>
        <w:t xml:space="preserve">. </w:t>
      </w:r>
      <w:r w:rsidRPr="00EA54AA">
        <w:rPr>
          <w:noProof/>
        </w:rPr>
        <w:t>1995</w:t>
      </w:r>
      <w:r>
        <w:rPr>
          <w:noProof/>
        </w:rPr>
        <w:t xml:space="preserve">. </w:t>
      </w:r>
      <w:r w:rsidRPr="00EA54AA">
        <w:rPr>
          <w:noProof/>
        </w:rPr>
        <w:t>A hierarchical branching model of evolutionary radiations</w:t>
      </w:r>
      <w:r>
        <w:rPr>
          <w:noProof/>
        </w:rPr>
        <w:t xml:space="preserve">. </w:t>
      </w:r>
      <w:r w:rsidRPr="00EA54AA">
        <w:rPr>
          <w:noProof/>
        </w:rPr>
        <w:t>Paleobiology 21:440</w:t>
      </w:r>
      <w:r>
        <w:rPr>
          <w:noProof/>
        </w:rPr>
        <w:t>–</w:t>
      </w:r>
      <w:r w:rsidRPr="00EA54AA">
        <w:rPr>
          <w:noProof/>
        </w:rPr>
        <w:t>460.</w:t>
      </w:r>
    </w:p>
    <w:p w14:paraId="46AA4BFF" w14:textId="559B87AE" w:rsidR="00FF187D" w:rsidRPr="00EA54AA" w:rsidRDefault="00FF187D" w:rsidP="00FF187D">
      <w:pPr>
        <w:pStyle w:val="EndNoteBibliography"/>
        <w:ind w:left="360" w:hanging="360"/>
        <w:rPr>
          <w:noProof/>
        </w:rPr>
      </w:pPr>
      <w:r w:rsidRPr="00EA54AA">
        <w:rPr>
          <w:noProof/>
        </w:rPr>
        <w:t>Plotnick, R. E</w:t>
      </w:r>
      <w:r>
        <w:rPr>
          <w:noProof/>
        </w:rPr>
        <w:t xml:space="preserve">. </w:t>
      </w:r>
      <w:r w:rsidRPr="00EA54AA">
        <w:rPr>
          <w:noProof/>
        </w:rPr>
        <w:t>2017</w:t>
      </w:r>
      <w:r>
        <w:rPr>
          <w:noProof/>
        </w:rPr>
        <w:t xml:space="preserve">. </w:t>
      </w:r>
      <w:r w:rsidRPr="00EA54AA">
        <w:rPr>
          <w:noProof/>
        </w:rPr>
        <w:t>Recurrent hierarchical patterns and the fractal distribution of fossil localities</w:t>
      </w:r>
      <w:r>
        <w:rPr>
          <w:noProof/>
        </w:rPr>
        <w:t xml:space="preserve">. </w:t>
      </w:r>
      <w:r w:rsidRPr="00EA54AA">
        <w:rPr>
          <w:noProof/>
        </w:rPr>
        <w:t>Geology 45:295</w:t>
      </w:r>
      <w:r>
        <w:rPr>
          <w:noProof/>
        </w:rPr>
        <w:t>–</w:t>
      </w:r>
      <w:r w:rsidRPr="00EA54AA">
        <w:rPr>
          <w:noProof/>
        </w:rPr>
        <w:t>298.</w:t>
      </w:r>
    </w:p>
    <w:p w14:paraId="0E32626D" w14:textId="01376743" w:rsidR="00FF187D" w:rsidRPr="00EA54AA" w:rsidRDefault="00FF187D" w:rsidP="00FF187D">
      <w:pPr>
        <w:pStyle w:val="EndNoteBibliography"/>
        <w:ind w:left="360" w:hanging="360"/>
        <w:rPr>
          <w:noProof/>
        </w:rPr>
      </w:pPr>
      <w:r w:rsidRPr="00EA54AA">
        <w:rPr>
          <w:noProof/>
        </w:rPr>
        <w:t>Plotnick, R. E., F. A. Smith, and S. K. Lyons</w:t>
      </w:r>
      <w:r>
        <w:rPr>
          <w:noProof/>
        </w:rPr>
        <w:t xml:space="preserve">. </w:t>
      </w:r>
      <w:r w:rsidRPr="00EA54AA">
        <w:rPr>
          <w:noProof/>
        </w:rPr>
        <w:t>2016</w:t>
      </w:r>
      <w:r>
        <w:rPr>
          <w:noProof/>
        </w:rPr>
        <w:t xml:space="preserve">. </w:t>
      </w:r>
      <w:r w:rsidRPr="00EA54AA">
        <w:rPr>
          <w:noProof/>
        </w:rPr>
        <w:t>The fossil record of the sixth extinction</w:t>
      </w:r>
      <w:r>
        <w:rPr>
          <w:noProof/>
        </w:rPr>
        <w:t xml:space="preserve">. </w:t>
      </w:r>
      <w:r w:rsidRPr="00EA54AA">
        <w:rPr>
          <w:noProof/>
        </w:rPr>
        <w:t>Ecology Letters 19:546</w:t>
      </w:r>
      <w:r>
        <w:rPr>
          <w:noProof/>
        </w:rPr>
        <w:t>–</w:t>
      </w:r>
      <w:r w:rsidRPr="00EA54AA">
        <w:rPr>
          <w:noProof/>
        </w:rPr>
        <w:t>553.</w:t>
      </w:r>
    </w:p>
    <w:p w14:paraId="3DF6B043" w14:textId="41C1F294" w:rsidR="00FF187D" w:rsidRPr="00EA54AA" w:rsidRDefault="00FF187D" w:rsidP="00FF187D">
      <w:pPr>
        <w:pStyle w:val="EndNoteBibliography"/>
        <w:ind w:left="360" w:hanging="360"/>
        <w:rPr>
          <w:noProof/>
        </w:rPr>
      </w:pPr>
      <w:r w:rsidRPr="00EA54AA">
        <w:rPr>
          <w:noProof/>
        </w:rPr>
        <w:t>Plotnick, R. E., and P. J. Wagner</w:t>
      </w:r>
      <w:r>
        <w:rPr>
          <w:noProof/>
        </w:rPr>
        <w:t xml:space="preserve">. </w:t>
      </w:r>
      <w:r w:rsidRPr="00EA54AA">
        <w:rPr>
          <w:noProof/>
        </w:rPr>
        <w:t>2006</w:t>
      </w:r>
      <w:r>
        <w:rPr>
          <w:noProof/>
        </w:rPr>
        <w:t xml:space="preserve">. </w:t>
      </w:r>
      <w:r w:rsidRPr="00EA54AA">
        <w:rPr>
          <w:noProof/>
        </w:rPr>
        <w:t>Round up the usual suspects: common genera in the fossil record and the nature of wastebasket taxa</w:t>
      </w:r>
      <w:r>
        <w:rPr>
          <w:noProof/>
        </w:rPr>
        <w:t xml:space="preserve">. </w:t>
      </w:r>
      <w:r w:rsidRPr="00EA54AA">
        <w:rPr>
          <w:noProof/>
        </w:rPr>
        <w:t>Paleobiology 32:126</w:t>
      </w:r>
      <w:r>
        <w:rPr>
          <w:noProof/>
        </w:rPr>
        <w:t>–</w:t>
      </w:r>
      <w:r w:rsidRPr="00EA54AA">
        <w:rPr>
          <w:noProof/>
        </w:rPr>
        <w:t>146.</w:t>
      </w:r>
    </w:p>
    <w:p w14:paraId="3BD4CAD0" w14:textId="0765C9AB" w:rsidR="00FF187D" w:rsidRPr="00EA54AA" w:rsidRDefault="00FF187D" w:rsidP="00FF187D">
      <w:pPr>
        <w:pStyle w:val="EndNoteBibliography"/>
        <w:ind w:left="360" w:hanging="360"/>
        <w:rPr>
          <w:noProof/>
        </w:rPr>
      </w:pPr>
      <w:r w:rsidRPr="00EA54AA">
        <w:rPr>
          <w:noProof/>
        </w:rPr>
        <w:t>Raup, D. M</w:t>
      </w:r>
      <w:r>
        <w:rPr>
          <w:noProof/>
        </w:rPr>
        <w:t xml:space="preserve">. </w:t>
      </w:r>
      <w:r w:rsidRPr="00EA54AA">
        <w:rPr>
          <w:noProof/>
        </w:rPr>
        <w:t>1972</w:t>
      </w:r>
      <w:r>
        <w:rPr>
          <w:noProof/>
        </w:rPr>
        <w:t xml:space="preserve">. </w:t>
      </w:r>
      <w:r w:rsidRPr="00EA54AA">
        <w:rPr>
          <w:noProof/>
        </w:rPr>
        <w:t>Taxonomic diversity during the Phanerozoic</w:t>
      </w:r>
      <w:r>
        <w:rPr>
          <w:noProof/>
        </w:rPr>
        <w:t xml:space="preserve">. </w:t>
      </w:r>
      <w:r w:rsidRPr="00EA54AA">
        <w:rPr>
          <w:noProof/>
        </w:rPr>
        <w:t>Science 177:1065</w:t>
      </w:r>
      <w:r>
        <w:rPr>
          <w:noProof/>
        </w:rPr>
        <w:t>–</w:t>
      </w:r>
      <w:r w:rsidRPr="00EA54AA">
        <w:rPr>
          <w:noProof/>
        </w:rPr>
        <w:t>1071.</w:t>
      </w:r>
    </w:p>
    <w:p w14:paraId="6D756A8C" w14:textId="7BC2BE91" w:rsidR="00FF187D" w:rsidRPr="00EA54AA" w:rsidRDefault="00FF187D" w:rsidP="00FF187D">
      <w:pPr>
        <w:pStyle w:val="EndNoteBibliography"/>
        <w:ind w:left="360" w:hanging="360"/>
        <w:rPr>
          <w:noProof/>
        </w:rPr>
      </w:pPr>
      <w:r w:rsidRPr="00EA54AA">
        <w:rPr>
          <w:noProof/>
        </w:rPr>
        <w:t>Raup, D. M., and S. J. Gould</w:t>
      </w:r>
      <w:r>
        <w:rPr>
          <w:noProof/>
        </w:rPr>
        <w:t xml:space="preserve">. </w:t>
      </w:r>
      <w:r w:rsidRPr="00EA54AA">
        <w:rPr>
          <w:noProof/>
        </w:rPr>
        <w:t>1974</w:t>
      </w:r>
      <w:r>
        <w:rPr>
          <w:noProof/>
        </w:rPr>
        <w:t xml:space="preserve">. </w:t>
      </w:r>
      <w:r w:rsidRPr="00EA54AA">
        <w:rPr>
          <w:noProof/>
        </w:rPr>
        <w:t>Stochastic simulation and evolution of morphology</w:t>
      </w:r>
      <w:r>
        <w:rPr>
          <w:noProof/>
        </w:rPr>
        <w:t>–</w:t>
      </w:r>
      <w:r w:rsidRPr="00EA54AA">
        <w:rPr>
          <w:noProof/>
        </w:rPr>
        <w:t>towards a nomothetic paleontology</w:t>
      </w:r>
      <w:r>
        <w:rPr>
          <w:noProof/>
        </w:rPr>
        <w:t xml:space="preserve">. </w:t>
      </w:r>
      <w:r w:rsidRPr="00EA54AA">
        <w:rPr>
          <w:noProof/>
        </w:rPr>
        <w:t>Systematic Zoology 23:305</w:t>
      </w:r>
      <w:r>
        <w:rPr>
          <w:noProof/>
        </w:rPr>
        <w:t>–</w:t>
      </w:r>
      <w:r w:rsidRPr="00EA54AA">
        <w:rPr>
          <w:noProof/>
        </w:rPr>
        <w:t>322.</w:t>
      </w:r>
    </w:p>
    <w:p w14:paraId="4C8566A8" w14:textId="51EBB10A" w:rsidR="00FF187D" w:rsidRPr="00EA54AA" w:rsidRDefault="00FF187D" w:rsidP="00FF187D">
      <w:pPr>
        <w:pStyle w:val="EndNoteBibliography"/>
        <w:ind w:left="360" w:hanging="360"/>
        <w:rPr>
          <w:noProof/>
        </w:rPr>
      </w:pPr>
      <w:r w:rsidRPr="00EA54AA">
        <w:rPr>
          <w:noProof/>
        </w:rPr>
        <w:lastRenderedPageBreak/>
        <w:t>Raup, D. M., and J. J. Sepkoski, Jr</w:t>
      </w:r>
      <w:r>
        <w:rPr>
          <w:noProof/>
        </w:rPr>
        <w:t xml:space="preserve">. </w:t>
      </w:r>
      <w:r w:rsidRPr="00EA54AA">
        <w:rPr>
          <w:noProof/>
        </w:rPr>
        <w:t>1982</w:t>
      </w:r>
      <w:r>
        <w:rPr>
          <w:noProof/>
        </w:rPr>
        <w:t xml:space="preserve">. </w:t>
      </w:r>
      <w:r w:rsidRPr="00EA54AA">
        <w:rPr>
          <w:noProof/>
        </w:rPr>
        <w:t>Mass extinctions in the marine fossil record</w:t>
      </w:r>
      <w:r>
        <w:rPr>
          <w:noProof/>
        </w:rPr>
        <w:t xml:space="preserve">. </w:t>
      </w:r>
      <w:r w:rsidRPr="00EA54AA">
        <w:rPr>
          <w:noProof/>
        </w:rPr>
        <w:t>Science 215:1501</w:t>
      </w:r>
      <w:r>
        <w:rPr>
          <w:noProof/>
        </w:rPr>
        <w:t>–</w:t>
      </w:r>
      <w:r w:rsidRPr="00EA54AA">
        <w:rPr>
          <w:noProof/>
        </w:rPr>
        <w:t>1503.</w:t>
      </w:r>
    </w:p>
    <w:p w14:paraId="34C02727" w14:textId="6806E79E" w:rsidR="00FF187D" w:rsidRPr="00EA54AA" w:rsidRDefault="00FF187D" w:rsidP="00FF187D">
      <w:pPr>
        <w:pStyle w:val="EndNoteBibliography"/>
        <w:ind w:left="360" w:hanging="360"/>
        <w:rPr>
          <w:noProof/>
        </w:rPr>
      </w:pPr>
      <w:r w:rsidRPr="00EA54AA">
        <w:rPr>
          <w:noProof/>
        </w:rPr>
        <w:t>Reddin, C. J., J. H. Bothwell, and J. J. Lennon</w:t>
      </w:r>
      <w:r>
        <w:rPr>
          <w:noProof/>
        </w:rPr>
        <w:t xml:space="preserve">. </w:t>
      </w:r>
      <w:r w:rsidRPr="00EA54AA">
        <w:rPr>
          <w:noProof/>
        </w:rPr>
        <w:t>2015</w:t>
      </w:r>
      <w:r>
        <w:rPr>
          <w:noProof/>
        </w:rPr>
        <w:t xml:space="preserve">. </w:t>
      </w:r>
      <w:r w:rsidRPr="00EA54AA">
        <w:rPr>
          <w:noProof/>
        </w:rPr>
        <w:t>Between</w:t>
      </w:r>
      <w:r w:rsidR="0012296F">
        <w:rPr>
          <w:noProof/>
        </w:rPr>
        <w:t>-</w:t>
      </w:r>
      <w:r w:rsidRPr="00EA54AA">
        <w:rPr>
          <w:noProof/>
        </w:rPr>
        <w:t>taxon matching of common and rare species richness patterns</w:t>
      </w:r>
      <w:r>
        <w:rPr>
          <w:noProof/>
        </w:rPr>
        <w:t xml:space="preserve">. </w:t>
      </w:r>
      <w:r w:rsidRPr="00EA54AA">
        <w:rPr>
          <w:noProof/>
        </w:rPr>
        <w:t>Global Ecology and Biogeography 24:1476</w:t>
      </w:r>
      <w:r>
        <w:rPr>
          <w:noProof/>
        </w:rPr>
        <w:t>–</w:t>
      </w:r>
      <w:r w:rsidRPr="00EA54AA">
        <w:rPr>
          <w:noProof/>
        </w:rPr>
        <w:t>1486.</w:t>
      </w:r>
    </w:p>
    <w:p w14:paraId="4AAAE121" w14:textId="5CDF639A" w:rsidR="00FF187D" w:rsidRPr="00EA54AA" w:rsidRDefault="00FF187D" w:rsidP="00FF187D">
      <w:pPr>
        <w:pStyle w:val="EndNoteBibliography"/>
        <w:ind w:left="360" w:hanging="360"/>
        <w:rPr>
          <w:noProof/>
        </w:rPr>
      </w:pPr>
      <w:r w:rsidRPr="00EA54AA">
        <w:rPr>
          <w:noProof/>
        </w:rPr>
        <w:t>Reed, F. R. C</w:t>
      </w:r>
      <w:r>
        <w:rPr>
          <w:noProof/>
        </w:rPr>
        <w:t xml:space="preserve">. </w:t>
      </w:r>
      <w:r w:rsidRPr="00EA54AA">
        <w:rPr>
          <w:noProof/>
        </w:rPr>
        <w:t>1944</w:t>
      </w:r>
      <w:r>
        <w:rPr>
          <w:noProof/>
        </w:rPr>
        <w:t xml:space="preserve">. </w:t>
      </w:r>
      <w:r w:rsidRPr="00EA54AA">
        <w:rPr>
          <w:noProof/>
        </w:rPr>
        <w:t xml:space="preserve">Brachiopoda and </w:t>
      </w:r>
      <w:r w:rsidR="0012296F">
        <w:rPr>
          <w:noProof/>
        </w:rPr>
        <w:t>M</w:t>
      </w:r>
      <w:r w:rsidRPr="00EA54AA">
        <w:rPr>
          <w:noProof/>
        </w:rPr>
        <w:t>ollusca from the Productus limestones of the Salt Range</w:t>
      </w:r>
      <w:r>
        <w:rPr>
          <w:noProof/>
        </w:rPr>
        <w:t xml:space="preserve">. </w:t>
      </w:r>
      <w:r w:rsidRPr="00EA54AA">
        <w:rPr>
          <w:noProof/>
        </w:rPr>
        <w:t>Palaeontogica Indica, Memoirs of the Geological Survey of India, New Series 23:1</w:t>
      </w:r>
      <w:r>
        <w:rPr>
          <w:noProof/>
        </w:rPr>
        <w:t>–</w:t>
      </w:r>
      <w:r w:rsidRPr="00EA54AA">
        <w:rPr>
          <w:noProof/>
        </w:rPr>
        <w:t>596.</w:t>
      </w:r>
    </w:p>
    <w:p w14:paraId="188B804A" w14:textId="75292BE6" w:rsidR="00FF187D" w:rsidRPr="00EA54AA" w:rsidRDefault="00FF187D" w:rsidP="00FF187D">
      <w:pPr>
        <w:pStyle w:val="EndNoteBibliography"/>
        <w:ind w:left="360" w:hanging="360"/>
        <w:rPr>
          <w:noProof/>
        </w:rPr>
      </w:pPr>
      <w:r w:rsidRPr="00EA54AA">
        <w:rPr>
          <w:noProof/>
        </w:rPr>
        <w:t>Sepkoski, J. J., Jr</w:t>
      </w:r>
      <w:r>
        <w:rPr>
          <w:noProof/>
        </w:rPr>
        <w:t xml:space="preserve">. </w:t>
      </w:r>
      <w:r w:rsidRPr="00EA54AA">
        <w:rPr>
          <w:noProof/>
        </w:rPr>
        <w:t>1997</w:t>
      </w:r>
      <w:r>
        <w:rPr>
          <w:noProof/>
        </w:rPr>
        <w:t xml:space="preserve">. </w:t>
      </w:r>
      <w:r w:rsidRPr="00EA54AA">
        <w:rPr>
          <w:noProof/>
        </w:rPr>
        <w:t>Biodiversity: past, present and future</w:t>
      </w:r>
      <w:r>
        <w:rPr>
          <w:noProof/>
        </w:rPr>
        <w:t xml:space="preserve">. </w:t>
      </w:r>
      <w:r w:rsidRPr="00EA54AA">
        <w:rPr>
          <w:noProof/>
        </w:rPr>
        <w:t>Journal of Paleontology 71:533</w:t>
      </w:r>
      <w:r>
        <w:rPr>
          <w:noProof/>
        </w:rPr>
        <w:t>–</w:t>
      </w:r>
      <w:r w:rsidRPr="00EA54AA">
        <w:rPr>
          <w:noProof/>
        </w:rPr>
        <w:t>539.</w:t>
      </w:r>
    </w:p>
    <w:p w14:paraId="3AC54D6E" w14:textId="7DCDA61A" w:rsidR="00FF187D" w:rsidRPr="00EA54AA" w:rsidRDefault="00FF187D" w:rsidP="00FF187D">
      <w:pPr>
        <w:pStyle w:val="EndNoteBibliography"/>
        <w:ind w:left="360" w:hanging="360"/>
        <w:rPr>
          <w:noProof/>
        </w:rPr>
      </w:pPr>
      <w:r w:rsidRPr="00EA54AA">
        <w:rPr>
          <w:noProof/>
        </w:rPr>
        <w:t>————————</w:t>
      </w:r>
      <w:r>
        <w:rPr>
          <w:noProof/>
        </w:rPr>
        <w:t xml:space="preserve">. </w:t>
      </w:r>
      <w:r w:rsidRPr="00EA54AA">
        <w:rPr>
          <w:noProof/>
        </w:rPr>
        <w:t>2002</w:t>
      </w:r>
      <w:r>
        <w:rPr>
          <w:noProof/>
        </w:rPr>
        <w:t xml:space="preserve">. </w:t>
      </w:r>
      <w:r w:rsidRPr="00EA54AA">
        <w:rPr>
          <w:noProof/>
        </w:rPr>
        <w:t>A compendium of fossil marine animal genera</w:t>
      </w:r>
      <w:r>
        <w:rPr>
          <w:noProof/>
        </w:rPr>
        <w:t xml:space="preserve">. </w:t>
      </w:r>
      <w:r w:rsidRPr="00EA54AA">
        <w:rPr>
          <w:noProof/>
        </w:rPr>
        <w:t>Bulletins of American Paleontology 363:1</w:t>
      </w:r>
      <w:r>
        <w:rPr>
          <w:noProof/>
        </w:rPr>
        <w:t>–</w:t>
      </w:r>
      <w:r w:rsidRPr="00EA54AA">
        <w:rPr>
          <w:noProof/>
        </w:rPr>
        <w:t>563.</w:t>
      </w:r>
    </w:p>
    <w:p w14:paraId="3E3857CB" w14:textId="62CE4132" w:rsidR="00FF187D" w:rsidRPr="00EA54AA" w:rsidRDefault="00FF187D" w:rsidP="00FF187D">
      <w:pPr>
        <w:pStyle w:val="EndNoteBibliography"/>
        <w:ind w:left="360" w:hanging="360"/>
        <w:rPr>
          <w:noProof/>
        </w:rPr>
      </w:pPr>
      <w:r w:rsidRPr="00EA54AA">
        <w:rPr>
          <w:noProof/>
        </w:rPr>
        <w:t>Sepkoski, J. J., Jr., R. K. Bambach, D. M. Raup, and J. W. Valentine</w:t>
      </w:r>
      <w:r>
        <w:rPr>
          <w:noProof/>
        </w:rPr>
        <w:t xml:space="preserve">. </w:t>
      </w:r>
      <w:r w:rsidRPr="00EA54AA">
        <w:rPr>
          <w:noProof/>
        </w:rPr>
        <w:t>1981</w:t>
      </w:r>
      <w:r>
        <w:rPr>
          <w:noProof/>
        </w:rPr>
        <w:t xml:space="preserve">. </w:t>
      </w:r>
      <w:r w:rsidRPr="00EA54AA">
        <w:rPr>
          <w:noProof/>
        </w:rPr>
        <w:t>Phanerozoic marine diversity and the fossil record</w:t>
      </w:r>
      <w:r>
        <w:rPr>
          <w:noProof/>
        </w:rPr>
        <w:t xml:space="preserve">. </w:t>
      </w:r>
      <w:r w:rsidRPr="00EA54AA">
        <w:rPr>
          <w:noProof/>
        </w:rPr>
        <w:t>Nature 293:435</w:t>
      </w:r>
      <w:r>
        <w:rPr>
          <w:noProof/>
        </w:rPr>
        <w:t>–</w:t>
      </w:r>
      <w:r w:rsidRPr="00EA54AA">
        <w:rPr>
          <w:noProof/>
        </w:rPr>
        <w:t>437.</w:t>
      </w:r>
    </w:p>
    <w:p w14:paraId="128CD0A1" w14:textId="0AD27721" w:rsidR="00FF187D" w:rsidRPr="00EA54AA" w:rsidRDefault="00FF187D" w:rsidP="00FF187D">
      <w:pPr>
        <w:pStyle w:val="EndNoteBibliography"/>
        <w:ind w:left="360" w:hanging="360"/>
        <w:rPr>
          <w:noProof/>
        </w:rPr>
      </w:pPr>
      <w:r w:rsidRPr="00EA54AA">
        <w:rPr>
          <w:noProof/>
        </w:rPr>
        <w:t>Sohl, N. F., and C. F. Koch</w:t>
      </w:r>
      <w:r>
        <w:rPr>
          <w:noProof/>
        </w:rPr>
        <w:t xml:space="preserve">. </w:t>
      </w:r>
      <w:r w:rsidRPr="00EA54AA">
        <w:rPr>
          <w:noProof/>
        </w:rPr>
        <w:t>1983</w:t>
      </w:r>
      <w:r>
        <w:rPr>
          <w:noProof/>
        </w:rPr>
        <w:t xml:space="preserve">. </w:t>
      </w:r>
      <w:r w:rsidRPr="00EA54AA">
        <w:rPr>
          <w:noProof/>
        </w:rPr>
        <w:t xml:space="preserve">Upper Cretaceous (Maestrichtian) Mollusca from the </w:t>
      </w:r>
      <w:r w:rsidRPr="0012296F">
        <w:rPr>
          <w:i/>
          <w:noProof/>
        </w:rPr>
        <w:t>Haustator bilira</w:t>
      </w:r>
      <w:r w:rsidRPr="00EA54AA">
        <w:rPr>
          <w:noProof/>
        </w:rPr>
        <w:t xml:space="preserve"> Assemblage Zone in the East Gulf Coastal Plain</w:t>
      </w:r>
      <w:r>
        <w:rPr>
          <w:noProof/>
        </w:rPr>
        <w:t xml:space="preserve">. </w:t>
      </w:r>
      <w:r w:rsidRPr="00EA54AA">
        <w:rPr>
          <w:noProof/>
        </w:rPr>
        <w:t>United States Geological Survey Open File Report 83</w:t>
      </w:r>
      <w:r>
        <w:rPr>
          <w:noProof/>
        </w:rPr>
        <w:t>–</w:t>
      </w:r>
      <w:r w:rsidRPr="00EA54AA">
        <w:rPr>
          <w:noProof/>
        </w:rPr>
        <w:t>451:1</w:t>
      </w:r>
      <w:r>
        <w:rPr>
          <w:noProof/>
        </w:rPr>
        <w:t>–</w:t>
      </w:r>
      <w:r w:rsidRPr="00EA54AA">
        <w:rPr>
          <w:noProof/>
        </w:rPr>
        <w:t>239.</w:t>
      </w:r>
    </w:p>
    <w:p w14:paraId="3F2C67B6" w14:textId="48A014F1" w:rsidR="00FF187D" w:rsidRPr="00EA54AA" w:rsidRDefault="00FF187D" w:rsidP="00FF187D">
      <w:pPr>
        <w:pStyle w:val="EndNoteBibliography"/>
        <w:ind w:left="360" w:hanging="360"/>
        <w:rPr>
          <w:noProof/>
        </w:rPr>
      </w:pPr>
      <w:r w:rsidRPr="00EA54AA">
        <w:rPr>
          <w:noProof/>
        </w:rPr>
        <w:t>————————</w:t>
      </w:r>
      <w:r>
        <w:rPr>
          <w:noProof/>
        </w:rPr>
        <w:t xml:space="preserve">. </w:t>
      </w:r>
      <w:r w:rsidRPr="00EA54AA">
        <w:rPr>
          <w:noProof/>
        </w:rPr>
        <w:t>1984</w:t>
      </w:r>
      <w:r>
        <w:rPr>
          <w:noProof/>
        </w:rPr>
        <w:t xml:space="preserve">. </w:t>
      </w:r>
      <w:r w:rsidRPr="00EA54AA">
        <w:rPr>
          <w:noProof/>
        </w:rPr>
        <w:t xml:space="preserve">Upper Cretaceous (Maestrichtian) larger invertebrate </w:t>
      </w:r>
      <w:r w:rsidR="0012296F">
        <w:rPr>
          <w:noProof/>
        </w:rPr>
        <w:t>f</w:t>
      </w:r>
      <w:r w:rsidRPr="00EA54AA">
        <w:rPr>
          <w:noProof/>
        </w:rPr>
        <w:t xml:space="preserve">ossils from the </w:t>
      </w:r>
      <w:r w:rsidRPr="0012296F">
        <w:rPr>
          <w:i/>
          <w:noProof/>
        </w:rPr>
        <w:t xml:space="preserve">Haustator bilira </w:t>
      </w:r>
      <w:r w:rsidRPr="00EA54AA">
        <w:rPr>
          <w:noProof/>
        </w:rPr>
        <w:t>Assemblage Zone in the west gulf Coastal Plain</w:t>
      </w:r>
      <w:r>
        <w:rPr>
          <w:noProof/>
        </w:rPr>
        <w:t xml:space="preserve">. </w:t>
      </w:r>
      <w:r w:rsidRPr="00EA54AA">
        <w:rPr>
          <w:noProof/>
        </w:rPr>
        <w:t>United States Geological Survey Open File Report 84</w:t>
      </w:r>
      <w:r>
        <w:rPr>
          <w:noProof/>
        </w:rPr>
        <w:t>–</w:t>
      </w:r>
      <w:r w:rsidRPr="00EA54AA">
        <w:rPr>
          <w:noProof/>
        </w:rPr>
        <w:t>687:1</w:t>
      </w:r>
      <w:r>
        <w:rPr>
          <w:noProof/>
        </w:rPr>
        <w:t>–</w:t>
      </w:r>
      <w:r w:rsidRPr="00EA54AA">
        <w:rPr>
          <w:noProof/>
        </w:rPr>
        <w:t>282.</w:t>
      </w:r>
    </w:p>
    <w:p w14:paraId="259385F0" w14:textId="33FB5516" w:rsidR="00FF187D" w:rsidRPr="00EA54AA" w:rsidRDefault="00FF187D" w:rsidP="00FF187D">
      <w:pPr>
        <w:pStyle w:val="EndNoteBibliography"/>
        <w:ind w:left="360" w:hanging="360"/>
        <w:rPr>
          <w:noProof/>
        </w:rPr>
      </w:pPr>
      <w:r w:rsidRPr="00EA54AA">
        <w:rPr>
          <w:noProof/>
        </w:rPr>
        <w:t>————————</w:t>
      </w:r>
      <w:r>
        <w:rPr>
          <w:noProof/>
        </w:rPr>
        <w:t xml:space="preserve">. </w:t>
      </w:r>
      <w:r w:rsidRPr="00EA54AA">
        <w:rPr>
          <w:noProof/>
        </w:rPr>
        <w:t>1987</w:t>
      </w:r>
      <w:r>
        <w:rPr>
          <w:noProof/>
        </w:rPr>
        <w:t xml:space="preserve">. </w:t>
      </w:r>
      <w:r w:rsidRPr="00EA54AA">
        <w:rPr>
          <w:noProof/>
        </w:rPr>
        <w:t xml:space="preserve">Upper Cretaceous (Maestrichtian) larger invertebrates from the </w:t>
      </w:r>
      <w:r w:rsidRPr="0012296F">
        <w:rPr>
          <w:i/>
          <w:noProof/>
        </w:rPr>
        <w:t>Haustator bilira</w:t>
      </w:r>
      <w:r w:rsidRPr="00EA54AA">
        <w:rPr>
          <w:noProof/>
        </w:rPr>
        <w:t xml:space="preserve"> Assemblage Zone in the Atlantic Coastal Plain with further data for the East Gulf</w:t>
      </w:r>
      <w:r>
        <w:rPr>
          <w:noProof/>
        </w:rPr>
        <w:t xml:space="preserve">. </w:t>
      </w:r>
      <w:r w:rsidRPr="00EA54AA">
        <w:rPr>
          <w:noProof/>
        </w:rPr>
        <w:t>United States Geological Survey Open File Report 87</w:t>
      </w:r>
      <w:r>
        <w:rPr>
          <w:noProof/>
        </w:rPr>
        <w:t>–</w:t>
      </w:r>
      <w:r w:rsidRPr="00EA54AA">
        <w:rPr>
          <w:noProof/>
        </w:rPr>
        <w:t>194:1</w:t>
      </w:r>
      <w:r>
        <w:rPr>
          <w:noProof/>
        </w:rPr>
        <w:t>–</w:t>
      </w:r>
      <w:r w:rsidRPr="00EA54AA">
        <w:rPr>
          <w:noProof/>
        </w:rPr>
        <w:t>172.</w:t>
      </w:r>
    </w:p>
    <w:p w14:paraId="27861358" w14:textId="51B67EC8" w:rsidR="00FF187D" w:rsidRPr="00EA54AA" w:rsidRDefault="00FF187D" w:rsidP="00FF187D">
      <w:pPr>
        <w:pStyle w:val="EndNoteBibliography"/>
        <w:ind w:left="360" w:hanging="360"/>
        <w:rPr>
          <w:noProof/>
        </w:rPr>
      </w:pPr>
      <w:r w:rsidRPr="00EA54AA">
        <w:rPr>
          <w:noProof/>
        </w:rPr>
        <w:t>Solow, A. R</w:t>
      </w:r>
      <w:r>
        <w:rPr>
          <w:noProof/>
        </w:rPr>
        <w:t xml:space="preserve">. </w:t>
      </w:r>
      <w:r w:rsidRPr="00EA54AA">
        <w:rPr>
          <w:noProof/>
        </w:rPr>
        <w:t>1993</w:t>
      </w:r>
      <w:r>
        <w:rPr>
          <w:noProof/>
        </w:rPr>
        <w:t xml:space="preserve">. </w:t>
      </w:r>
      <w:r w:rsidRPr="00EA54AA">
        <w:rPr>
          <w:noProof/>
        </w:rPr>
        <w:t>Inferring extinction from sighting data</w:t>
      </w:r>
      <w:r>
        <w:rPr>
          <w:noProof/>
        </w:rPr>
        <w:t xml:space="preserve">. </w:t>
      </w:r>
      <w:r w:rsidRPr="00EA54AA">
        <w:rPr>
          <w:noProof/>
        </w:rPr>
        <w:t>Ecology 74:962</w:t>
      </w:r>
      <w:r>
        <w:rPr>
          <w:noProof/>
        </w:rPr>
        <w:t>–</w:t>
      </w:r>
      <w:r w:rsidRPr="00EA54AA">
        <w:rPr>
          <w:noProof/>
        </w:rPr>
        <w:t>963.</w:t>
      </w:r>
    </w:p>
    <w:p w14:paraId="5DA0D190" w14:textId="5B2266EB" w:rsidR="00FF187D" w:rsidRPr="00EA54AA" w:rsidRDefault="00FF187D" w:rsidP="00FF187D">
      <w:pPr>
        <w:pStyle w:val="EndNoteBibliography"/>
        <w:ind w:left="360" w:hanging="360"/>
        <w:rPr>
          <w:noProof/>
        </w:rPr>
      </w:pPr>
      <w:r w:rsidRPr="00EA54AA">
        <w:rPr>
          <w:noProof/>
        </w:rPr>
        <w:lastRenderedPageBreak/>
        <w:t>————————</w:t>
      </w:r>
      <w:r>
        <w:rPr>
          <w:noProof/>
        </w:rPr>
        <w:t xml:space="preserve">. </w:t>
      </w:r>
      <w:r w:rsidRPr="00EA54AA">
        <w:rPr>
          <w:noProof/>
        </w:rPr>
        <w:t>2005</w:t>
      </w:r>
      <w:r>
        <w:rPr>
          <w:noProof/>
        </w:rPr>
        <w:t xml:space="preserve">. </w:t>
      </w:r>
      <w:r w:rsidRPr="00EA54AA">
        <w:rPr>
          <w:noProof/>
        </w:rPr>
        <w:t>Inferring extinction from a sighting record</w:t>
      </w:r>
      <w:r>
        <w:rPr>
          <w:noProof/>
        </w:rPr>
        <w:t xml:space="preserve">. </w:t>
      </w:r>
      <w:r w:rsidRPr="00EA54AA">
        <w:rPr>
          <w:noProof/>
        </w:rPr>
        <w:t>Mathematical Biosciences 195:47</w:t>
      </w:r>
      <w:r>
        <w:rPr>
          <w:noProof/>
        </w:rPr>
        <w:t>–</w:t>
      </w:r>
      <w:r w:rsidRPr="00EA54AA">
        <w:rPr>
          <w:noProof/>
        </w:rPr>
        <w:t>55.</w:t>
      </w:r>
    </w:p>
    <w:p w14:paraId="7D945CCC" w14:textId="5A8B90F0" w:rsidR="00FF187D" w:rsidRPr="00EA54AA" w:rsidRDefault="00FF187D" w:rsidP="00FF187D">
      <w:pPr>
        <w:pStyle w:val="EndNoteBibliography"/>
        <w:ind w:left="360" w:hanging="360"/>
        <w:rPr>
          <w:noProof/>
        </w:rPr>
      </w:pPr>
      <w:r w:rsidRPr="00EA54AA">
        <w:rPr>
          <w:noProof/>
        </w:rPr>
        <w:t>Stanley, S. M</w:t>
      </w:r>
      <w:r>
        <w:rPr>
          <w:noProof/>
        </w:rPr>
        <w:t xml:space="preserve">. </w:t>
      </w:r>
      <w:r w:rsidRPr="00EA54AA">
        <w:rPr>
          <w:noProof/>
        </w:rPr>
        <w:t>1990</w:t>
      </w:r>
      <w:r>
        <w:rPr>
          <w:noProof/>
        </w:rPr>
        <w:t xml:space="preserve">. </w:t>
      </w:r>
      <w:r w:rsidRPr="00EA54AA">
        <w:rPr>
          <w:noProof/>
        </w:rPr>
        <w:t>The general correlation between rate of speciation and rate of extinction: fortuitous causal linkages</w:t>
      </w:r>
      <w:r>
        <w:rPr>
          <w:noProof/>
        </w:rPr>
        <w:t xml:space="preserve">. </w:t>
      </w:r>
      <w:r w:rsidRPr="00EA54AA">
        <w:rPr>
          <w:noProof/>
        </w:rPr>
        <w:t>Pp. 103</w:t>
      </w:r>
      <w:r>
        <w:rPr>
          <w:noProof/>
        </w:rPr>
        <w:t>–</w:t>
      </w:r>
      <w:r w:rsidRPr="00EA54AA">
        <w:rPr>
          <w:noProof/>
        </w:rPr>
        <w:t xml:space="preserve">127 </w:t>
      </w:r>
      <w:r w:rsidRPr="00EA54AA">
        <w:rPr>
          <w:noProof/>
          <w:u w:val="single"/>
        </w:rPr>
        <w:t>in</w:t>
      </w:r>
      <w:r w:rsidRPr="00EA54AA">
        <w:rPr>
          <w:noProof/>
        </w:rPr>
        <w:t xml:space="preserve"> R. M. Ross and W. D. Allmon, eds. Causes of evolution</w:t>
      </w:r>
      <w:r>
        <w:rPr>
          <w:noProof/>
        </w:rPr>
        <w:t>–</w:t>
      </w:r>
      <w:r w:rsidRPr="00EA54AA">
        <w:rPr>
          <w:noProof/>
        </w:rPr>
        <w:t>a paleontological perspective</w:t>
      </w:r>
      <w:r>
        <w:rPr>
          <w:noProof/>
        </w:rPr>
        <w:t xml:space="preserve">. </w:t>
      </w:r>
      <w:r w:rsidRPr="00EA54AA">
        <w:rPr>
          <w:noProof/>
        </w:rPr>
        <w:t>The University of Chicago Press, Chicago</w:t>
      </w:r>
      <w:r>
        <w:rPr>
          <w:noProof/>
        </w:rPr>
        <w:t xml:space="preserve">. </w:t>
      </w:r>
    </w:p>
    <w:p w14:paraId="3FB8F5FF" w14:textId="68CDA0DC" w:rsidR="00FF187D" w:rsidRPr="00EA54AA" w:rsidRDefault="00FF187D" w:rsidP="00FF187D">
      <w:pPr>
        <w:pStyle w:val="EndNoteBibliography"/>
        <w:ind w:left="360" w:hanging="360"/>
        <w:rPr>
          <w:noProof/>
        </w:rPr>
      </w:pPr>
      <w:r w:rsidRPr="00EA54AA">
        <w:rPr>
          <w:noProof/>
        </w:rPr>
        <w:t>Steenweg, R., M. Hebblewhite, J. Whittington, P. Lukacs, and K. McKelvey</w:t>
      </w:r>
      <w:r>
        <w:rPr>
          <w:noProof/>
        </w:rPr>
        <w:t xml:space="preserve">. </w:t>
      </w:r>
      <w:r w:rsidRPr="00EA54AA">
        <w:rPr>
          <w:noProof/>
        </w:rPr>
        <w:t>2018</w:t>
      </w:r>
      <w:r>
        <w:rPr>
          <w:noProof/>
        </w:rPr>
        <w:t xml:space="preserve">. </w:t>
      </w:r>
      <w:r w:rsidRPr="00EA54AA">
        <w:rPr>
          <w:noProof/>
        </w:rPr>
        <w:t>Sampling scales define occupancy and underlying occupancy–abundance relationships in animals</w:t>
      </w:r>
      <w:r>
        <w:rPr>
          <w:noProof/>
        </w:rPr>
        <w:t xml:space="preserve">. </w:t>
      </w:r>
      <w:r w:rsidRPr="00EA54AA">
        <w:rPr>
          <w:noProof/>
        </w:rPr>
        <w:t>Ecology 99:172</w:t>
      </w:r>
      <w:r>
        <w:rPr>
          <w:noProof/>
        </w:rPr>
        <w:t>–</w:t>
      </w:r>
      <w:r w:rsidRPr="00EA54AA">
        <w:rPr>
          <w:noProof/>
        </w:rPr>
        <w:t>183.</w:t>
      </w:r>
    </w:p>
    <w:p w14:paraId="35C20317" w14:textId="59E449FE" w:rsidR="00FF187D" w:rsidRPr="00EA54AA" w:rsidRDefault="00FF187D" w:rsidP="00FF187D">
      <w:pPr>
        <w:pStyle w:val="EndNoteBibliography"/>
        <w:ind w:left="360" w:hanging="360"/>
        <w:rPr>
          <w:noProof/>
        </w:rPr>
      </w:pPr>
      <w:r w:rsidRPr="00EA54AA">
        <w:rPr>
          <w:noProof/>
        </w:rPr>
        <w:t>Stygall</w:t>
      </w:r>
      <w:r>
        <w:rPr>
          <w:noProof/>
        </w:rPr>
        <w:t>–</w:t>
      </w:r>
      <w:r w:rsidRPr="00EA54AA">
        <w:rPr>
          <w:noProof/>
        </w:rPr>
        <w:t>Rode, A. L., and B. S. Lieberman</w:t>
      </w:r>
      <w:r>
        <w:rPr>
          <w:noProof/>
        </w:rPr>
        <w:t xml:space="preserve">. </w:t>
      </w:r>
      <w:r w:rsidRPr="00EA54AA">
        <w:rPr>
          <w:noProof/>
        </w:rPr>
        <w:t>2004</w:t>
      </w:r>
      <w:r>
        <w:rPr>
          <w:noProof/>
        </w:rPr>
        <w:t xml:space="preserve">. </w:t>
      </w:r>
      <w:r w:rsidRPr="00EA54AA">
        <w:rPr>
          <w:noProof/>
        </w:rPr>
        <w:t>Using GIS to unlock the interactions between biogeography, environment, and evolution in middle and Late Devonian brachiopods and bivalves</w:t>
      </w:r>
      <w:r>
        <w:rPr>
          <w:noProof/>
        </w:rPr>
        <w:t xml:space="preserve">. </w:t>
      </w:r>
      <w:r w:rsidRPr="00EA54AA">
        <w:rPr>
          <w:noProof/>
        </w:rPr>
        <w:t>Palaeogeography, Palaeoclimatology, Palaeoecology 211:345</w:t>
      </w:r>
      <w:r>
        <w:rPr>
          <w:noProof/>
        </w:rPr>
        <w:t>–</w:t>
      </w:r>
      <w:r w:rsidRPr="00EA54AA">
        <w:rPr>
          <w:noProof/>
        </w:rPr>
        <w:t>359.</w:t>
      </w:r>
    </w:p>
    <w:p w14:paraId="6EFD5FD2" w14:textId="07115554" w:rsidR="00FF187D" w:rsidRPr="00EA54AA" w:rsidRDefault="00FF187D" w:rsidP="00FF187D">
      <w:pPr>
        <w:pStyle w:val="EndNoteBibliography"/>
        <w:ind w:left="360" w:hanging="360"/>
        <w:rPr>
          <w:noProof/>
        </w:rPr>
      </w:pPr>
      <w:r w:rsidRPr="00EA54AA">
        <w:rPr>
          <w:noProof/>
        </w:rPr>
        <w:t>ter Steege, H., N. C. A. Pitman, D. Sabatier, C. Baraloto, R. P. Salomão, J. E. Guevara, O. L. Phillips, C. V. Castilho, W. E. Magnusson, J.</w:t>
      </w:r>
      <w:r>
        <w:rPr>
          <w:noProof/>
        </w:rPr>
        <w:t>–</w:t>
      </w:r>
      <w:r w:rsidRPr="00EA54AA">
        <w:rPr>
          <w:noProof/>
        </w:rPr>
        <w:t>F. Molino, A. Monteagudo, P. N. Vargas, J. C. Montero, T. R. Feldpausch, E. N. H. Coronado, T. J. Killeen, B. Mostacedo, R. Vasquez, R. L. Assis, J. Terborgh, F. Wittmann, A. Andrade, W. F. Laurance, S. G. W. Laurance, B. S. Marimon, B.</w:t>
      </w:r>
      <w:r>
        <w:rPr>
          <w:noProof/>
        </w:rPr>
        <w:t>–</w:t>
      </w:r>
      <w:r w:rsidRPr="00EA54AA">
        <w:rPr>
          <w:noProof/>
        </w:rPr>
        <w:t>H. M. Jr., I. C. G. Vieira, I. L. Amaral, R. Brienen, H. Castellanos, D. C. López, J. F. Duivenvoorden, H. F. Mogollón, F. D. d. A. Matos, N. Dávila, R. García</w:t>
      </w:r>
      <w:r>
        <w:rPr>
          <w:noProof/>
        </w:rPr>
        <w:t>–</w:t>
      </w:r>
      <w:r w:rsidRPr="00EA54AA">
        <w:rPr>
          <w:noProof/>
        </w:rPr>
        <w:t>Villacorta, P. R. S. Diaz, F. Costa, T. Emilio, C. Levis, J. Schietti, P. Souza, A. Alonso, F. Dallmeier, A. J. D. Montoya, M. T. F. Piedade, A. Araujo</w:t>
      </w:r>
      <w:r>
        <w:rPr>
          <w:noProof/>
        </w:rPr>
        <w:t>–</w:t>
      </w:r>
      <w:r w:rsidRPr="00EA54AA">
        <w:rPr>
          <w:noProof/>
        </w:rPr>
        <w:t xml:space="preserve">Murakami, L. Arroyo, R. Gribel, P. V. A. Fine, C. A. Peres, M. Toledo, G. A. A. C., T. R. Baker, C. Cerón, J. Engel, T. W. Henkel, P. Maas, P. Petronelli, J. Stropp, C. E. Zartman, D. Daly, D. Neill, M. Silveira, M. R. Paredes, J. Chave, D. d. A. L. Filho, P. M. Jørgensen, A. Fuentes, J. Schöngart, F. C. Valverde, A. D. Fiore, E. M. Jimenez, M. C. P. Mora, J. F. Phillips, G. Rivas, T. R. v. Andel, </w:t>
      </w:r>
      <w:r w:rsidRPr="00EA54AA">
        <w:rPr>
          <w:noProof/>
        </w:rPr>
        <w:lastRenderedPageBreak/>
        <w:t>P. v. Hildebrand, B. Hoffman, E. L. Zent, Y. Malhi, A. Prieto, A. Rudas, A. R. Ruschell, N. Silva, V. Vos, S. Zent, A. A. Oliveira, A. C. Schutz, T. Gonzales, M. T. Nascimento, H. Ramirez</w:t>
      </w:r>
      <w:r>
        <w:rPr>
          <w:noProof/>
        </w:rPr>
        <w:t>–</w:t>
      </w:r>
      <w:r w:rsidRPr="00EA54AA">
        <w:rPr>
          <w:noProof/>
        </w:rPr>
        <w:t>Angulo, R. Sierra, M. Tirado, M. N. U. Medina, G. v. d. Heijden, C. I. A. Vela, E. V. Torre, C. Vriesendorp, O. Wang, et al</w:t>
      </w:r>
      <w:r>
        <w:rPr>
          <w:noProof/>
        </w:rPr>
        <w:t xml:space="preserve">. </w:t>
      </w:r>
      <w:r w:rsidRPr="00EA54AA">
        <w:rPr>
          <w:noProof/>
        </w:rPr>
        <w:t>2013</w:t>
      </w:r>
      <w:r>
        <w:rPr>
          <w:noProof/>
        </w:rPr>
        <w:t xml:space="preserve">. </w:t>
      </w:r>
      <w:r w:rsidRPr="00EA54AA">
        <w:rPr>
          <w:noProof/>
        </w:rPr>
        <w:t>Hyperdominance in the Amazonian tree flora</w:t>
      </w:r>
      <w:r>
        <w:rPr>
          <w:noProof/>
        </w:rPr>
        <w:t xml:space="preserve">. </w:t>
      </w:r>
      <w:r w:rsidRPr="00EA54AA">
        <w:rPr>
          <w:noProof/>
        </w:rPr>
        <w:t>Science 342:1243092</w:t>
      </w:r>
      <w:r>
        <w:rPr>
          <w:noProof/>
        </w:rPr>
        <w:t>–</w:t>
      </w:r>
      <w:r w:rsidRPr="00EA54AA">
        <w:rPr>
          <w:noProof/>
        </w:rPr>
        <w:t>1</w:t>
      </w:r>
      <w:r>
        <w:rPr>
          <w:noProof/>
        </w:rPr>
        <w:t>–</w:t>
      </w:r>
      <w:r w:rsidRPr="00EA54AA">
        <w:rPr>
          <w:noProof/>
        </w:rPr>
        <w:t>9.</w:t>
      </w:r>
    </w:p>
    <w:p w14:paraId="0951ECA9" w14:textId="3F15B014" w:rsidR="00FF187D" w:rsidRPr="00EA54AA" w:rsidRDefault="00FF187D" w:rsidP="00FF187D">
      <w:pPr>
        <w:pStyle w:val="EndNoteBibliography"/>
        <w:ind w:left="360" w:hanging="360"/>
        <w:rPr>
          <w:noProof/>
        </w:rPr>
      </w:pPr>
      <w:r w:rsidRPr="00EA54AA">
        <w:rPr>
          <w:noProof/>
        </w:rPr>
        <w:t>Toulmin, L. D</w:t>
      </w:r>
      <w:r>
        <w:rPr>
          <w:noProof/>
        </w:rPr>
        <w:t xml:space="preserve">. </w:t>
      </w:r>
      <w:r w:rsidRPr="00EA54AA">
        <w:rPr>
          <w:noProof/>
        </w:rPr>
        <w:t>1977</w:t>
      </w:r>
      <w:r>
        <w:rPr>
          <w:noProof/>
        </w:rPr>
        <w:t xml:space="preserve">. </w:t>
      </w:r>
      <w:r w:rsidRPr="00EA54AA">
        <w:rPr>
          <w:noProof/>
        </w:rPr>
        <w:t xml:space="preserve">Stratigraphic </w:t>
      </w:r>
      <w:r w:rsidR="0012296F">
        <w:rPr>
          <w:noProof/>
        </w:rPr>
        <w:t>d</w:t>
      </w:r>
      <w:r w:rsidRPr="00EA54AA">
        <w:rPr>
          <w:noProof/>
        </w:rPr>
        <w:t>istribution of Paleocene and Eocene Fossils in the Eastern Gulf Coast Region</w:t>
      </w:r>
      <w:r>
        <w:rPr>
          <w:noProof/>
        </w:rPr>
        <w:t xml:space="preserve">. </w:t>
      </w:r>
      <w:r w:rsidRPr="00EA54AA">
        <w:rPr>
          <w:noProof/>
        </w:rPr>
        <w:t>Geological Survey of Alabama, Monograph 13:1</w:t>
      </w:r>
      <w:r>
        <w:rPr>
          <w:noProof/>
        </w:rPr>
        <w:t>–</w:t>
      </w:r>
      <w:r w:rsidRPr="00EA54AA">
        <w:rPr>
          <w:noProof/>
        </w:rPr>
        <w:t>602.</w:t>
      </w:r>
    </w:p>
    <w:p w14:paraId="26F0BC21" w14:textId="4CFE5EA6" w:rsidR="00FF187D" w:rsidRPr="00EA54AA" w:rsidRDefault="00FF187D" w:rsidP="00FF187D">
      <w:pPr>
        <w:pStyle w:val="EndNoteBibliography"/>
        <w:ind w:left="360" w:hanging="360"/>
        <w:rPr>
          <w:noProof/>
        </w:rPr>
      </w:pPr>
      <w:r w:rsidRPr="00EA54AA">
        <w:rPr>
          <w:noProof/>
        </w:rPr>
        <w:t>Tozer, E. T</w:t>
      </w:r>
      <w:r>
        <w:rPr>
          <w:noProof/>
        </w:rPr>
        <w:t xml:space="preserve">. </w:t>
      </w:r>
      <w:r w:rsidRPr="00EA54AA">
        <w:rPr>
          <w:noProof/>
        </w:rPr>
        <w:t>1994</w:t>
      </w:r>
      <w:r>
        <w:rPr>
          <w:noProof/>
        </w:rPr>
        <w:t xml:space="preserve">. </w:t>
      </w:r>
      <w:r w:rsidRPr="00EA54AA">
        <w:rPr>
          <w:noProof/>
        </w:rPr>
        <w:t xml:space="preserve">Canadian Triassic </w:t>
      </w:r>
      <w:r w:rsidR="0012296F">
        <w:rPr>
          <w:noProof/>
        </w:rPr>
        <w:t>a</w:t>
      </w:r>
      <w:r w:rsidRPr="00EA54AA">
        <w:rPr>
          <w:noProof/>
        </w:rPr>
        <w:t xml:space="preserve">mmonoid </w:t>
      </w:r>
      <w:r w:rsidR="0012296F">
        <w:rPr>
          <w:noProof/>
        </w:rPr>
        <w:t>f</w:t>
      </w:r>
      <w:r w:rsidRPr="00EA54AA">
        <w:rPr>
          <w:noProof/>
        </w:rPr>
        <w:t>aunas</w:t>
      </w:r>
      <w:r>
        <w:rPr>
          <w:noProof/>
        </w:rPr>
        <w:t xml:space="preserve">. </w:t>
      </w:r>
      <w:r w:rsidRPr="00EA54AA">
        <w:rPr>
          <w:noProof/>
        </w:rPr>
        <w:t>Geological Survey of Canada Bulletin 467:1</w:t>
      </w:r>
      <w:r>
        <w:rPr>
          <w:noProof/>
        </w:rPr>
        <w:t>–</w:t>
      </w:r>
      <w:r w:rsidRPr="00EA54AA">
        <w:rPr>
          <w:noProof/>
        </w:rPr>
        <w:t>663.</w:t>
      </w:r>
    </w:p>
    <w:p w14:paraId="7C6E0252" w14:textId="4C40B4E1" w:rsidR="00FF187D" w:rsidRPr="00EA54AA" w:rsidRDefault="00FF187D" w:rsidP="00FF187D">
      <w:pPr>
        <w:pStyle w:val="EndNoteBibliography"/>
        <w:ind w:left="360" w:hanging="360"/>
        <w:rPr>
          <w:noProof/>
        </w:rPr>
      </w:pPr>
      <w:r w:rsidRPr="00EA54AA">
        <w:rPr>
          <w:noProof/>
        </w:rPr>
        <w:t>Uhen, M. D</w:t>
      </w:r>
      <w:r>
        <w:rPr>
          <w:noProof/>
        </w:rPr>
        <w:t xml:space="preserve">. </w:t>
      </w:r>
      <w:r w:rsidRPr="00EA54AA">
        <w:rPr>
          <w:noProof/>
        </w:rPr>
        <w:t>1996</w:t>
      </w:r>
      <w:r>
        <w:rPr>
          <w:noProof/>
        </w:rPr>
        <w:t xml:space="preserve">. </w:t>
      </w:r>
      <w:r w:rsidRPr="00EA54AA">
        <w:rPr>
          <w:noProof/>
        </w:rPr>
        <w:t>An evaluation of clade</w:t>
      </w:r>
      <w:r>
        <w:rPr>
          <w:noProof/>
        </w:rPr>
        <w:t>–</w:t>
      </w:r>
      <w:r w:rsidRPr="00EA54AA">
        <w:rPr>
          <w:noProof/>
        </w:rPr>
        <w:t>shape statistics using simulations and extinct families of mammals</w:t>
      </w:r>
      <w:r>
        <w:rPr>
          <w:noProof/>
        </w:rPr>
        <w:t xml:space="preserve">. </w:t>
      </w:r>
      <w:r w:rsidRPr="00EA54AA">
        <w:rPr>
          <w:noProof/>
        </w:rPr>
        <w:t>Paleobiology 22:8</w:t>
      </w:r>
      <w:r>
        <w:rPr>
          <w:noProof/>
        </w:rPr>
        <w:t>–</w:t>
      </w:r>
      <w:r w:rsidRPr="00EA54AA">
        <w:rPr>
          <w:noProof/>
        </w:rPr>
        <w:t>22.</w:t>
      </w:r>
    </w:p>
    <w:p w14:paraId="235BF6CE" w14:textId="25047AE7" w:rsidR="00FF187D" w:rsidRPr="00EA54AA" w:rsidRDefault="00FF187D" w:rsidP="00FF187D">
      <w:pPr>
        <w:pStyle w:val="EndNoteBibliography"/>
        <w:ind w:left="360" w:hanging="360"/>
        <w:rPr>
          <w:noProof/>
        </w:rPr>
      </w:pPr>
      <w:r w:rsidRPr="00EA54AA">
        <w:rPr>
          <w:noProof/>
        </w:rPr>
        <w:t>Valentine, J. W</w:t>
      </w:r>
      <w:r>
        <w:rPr>
          <w:noProof/>
        </w:rPr>
        <w:t xml:space="preserve">. </w:t>
      </w:r>
      <w:r w:rsidRPr="00EA54AA">
        <w:rPr>
          <w:noProof/>
        </w:rPr>
        <w:t>1990</w:t>
      </w:r>
      <w:r>
        <w:rPr>
          <w:noProof/>
        </w:rPr>
        <w:t xml:space="preserve">. </w:t>
      </w:r>
      <w:r w:rsidRPr="00EA54AA">
        <w:rPr>
          <w:noProof/>
        </w:rPr>
        <w:t>The macroevolution of clade shape</w:t>
      </w:r>
      <w:r>
        <w:rPr>
          <w:noProof/>
        </w:rPr>
        <w:t xml:space="preserve">. </w:t>
      </w:r>
      <w:r w:rsidRPr="00EA54AA">
        <w:rPr>
          <w:noProof/>
        </w:rPr>
        <w:t>Pp. 128</w:t>
      </w:r>
      <w:r>
        <w:rPr>
          <w:noProof/>
        </w:rPr>
        <w:t>–</w:t>
      </w:r>
      <w:r w:rsidRPr="00EA54AA">
        <w:rPr>
          <w:noProof/>
        </w:rPr>
        <w:t xml:space="preserve">150 </w:t>
      </w:r>
      <w:r w:rsidRPr="00EA54AA">
        <w:rPr>
          <w:noProof/>
          <w:u w:val="single"/>
        </w:rPr>
        <w:t>in</w:t>
      </w:r>
      <w:r w:rsidRPr="00EA54AA">
        <w:rPr>
          <w:noProof/>
        </w:rPr>
        <w:t xml:space="preserve"> R. M. Ross and W. D. Allmon, eds. Causes of evolution</w:t>
      </w:r>
      <w:r>
        <w:rPr>
          <w:noProof/>
        </w:rPr>
        <w:t>–</w:t>
      </w:r>
      <w:r w:rsidRPr="00EA54AA">
        <w:rPr>
          <w:noProof/>
        </w:rPr>
        <w:t>a paleontological perspective</w:t>
      </w:r>
      <w:r>
        <w:rPr>
          <w:noProof/>
        </w:rPr>
        <w:t xml:space="preserve">. </w:t>
      </w:r>
      <w:r w:rsidRPr="00EA54AA">
        <w:rPr>
          <w:noProof/>
        </w:rPr>
        <w:t>The University of Chicago Press, Chicago</w:t>
      </w:r>
      <w:r>
        <w:rPr>
          <w:noProof/>
        </w:rPr>
        <w:t xml:space="preserve">. </w:t>
      </w:r>
    </w:p>
    <w:p w14:paraId="1A180FC9" w14:textId="69382536" w:rsidR="00FF187D" w:rsidRPr="00EA54AA" w:rsidRDefault="00FF187D" w:rsidP="00FF187D">
      <w:pPr>
        <w:pStyle w:val="EndNoteBibliography"/>
        <w:ind w:left="360" w:hanging="360"/>
        <w:rPr>
          <w:noProof/>
        </w:rPr>
      </w:pPr>
      <w:r w:rsidRPr="00EA54AA">
        <w:rPr>
          <w:noProof/>
        </w:rPr>
        <w:t>Wagner, P. J</w:t>
      </w:r>
      <w:r>
        <w:rPr>
          <w:noProof/>
        </w:rPr>
        <w:t xml:space="preserve">. </w:t>
      </w:r>
      <w:r w:rsidRPr="00EA54AA">
        <w:rPr>
          <w:noProof/>
        </w:rPr>
        <w:t>2000</w:t>
      </w:r>
      <w:r>
        <w:rPr>
          <w:noProof/>
        </w:rPr>
        <w:t xml:space="preserve">. </w:t>
      </w:r>
      <w:r w:rsidRPr="00EA54AA">
        <w:rPr>
          <w:noProof/>
        </w:rPr>
        <w:t>Likelihood tests of hypothesized durations: determining and accommodating biasing factors</w:t>
      </w:r>
      <w:r>
        <w:rPr>
          <w:noProof/>
        </w:rPr>
        <w:t xml:space="preserve">. </w:t>
      </w:r>
      <w:r w:rsidRPr="00EA54AA">
        <w:rPr>
          <w:noProof/>
        </w:rPr>
        <w:t>Paleobiology 26:431</w:t>
      </w:r>
      <w:r>
        <w:rPr>
          <w:noProof/>
        </w:rPr>
        <w:t>–</w:t>
      </w:r>
      <w:r w:rsidRPr="00EA54AA">
        <w:rPr>
          <w:noProof/>
        </w:rPr>
        <w:t>449.</w:t>
      </w:r>
    </w:p>
    <w:p w14:paraId="2822486B" w14:textId="3A9DC064" w:rsidR="00FF187D" w:rsidRPr="00EA54AA" w:rsidRDefault="00FF187D" w:rsidP="00FF187D">
      <w:pPr>
        <w:pStyle w:val="EndNoteBibliography"/>
        <w:ind w:left="360" w:hanging="360"/>
        <w:rPr>
          <w:noProof/>
        </w:rPr>
      </w:pPr>
      <w:r w:rsidRPr="00EA54AA">
        <w:rPr>
          <w:noProof/>
        </w:rPr>
        <w:t>Wagner, P. J., M. Aberhan, A. Hendy, and W. Kiessling</w:t>
      </w:r>
      <w:r>
        <w:rPr>
          <w:noProof/>
        </w:rPr>
        <w:t xml:space="preserve">. </w:t>
      </w:r>
      <w:r w:rsidRPr="00EA54AA">
        <w:rPr>
          <w:noProof/>
        </w:rPr>
        <w:t>2007</w:t>
      </w:r>
      <w:r>
        <w:rPr>
          <w:noProof/>
        </w:rPr>
        <w:t xml:space="preserve">. </w:t>
      </w:r>
      <w:r w:rsidRPr="00EA54AA">
        <w:rPr>
          <w:noProof/>
        </w:rPr>
        <w:t>The effects of taxonomic standardization on sampling</w:t>
      </w:r>
      <w:r>
        <w:rPr>
          <w:noProof/>
        </w:rPr>
        <w:t>–</w:t>
      </w:r>
      <w:r w:rsidRPr="00EA54AA">
        <w:rPr>
          <w:noProof/>
        </w:rPr>
        <w:t>standardized estimates of historical diversityz</w:t>
      </w:r>
      <w:r>
        <w:rPr>
          <w:noProof/>
        </w:rPr>
        <w:t xml:space="preserve">. </w:t>
      </w:r>
      <w:r w:rsidRPr="00EA54AA">
        <w:rPr>
          <w:noProof/>
        </w:rPr>
        <w:t>Proceedings of the Royal Society of London, Series B. Biological Sciences 274:439</w:t>
      </w:r>
      <w:r>
        <w:rPr>
          <w:noProof/>
        </w:rPr>
        <w:t>–</w:t>
      </w:r>
      <w:r w:rsidRPr="00EA54AA">
        <w:rPr>
          <w:noProof/>
        </w:rPr>
        <w:t>444.</w:t>
      </w:r>
    </w:p>
    <w:p w14:paraId="464105C4" w14:textId="72FC5AB8" w:rsidR="00FF187D" w:rsidRPr="00EA54AA" w:rsidRDefault="00FF187D" w:rsidP="00FF187D">
      <w:pPr>
        <w:pStyle w:val="EndNoteBibliography"/>
        <w:ind w:left="360" w:hanging="360"/>
        <w:rPr>
          <w:noProof/>
        </w:rPr>
      </w:pPr>
      <w:r w:rsidRPr="00EA54AA">
        <w:rPr>
          <w:noProof/>
        </w:rPr>
        <w:t>Wagner, P. J., and G. F. Estabrook</w:t>
      </w:r>
      <w:r>
        <w:rPr>
          <w:noProof/>
        </w:rPr>
        <w:t xml:space="preserve">. </w:t>
      </w:r>
      <w:r w:rsidRPr="00EA54AA">
        <w:rPr>
          <w:noProof/>
        </w:rPr>
        <w:t>2014</w:t>
      </w:r>
      <w:r>
        <w:rPr>
          <w:noProof/>
        </w:rPr>
        <w:t xml:space="preserve">. </w:t>
      </w:r>
      <w:r w:rsidRPr="00EA54AA">
        <w:rPr>
          <w:noProof/>
        </w:rPr>
        <w:t>Trait</w:t>
      </w:r>
      <w:r>
        <w:rPr>
          <w:noProof/>
        </w:rPr>
        <w:t>–</w:t>
      </w:r>
      <w:r w:rsidRPr="00EA54AA">
        <w:rPr>
          <w:noProof/>
        </w:rPr>
        <w:t>based diversification shifts reflect differential extinction among fossil taxa</w:t>
      </w:r>
      <w:r>
        <w:rPr>
          <w:noProof/>
        </w:rPr>
        <w:t xml:space="preserve">. </w:t>
      </w:r>
      <w:r w:rsidRPr="00EA54AA">
        <w:rPr>
          <w:noProof/>
        </w:rPr>
        <w:t>Proceedings of the National Academy of Sciences 111:16419</w:t>
      </w:r>
      <w:r>
        <w:rPr>
          <w:noProof/>
        </w:rPr>
        <w:t>–</w:t>
      </w:r>
      <w:r w:rsidRPr="00EA54AA">
        <w:rPr>
          <w:noProof/>
        </w:rPr>
        <w:t>16424.</w:t>
      </w:r>
    </w:p>
    <w:p w14:paraId="47870253" w14:textId="4FFD7EE8" w:rsidR="00FF187D" w:rsidRPr="00EA54AA" w:rsidRDefault="00FF187D" w:rsidP="00FF187D">
      <w:pPr>
        <w:pStyle w:val="EndNoteBibliography"/>
        <w:ind w:left="360" w:hanging="360"/>
        <w:rPr>
          <w:noProof/>
        </w:rPr>
      </w:pPr>
      <w:r w:rsidRPr="00EA54AA">
        <w:rPr>
          <w:noProof/>
        </w:rPr>
        <w:lastRenderedPageBreak/>
        <w:t>Wagner, P. J., M. A. Kosnik, and S. Lidgard</w:t>
      </w:r>
      <w:r>
        <w:rPr>
          <w:noProof/>
        </w:rPr>
        <w:t xml:space="preserve">. </w:t>
      </w:r>
      <w:r w:rsidRPr="00EA54AA">
        <w:rPr>
          <w:noProof/>
        </w:rPr>
        <w:t>2006</w:t>
      </w:r>
      <w:r>
        <w:rPr>
          <w:noProof/>
        </w:rPr>
        <w:t xml:space="preserve">. </w:t>
      </w:r>
      <w:r w:rsidRPr="00EA54AA">
        <w:rPr>
          <w:noProof/>
        </w:rPr>
        <w:t>Abundance distributions imply elevated complexity of post</w:t>
      </w:r>
      <w:r>
        <w:rPr>
          <w:noProof/>
        </w:rPr>
        <w:t>–</w:t>
      </w:r>
      <w:r w:rsidRPr="00EA54AA">
        <w:rPr>
          <w:noProof/>
        </w:rPr>
        <w:t>Paleozoic marine ecosystems</w:t>
      </w:r>
      <w:r>
        <w:rPr>
          <w:noProof/>
        </w:rPr>
        <w:t xml:space="preserve">. </w:t>
      </w:r>
      <w:r w:rsidRPr="00EA54AA">
        <w:rPr>
          <w:noProof/>
        </w:rPr>
        <w:t>Science 314:1289</w:t>
      </w:r>
      <w:r>
        <w:rPr>
          <w:noProof/>
        </w:rPr>
        <w:t>–</w:t>
      </w:r>
      <w:r w:rsidRPr="00EA54AA">
        <w:rPr>
          <w:noProof/>
        </w:rPr>
        <w:t>1292.</w:t>
      </w:r>
    </w:p>
    <w:p w14:paraId="217106FE" w14:textId="061C0E88" w:rsidR="00FF187D" w:rsidRPr="00EA54AA" w:rsidRDefault="00FF187D" w:rsidP="00FF187D">
      <w:pPr>
        <w:pStyle w:val="EndNoteBibliography"/>
        <w:ind w:left="360" w:hanging="360"/>
        <w:rPr>
          <w:noProof/>
        </w:rPr>
      </w:pPr>
      <w:r w:rsidRPr="00EA54AA">
        <w:rPr>
          <w:noProof/>
        </w:rPr>
        <w:t>Wagner, P. J., R. E. Plotnick, and S. K. Lyons</w:t>
      </w:r>
      <w:r>
        <w:rPr>
          <w:noProof/>
        </w:rPr>
        <w:t xml:space="preserve">. </w:t>
      </w:r>
      <w:r w:rsidRPr="00EA54AA">
        <w:rPr>
          <w:noProof/>
        </w:rPr>
        <w:t>in press</w:t>
      </w:r>
      <w:r>
        <w:rPr>
          <w:noProof/>
        </w:rPr>
        <w:t xml:space="preserve">. </w:t>
      </w:r>
      <w:r w:rsidRPr="00EA54AA">
        <w:rPr>
          <w:noProof/>
        </w:rPr>
        <w:t>Evidence for trait</w:t>
      </w:r>
      <w:r>
        <w:rPr>
          <w:noProof/>
        </w:rPr>
        <w:t>–</w:t>
      </w:r>
      <w:r w:rsidRPr="00EA54AA">
        <w:rPr>
          <w:noProof/>
        </w:rPr>
        <w:t>based dominance in occupancy among fossil taxa and the decoupling of macroecological and macroevolutionary success</w:t>
      </w:r>
      <w:r>
        <w:rPr>
          <w:noProof/>
        </w:rPr>
        <w:t xml:space="preserve">. </w:t>
      </w:r>
      <w:r w:rsidRPr="00EA54AA">
        <w:rPr>
          <w:noProof/>
        </w:rPr>
        <w:t xml:space="preserve">The American Naturalist </w:t>
      </w:r>
    </w:p>
    <w:p w14:paraId="0825F3C7" w14:textId="04FCB3BF" w:rsidR="00FF187D" w:rsidRPr="00EA54AA" w:rsidRDefault="00FF187D" w:rsidP="00FF187D">
      <w:pPr>
        <w:pStyle w:val="EndNoteBibliography"/>
        <w:ind w:left="360" w:hanging="360"/>
        <w:rPr>
          <w:noProof/>
        </w:rPr>
      </w:pPr>
      <w:r w:rsidRPr="00EA54AA">
        <w:rPr>
          <w:noProof/>
        </w:rPr>
        <w:t>West, G. B</w:t>
      </w:r>
      <w:r>
        <w:rPr>
          <w:noProof/>
        </w:rPr>
        <w:t xml:space="preserve">. </w:t>
      </w:r>
      <w:r w:rsidRPr="00EA54AA">
        <w:rPr>
          <w:noProof/>
        </w:rPr>
        <w:t>2017</w:t>
      </w:r>
      <w:r>
        <w:rPr>
          <w:noProof/>
        </w:rPr>
        <w:t xml:space="preserve">. </w:t>
      </w:r>
      <w:r w:rsidRPr="00EA54AA">
        <w:rPr>
          <w:noProof/>
        </w:rPr>
        <w:t>Scale: the universal laws of growth, innovation, sustainability, and the pace of life in organisms, cities, economies, and companies</w:t>
      </w:r>
      <w:r>
        <w:rPr>
          <w:noProof/>
        </w:rPr>
        <w:t xml:space="preserve">. </w:t>
      </w:r>
      <w:r w:rsidRPr="00EA54AA">
        <w:rPr>
          <w:noProof/>
        </w:rPr>
        <w:t>Penguin Press, New York</w:t>
      </w:r>
      <w:r>
        <w:rPr>
          <w:noProof/>
        </w:rPr>
        <w:t xml:space="preserve">. </w:t>
      </w:r>
    </w:p>
    <w:p w14:paraId="3305C0EE" w14:textId="3BCB8B1A" w:rsidR="00FF187D" w:rsidRPr="00EA54AA" w:rsidRDefault="00FF187D" w:rsidP="00FF187D">
      <w:pPr>
        <w:pStyle w:val="EndNoteBibliography"/>
        <w:ind w:left="360" w:hanging="360"/>
        <w:rPr>
          <w:noProof/>
        </w:rPr>
      </w:pPr>
      <w:r w:rsidRPr="00EA54AA">
        <w:rPr>
          <w:noProof/>
        </w:rPr>
        <w:t>Woodring, W. P</w:t>
      </w:r>
      <w:r>
        <w:rPr>
          <w:noProof/>
        </w:rPr>
        <w:t xml:space="preserve">. </w:t>
      </w:r>
      <w:r w:rsidRPr="00EA54AA">
        <w:rPr>
          <w:noProof/>
        </w:rPr>
        <w:t>1982</w:t>
      </w:r>
      <w:r>
        <w:rPr>
          <w:noProof/>
        </w:rPr>
        <w:t xml:space="preserve">. </w:t>
      </w:r>
      <w:r w:rsidRPr="00EA54AA">
        <w:rPr>
          <w:noProof/>
        </w:rPr>
        <w:t xml:space="preserve">Geology and paleontology of </w:t>
      </w:r>
      <w:r w:rsidR="0012296F">
        <w:rPr>
          <w:noProof/>
        </w:rPr>
        <w:t>C</w:t>
      </w:r>
      <w:r w:rsidRPr="00EA54AA">
        <w:rPr>
          <w:noProof/>
        </w:rPr>
        <w:t xml:space="preserve">anal </w:t>
      </w:r>
      <w:r w:rsidR="0012296F">
        <w:rPr>
          <w:noProof/>
        </w:rPr>
        <w:t>Z</w:t>
      </w:r>
      <w:r w:rsidRPr="00EA54AA">
        <w:rPr>
          <w:noProof/>
        </w:rPr>
        <w:t>one and adjoi</w:t>
      </w:r>
      <w:r w:rsidR="0012296F">
        <w:rPr>
          <w:noProof/>
        </w:rPr>
        <w:t>n</w:t>
      </w:r>
      <w:r w:rsidRPr="00EA54AA">
        <w:rPr>
          <w:noProof/>
        </w:rPr>
        <w:t>ng parts of Panama: Description of Tertiary mollusks (Pelecypods: Propeamussiidae to Cuspidariidae)</w:t>
      </w:r>
      <w:r>
        <w:rPr>
          <w:noProof/>
        </w:rPr>
        <w:t xml:space="preserve">. </w:t>
      </w:r>
      <w:r w:rsidRPr="00EA54AA">
        <w:rPr>
          <w:noProof/>
        </w:rPr>
        <w:t>United States Geological Survey Professional Paper 306</w:t>
      </w:r>
      <w:r w:rsidR="0012296F">
        <w:rPr>
          <w:noProof/>
        </w:rPr>
        <w:t xml:space="preserve">. </w:t>
      </w:r>
    </w:p>
    <w:p w14:paraId="2725B2E9" w14:textId="199EE334" w:rsidR="00FF187D" w:rsidRPr="00FF187D" w:rsidRDefault="00FF187D" w:rsidP="00FF187D">
      <w:pPr>
        <w:pStyle w:val="EndNoteBibliography"/>
        <w:ind w:left="360" w:hanging="360"/>
        <w:rPr>
          <w:noProof/>
        </w:rPr>
      </w:pPr>
      <w:r w:rsidRPr="00EA54AA">
        <w:rPr>
          <w:noProof/>
        </w:rPr>
        <w:t>Zaffos, A., S. Finnegan, and S. E. Peters</w:t>
      </w:r>
      <w:r>
        <w:rPr>
          <w:noProof/>
        </w:rPr>
        <w:t xml:space="preserve">. </w:t>
      </w:r>
      <w:r w:rsidRPr="00EA54AA">
        <w:rPr>
          <w:noProof/>
        </w:rPr>
        <w:t>2017</w:t>
      </w:r>
      <w:r>
        <w:rPr>
          <w:noProof/>
        </w:rPr>
        <w:t xml:space="preserve">. </w:t>
      </w:r>
      <w:r w:rsidRPr="00EA54AA">
        <w:rPr>
          <w:noProof/>
        </w:rPr>
        <w:t>Plate tectonic regulation of global marine animal diversity</w:t>
      </w:r>
      <w:r>
        <w:rPr>
          <w:noProof/>
        </w:rPr>
        <w:t xml:space="preserve">. </w:t>
      </w:r>
      <w:r w:rsidRPr="00EA54AA">
        <w:rPr>
          <w:noProof/>
        </w:rPr>
        <w:t>Proceedings of the National Academy of Sciences 114:5653</w:t>
      </w:r>
      <w:r>
        <w:rPr>
          <w:noProof/>
        </w:rPr>
        <w:t>–</w:t>
      </w:r>
      <w:r w:rsidRPr="00EA54AA">
        <w:rPr>
          <w:noProof/>
        </w:rPr>
        <w:t>5658.</w:t>
      </w:r>
      <w:r>
        <w:rPr>
          <w:b/>
          <w:szCs w:val="24"/>
        </w:rPr>
        <w:br w:type="page"/>
      </w:r>
    </w:p>
    <w:p w14:paraId="1B33E33A" w14:textId="77777777" w:rsidR="00AE1885" w:rsidRPr="001907C6" w:rsidRDefault="00AE1885" w:rsidP="00AE1885">
      <w:pPr>
        <w:rPr>
          <w:rFonts w:ascii="Times New Roman" w:hAnsi="Times New Roman"/>
          <w:szCs w:val="24"/>
        </w:rPr>
      </w:pPr>
      <w:r w:rsidRPr="001907C6">
        <w:rPr>
          <w:rFonts w:ascii="Times New Roman" w:hAnsi="Times New Roman"/>
          <w:szCs w:val="24"/>
        </w:rPr>
        <w:lastRenderedPageBreak/>
        <w:t>FIGURE 1. Sample distribution for occurrences of</w:t>
      </w:r>
      <w:r>
        <w:rPr>
          <w:rFonts w:ascii="Times New Roman" w:hAnsi="Times New Roman"/>
          <w:szCs w:val="24"/>
        </w:rPr>
        <w:t xml:space="preserve"> </w:t>
      </w:r>
      <w:r w:rsidRPr="001907C6">
        <w:rPr>
          <w:rFonts w:ascii="Times New Roman" w:hAnsi="Times New Roman"/>
          <w:szCs w:val="24"/>
        </w:rPr>
        <w:t>brachiopod genera in the Permian 3 bin of the Paleobiology</w:t>
      </w:r>
      <w:r>
        <w:rPr>
          <w:rFonts w:ascii="Times New Roman" w:hAnsi="Times New Roman"/>
          <w:szCs w:val="24"/>
        </w:rPr>
        <w:t xml:space="preserve"> </w:t>
      </w:r>
      <w:r w:rsidRPr="001907C6">
        <w:rPr>
          <w:rFonts w:ascii="Times New Roman" w:hAnsi="Times New Roman"/>
          <w:szCs w:val="24"/>
        </w:rPr>
        <w:t>Database, showing cumulative proportion of occurrences</w:t>
      </w:r>
      <w:r>
        <w:rPr>
          <w:rFonts w:ascii="Times New Roman" w:hAnsi="Times New Roman"/>
          <w:szCs w:val="24"/>
        </w:rPr>
        <w:t xml:space="preserve"> </w:t>
      </w:r>
      <w:r w:rsidRPr="001907C6">
        <w:rPr>
          <w:rFonts w:ascii="Times New Roman" w:hAnsi="Times New Roman"/>
          <w:szCs w:val="24"/>
        </w:rPr>
        <w:t>vs. rank. There are 311 brachiopod genera, with a total of</w:t>
      </w:r>
      <w:r>
        <w:rPr>
          <w:rFonts w:ascii="Times New Roman" w:hAnsi="Times New Roman"/>
          <w:szCs w:val="24"/>
        </w:rPr>
        <w:t xml:space="preserve"> </w:t>
      </w:r>
      <w:r w:rsidRPr="001907C6">
        <w:rPr>
          <w:rFonts w:ascii="Times New Roman" w:hAnsi="Times New Roman"/>
          <w:szCs w:val="24"/>
        </w:rPr>
        <w:t>13,316 occurrences. The arrows indicate different potential</w:t>
      </w:r>
    </w:p>
    <w:p w14:paraId="30A0F15A" w14:textId="77777777" w:rsidR="00AE1885" w:rsidRPr="001907C6" w:rsidRDefault="00AE1885" w:rsidP="00AE1885">
      <w:pPr>
        <w:rPr>
          <w:rFonts w:ascii="Times New Roman" w:hAnsi="Times New Roman"/>
          <w:szCs w:val="24"/>
        </w:rPr>
      </w:pPr>
      <w:r w:rsidRPr="001907C6">
        <w:rPr>
          <w:rFonts w:ascii="Times New Roman" w:hAnsi="Times New Roman"/>
          <w:szCs w:val="24"/>
        </w:rPr>
        <w:t>cutoffs between dominant (“common”) and nondominant</w:t>
      </w:r>
      <w:r>
        <w:rPr>
          <w:rFonts w:ascii="Times New Roman" w:hAnsi="Times New Roman"/>
          <w:szCs w:val="24"/>
        </w:rPr>
        <w:t xml:space="preserve"> </w:t>
      </w:r>
      <w:r w:rsidRPr="001907C6">
        <w:rPr>
          <w:rFonts w:ascii="Times New Roman" w:hAnsi="Times New Roman"/>
          <w:szCs w:val="24"/>
        </w:rPr>
        <w:t>genera (see Table 1). Permian 3 corresponds to the Roadian</w:t>
      </w:r>
      <w:r>
        <w:rPr>
          <w:rFonts w:ascii="Times New Roman" w:hAnsi="Times New Roman"/>
          <w:szCs w:val="24"/>
        </w:rPr>
        <w:t xml:space="preserve"> </w:t>
      </w:r>
      <w:r w:rsidRPr="001907C6">
        <w:rPr>
          <w:rFonts w:ascii="Times New Roman" w:hAnsi="Times New Roman"/>
          <w:szCs w:val="24"/>
        </w:rPr>
        <w:t>to Capitanian stages (Guadalupian series). Paleobiology</w:t>
      </w:r>
    </w:p>
    <w:p w14:paraId="2957D5E6" w14:textId="77777777" w:rsidR="00AE1885" w:rsidRDefault="00AE1885" w:rsidP="00AE1885">
      <w:r w:rsidRPr="001907C6">
        <w:rPr>
          <w:rFonts w:ascii="Times New Roman" w:hAnsi="Times New Roman"/>
          <w:szCs w:val="24"/>
        </w:rPr>
        <w:t>Database data downloaded 22 January 2018.</w:t>
      </w:r>
      <w:r>
        <w:rPr>
          <w:noProof/>
          <w:lang w:eastAsia="en-US"/>
        </w:rPr>
        <w:drawing>
          <wp:inline distT="0" distB="0" distL="0" distR="0" wp14:anchorId="792E66A7" wp14:editId="04251F4A">
            <wp:extent cx="4819650" cy="432938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 new.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24615" cy="4333844"/>
                    </a:xfrm>
                    <a:prstGeom prst="rect">
                      <a:avLst/>
                    </a:prstGeom>
                  </pic:spPr>
                </pic:pic>
              </a:graphicData>
            </a:graphic>
          </wp:inline>
        </w:drawing>
      </w:r>
    </w:p>
    <w:p w14:paraId="29B5A7FB" w14:textId="77777777" w:rsidR="00AE1885" w:rsidRDefault="00AE1885" w:rsidP="00AE1885">
      <w:pPr>
        <w:spacing w:before="100" w:beforeAutospacing="1" w:after="100" w:afterAutospacing="1"/>
      </w:pPr>
      <w:r>
        <w:br w:type="page"/>
      </w:r>
    </w:p>
    <w:p w14:paraId="38FA1057" w14:textId="77777777" w:rsidR="00AE1885" w:rsidRDefault="00AE1885" w:rsidP="00AE1885">
      <w:pPr>
        <w:spacing w:before="100" w:beforeAutospacing="1" w:after="100" w:afterAutospacing="1"/>
        <w:rPr>
          <w:rFonts w:ascii="Times New Roman" w:hAnsi="Times New Roman"/>
          <w:szCs w:val="24"/>
        </w:rPr>
      </w:pPr>
      <w:r w:rsidRPr="001907C6">
        <w:rPr>
          <w:rFonts w:ascii="Times New Roman" w:hAnsi="Times New Roman"/>
          <w:szCs w:val="24"/>
        </w:rPr>
        <w:lastRenderedPageBreak/>
        <w:t>FIGURE 2. Holdovers within “top 20” or “top 10” over</w:t>
      </w:r>
      <w:r>
        <w:rPr>
          <w:rFonts w:ascii="Times New Roman" w:hAnsi="Times New Roman"/>
          <w:szCs w:val="24"/>
        </w:rPr>
        <w:t xml:space="preserve"> </w:t>
      </w:r>
      <w:r w:rsidRPr="001907C6">
        <w:rPr>
          <w:rFonts w:ascii="Times New Roman" w:hAnsi="Times New Roman"/>
          <w:szCs w:val="24"/>
        </w:rPr>
        <w:t>time. Values are numbers of most common genera on that</w:t>
      </w:r>
      <w:r>
        <w:rPr>
          <w:rFonts w:ascii="Times New Roman" w:hAnsi="Times New Roman"/>
          <w:szCs w:val="24"/>
        </w:rPr>
        <w:t xml:space="preserve">  </w:t>
      </w:r>
      <w:r w:rsidRPr="001907C6">
        <w:rPr>
          <w:rFonts w:ascii="Times New Roman" w:hAnsi="Times New Roman"/>
          <w:szCs w:val="24"/>
        </w:rPr>
        <w:t>list from one bin that are found in the next. Zero is</w:t>
      </w:r>
      <w:r>
        <w:rPr>
          <w:rFonts w:ascii="Times New Roman" w:hAnsi="Times New Roman"/>
          <w:szCs w:val="24"/>
        </w:rPr>
        <w:t xml:space="preserve"> </w:t>
      </w:r>
      <w:r w:rsidRPr="001907C6">
        <w:rPr>
          <w:rFonts w:ascii="Times New Roman" w:hAnsi="Times New Roman"/>
          <w:szCs w:val="24"/>
        </w:rPr>
        <w:t>complete turnover on the list (Supplementary Tables 1, 2).</w:t>
      </w:r>
      <w:r>
        <w:rPr>
          <w:rFonts w:ascii="Times New Roman" w:hAnsi="Times New Roman"/>
          <w:szCs w:val="24"/>
        </w:rPr>
        <w:t xml:space="preserve"> </w:t>
      </w:r>
      <w:r w:rsidRPr="001907C6">
        <w:rPr>
          <w:rFonts w:ascii="Times New Roman" w:hAnsi="Times New Roman"/>
          <w:szCs w:val="24"/>
        </w:rPr>
        <w:t>A, Top 20 (top 21 in case of ties) for all taxa merged. B, Top</w:t>
      </w:r>
      <w:r>
        <w:rPr>
          <w:rFonts w:ascii="Times New Roman" w:hAnsi="Times New Roman"/>
          <w:szCs w:val="24"/>
        </w:rPr>
        <w:t xml:space="preserve"> </w:t>
      </w:r>
      <w:r w:rsidRPr="001907C6">
        <w:rPr>
          <w:rFonts w:ascii="Times New Roman" w:hAnsi="Times New Roman"/>
          <w:szCs w:val="24"/>
        </w:rPr>
        <w:t>10 for trilobites, brachiopods, cephalopods, and echinoids.C, Top 10 for gastropods, bivalves, and cephalopods. Only</w:t>
      </w:r>
      <w:r>
        <w:rPr>
          <w:rFonts w:ascii="Times New Roman" w:hAnsi="Times New Roman"/>
          <w:szCs w:val="24"/>
        </w:rPr>
        <w:t xml:space="preserve"> </w:t>
      </w:r>
      <w:r w:rsidRPr="001907C6">
        <w:rPr>
          <w:rFonts w:ascii="Times New Roman" w:hAnsi="Times New Roman"/>
          <w:szCs w:val="24"/>
        </w:rPr>
        <w:t>intervals with more than 50 genera are shown.</w:t>
      </w:r>
      <w:r>
        <w:rPr>
          <w:rFonts w:ascii="Times New Roman" w:hAnsi="Times New Roman"/>
          <w:noProof/>
          <w:szCs w:val="24"/>
          <w:lang w:eastAsia="en-US"/>
        </w:rPr>
        <w:drawing>
          <wp:inline distT="0" distB="0" distL="0" distR="0" wp14:anchorId="1F2E0EDC" wp14:editId="44FCD182">
            <wp:extent cx="3286125" cy="59076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289860" cy="5914357"/>
                    </a:xfrm>
                    <a:prstGeom prst="rect">
                      <a:avLst/>
                    </a:prstGeom>
                  </pic:spPr>
                </pic:pic>
              </a:graphicData>
            </a:graphic>
          </wp:inline>
        </w:drawing>
      </w:r>
      <w:r>
        <w:rPr>
          <w:rFonts w:ascii="Times New Roman" w:hAnsi="Times New Roman"/>
          <w:szCs w:val="24"/>
        </w:rPr>
        <w:br w:type="page"/>
      </w:r>
    </w:p>
    <w:p w14:paraId="6C51B05F" w14:textId="77777777" w:rsidR="00AE1885" w:rsidRPr="00C7158D" w:rsidRDefault="00AE1885" w:rsidP="00AE1885">
      <w:pPr>
        <w:keepLines/>
        <w:spacing w:line="480" w:lineRule="auto"/>
        <w:rPr>
          <w:rFonts w:ascii="Times New Roman" w:hAnsi="Times New Roman"/>
          <w:szCs w:val="24"/>
        </w:rPr>
      </w:pPr>
      <w:r w:rsidRPr="00C7158D">
        <w:rPr>
          <w:rFonts w:ascii="Times New Roman" w:hAnsi="Times New Roman"/>
          <w:szCs w:val="24"/>
        </w:rPr>
        <w:lastRenderedPageBreak/>
        <w:t xml:space="preserve">Figure 3. </w:t>
      </w:r>
      <w:r w:rsidRPr="001907C6">
        <w:rPr>
          <w:rFonts w:ascii="Times New Roman" w:hAnsi="Times New Roman"/>
          <w:szCs w:val="24"/>
        </w:rPr>
        <w:t>Bin-to-bin origination and extinction rates for</w:t>
      </w:r>
      <w:r>
        <w:rPr>
          <w:rFonts w:ascii="Times New Roman" w:hAnsi="Times New Roman"/>
          <w:szCs w:val="24"/>
        </w:rPr>
        <w:t xml:space="preserve"> </w:t>
      </w:r>
      <w:r w:rsidRPr="001907C6">
        <w:rPr>
          <w:rFonts w:ascii="Times New Roman" w:hAnsi="Times New Roman"/>
          <w:szCs w:val="24"/>
        </w:rPr>
        <w:t>dominant (purple) and nondominant (green) genera from</w:t>
      </w:r>
      <w:r>
        <w:rPr>
          <w:rFonts w:ascii="Times New Roman" w:hAnsi="Times New Roman"/>
          <w:szCs w:val="24"/>
        </w:rPr>
        <w:t xml:space="preserve"> </w:t>
      </w:r>
      <w:r w:rsidRPr="001907C6">
        <w:rPr>
          <w:rFonts w:ascii="Times New Roman" w:hAnsi="Times New Roman"/>
          <w:szCs w:val="24"/>
        </w:rPr>
        <w:t>the intervals noted. Dominant are always first, so compare</w:t>
      </w:r>
      <w:r>
        <w:rPr>
          <w:rFonts w:ascii="Times New Roman" w:hAnsi="Times New Roman"/>
          <w:szCs w:val="24"/>
        </w:rPr>
        <w:t xml:space="preserve"> </w:t>
      </w:r>
      <w:r w:rsidRPr="001907C6">
        <w:rPr>
          <w:rFonts w:ascii="Times New Roman" w:hAnsi="Times New Roman"/>
          <w:szCs w:val="24"/>
        </w:rPr>
        <w:t>left to right. These values take into account sampling in the</w:t>
      </w:r>
      <w:r>
        <w:rPr>
          <w:rFonts w:ascii="Times New Roman" w:hAnsi="Times New Roman"/>
          <w:szCs w:val="24"/>
        </w:rPr>
        <w:t xml:space="preserve"> </w:t>
      </w:r>
      <w:r w:rsidRPr="001907C6">
        <w:rPr>
          <w:rFonts w:ascii="Times New Roman" w:hAnsi="Times New Roman"/>
          <w:szCs w:val="24"/>
        </w:rPr>
        <w:t>prior interval based on the distribution of samples in the</w:t>
      </w:r>
      <w:r>
        <w:rPr>
          <w:rFonts w:ascii="Times New Roman" w:hAnsi="Times New Roman"/>
          <w:szCs w:val="24"/>
        </w:rPr>
        <w:t xml:space="preserve"> </w:t>
      </w:r>
      <w:r w:rsidRPr="001907C6">
        <w:rPr>
          <w:rFonts w:ascii="Times New Roman" w:hAnsi="Times New Roman"/>
          <w:szCs w:val="24"/>
        </w:rPr>
        <w:t>prior interval. The thick bars are 1-unit support, and the</w:t>
      </w:r>
      <w:r>
        <w:rPr>
          <w:rFonts w:ascii="Times New Roman" w:hAnsi="Times New Roman"/>
          <w:szCs w:val="24"/>
        </w:rPr>
        <w:t xml:space="preserve"> </w:t>
      </w:r>
      <w:r w:rsidRPr="001907C6">
        <w:rPr>
          <w:rFonts w:ascii="Times New Roman" w:hAnsi="Times New Roman"/>
          <w:szCs w:val="24"/>
        </w:rPr>
        <w:t>thin bars are 2-unit support. If the thick lines do not</w:t>
      </w:r>
      <w:r>
        <w:rPr>
          <w:rFonts w:ascii="Times New Roman" w:hAnsi="Times New Roman"/>
          <w:szCs w:val="24"/>
        </w:rPr>
        <w:t xml:space="preserve"> </w:t>
      </w:r>
      <w:r w:rsidRPr="001907C6">
        <w:rPr>
          <w:rFonts w:ascii="Times New Roman" w:hAnsi="Times New Roman"/>
          <w:szCs w:val="24"/>
        </w:rPr>
        <w:t>overlap, then the difference is significant. The column on</w:t>
      </w:r>
      <w:r>
        <w:rPr>
          <w:rFonts w:ascii="Times New Roman" w:hAnsi="Times New Roman"/>
          <w:szCs w:val="24"/>
        </w:rPr>
        <w:t xml:space="preserve"> </w:t>
      </w:r>
      <w:r w:rsidRPr="001907C6">
        <w:rPr>
          <w:rFonts w:ascii="Times New Roman" w:hAnsi="Times New Roman"/>
          <w:szCs w:val="24"/>
        </w:rPr>
        <w:t>the left is for using top 20 as a criterion for dominance; the</w:t>
      </w:r>
      <w:r>
        <w:rPr>
          <w:rFonts w:ascii="Times New Roman" w:hAnsi="Times New Roman"/>
          <w:szCs w:val="24"/>
        </w:rPr>
        <w:t xml:space="preserve"> </w:t>
      </w:r>
      <w:r w:rsidRPr="001907C6">
        <w:rPr>
          <w:rFonts w:ascii="Times New Roman" w:hAnsi="Times New Roman"/>
          <w:szCs w:val="24"/>
        </w:rPr>
        <w:t>column on the left is for top 5% as the criterion.</w:t>
      </w:r>
      <w:r>
        <w:rPr>
          <w:rFonts w:ascii="Times New Roman" w:hAnsi="Times New Roman"/>
          <w:noProof/>
          <w:szCs w:val="24"/>
          <w:lang w:eastAsia="en-US"/>
        </w:rPr>
        <w:drawing>
          <wp:inline distT="0" distB="0" distL="0" distR="0" wp14:anchorId="31FE3BEC" wp14:editId="014DA275">
            <wp:extent cx="5943600" cy="45751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03 - 4 Panels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575175"/>
                    </a:xfrm>
                    <a:prstGeom prst="rect">
                      <a:avLst/>
                    </a:prstGeom>
                  </pic:spPr>
                </pic:pic>
              </a:graphicData>
            </a:graphic>
          </wp:inline>
        </w:drawing>
      </w:r>
      <w:r>
        <w:rPr>
          <w:rFonts w:ascii="Times New Roman" w:hAnsi="Times New Roman"/>
          <w:szCs w:val="24"/>
        </w:rPr>
        <w:br w:type="page"/>
      </w:r>
    </w:p>
    <w:p w14:paraId="14E81364" w14:textId="77777777" w:rsidR="00AE1885" w:rsidRPr="00C7158D" w:rsidRDefault="00AE1885" w:rsidP="00AE1885">
      <w:pPr>
        <w:spacing w:line="480" w:lineRule="auto"/>
        <w:rPr>
          <w:rFonts w:ascii="Times New Roman" w:hAnsi="Times New Roman"/>
          <w:szCs w:val="24"/>
        </w:rPr>
      </w:pPr>
      <w:r w:rsidRPr="00C7158D">
        <w:rPr>
          <w:rFonts w:ascii="Times New Roman" w:hAnsi="Times New Roman"/>
          <w:szCs w:val="24"/>
        </w:rPr>
        <w:lastRenderedPageBreak/>
        <w:t>Figure 4</w:t>
      </w:r>
      <w:r w:rsidRPr="001907C6">
        <w:t xml:space="preserve"> </w:t>
      </w:r>
      <w:r w:rsidRPr="001907C6">
        <w:rPr>
          <w:rFonts w:ascii="Times New Roman" w:hAnsi="Times New Roman"/>
          <w:szCs w:val="24"/>
        </w:rPr>
        <w:t>Dominance patterns over time for the genera that rank in the top 20 in a Paleobiology Database bin at some</w:t>
      </w:r>
      <w:r>
        <w:rPr>
          <w:rFonts w:ascii="Times New Roman" w:hAnsi="Times New Roman"/>
          <w:szCs w:val="24"/>
        </w:rPr>
        <w:t xml:space="preserve"> </w:t>
      </w:r>
      <w:r w:rsidRPr="001907C6">
        <w:rPr>
          <w:rFonts w:ascii="Times New Roman" w:hAnsi="Times New Roman"/>
          <w:szCs w:val="24"/>
        </w:rPr>
        <w:t>point (gray spindles) compared with all other genera (white spindles). Results are shown for all extinct genera that last</w:t>
      </w:r>
      <w:r>
        <w:rPr>
          <w:rFonts w:ascii="Times New Roman" w:hAnsi="Times New Roman"/>
          <w:szCs w:val="24"/>
        </w:rPr>
        <w:t xml:space="preserve"> </w:t>
      </w:r>
      <w:r w:rsidRPr="001907C6">
        <w:rPr>
          <w:rFonts w:ascii="Times New Roman" w:hAnsi="Times New Roman"/>
          <w:szCs w:val="24"/>
        </w:rPr>
        <w:t>for between 3 and 11 bins. Ordinate is the distribution of the proportion of maximum occurrences in the interval, a</w:t>
      </w:r>
      <w:r>
        <w:rPr>
          <w:rFonts w:ascii="Times New Roman" w:hAnsi="Times New Roman"/>
          <w:szCs w:val="24"/>
        </w:rPr>
        <w:t xml:space="preserve"> </w:t>
      </w:r>
      <w:r w:rsidRPr="001907C6">
        <w:rPr>
          <w:rFonts w:ascii="Times New Roman" w:hAnsi="Times New Roman"/>
          <w:szCs w:val="24"/>
        </w:rPr>
        <w:t>measure of relative importance (see text). The values for the common genera show little change over time; those of the</w:t>
      </w:r>
      <w:r>
        <w:rPr>
          <w:rFonts w:ascii="Times New Roman" w:hAnsi="Times New Roman"/>
          <w:szCs w:val="24"/>
        </w:rPr>
        <w:t xml:space="preserve"> </w:t>
      </w:r>
      <w:r w:rsidRPr="001907C6">
        <w:rPr>
          <w:rFonts w:ascii="Times New Roman" w:hAnsi="Times New Roman"/>
          <w:szCs w:val="24"/>
        </w:rPr>
        <w:t>dominant genera show a pattern of waxing and waning, but rarely are common at first or last appearance.</w:t>
      </w:r>
      <w:r>
        <w:rPr>
          <w:rFonts w:ascii="Times New Roman" w:hAnsi="Times New Roman"/>
          <w:noProof/>
          <w:szCs w:val="24"/>
          <w:lang w:eastAsia="en-US"/>
        </w:rPr>
        <w:drawing>
          <wp:inline distT="0" distB="0" distL="0" distR="0" wp14:anchorId="1A5E0E31" wp14:editId="25531D4F">
            <wp:extent cx="5943600" cy="41998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4.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199890"/>
                    </a:xfrm>
                    <a:prstGeom prst="rect">
                      <a:avLst/>
                    </a:prstGeom>
                  </pic:spPr>
                </pic:pic>
              </a:graphicData>
            </a:graphic>
          </wp:inline>
        </w:drawing>
      </w:r>
    </w:p>
    <w:p w14:paraId="263CA5F1" w14:textId="77777777" w:rsidR="00AE1885" w:rsidRDefault="00AE1885" w:rsidP="00AE1885">
      <w:pPr>
        <w:spacing w:before="100" w:beforeAutospacing="1" w:after="100" w:afterAutospacing="1"/>
        <w:rPr>
          <w:rFonts w:ascii="Times New Roman" w:hAnsi="Times New Roman"/>
          <w:szCs w:val="24"/>
        </w:rPr>
      </w:pPr>
      <w:r>
        <w:rPr>
          <w:rFonts w:ascii="Times New Roman" w:hAnsi="Times New Roman"/>
          <w:szCs w:val="24"/>
        </w:rPr>
        <w:br w:type="page"/>
      </w:r>
    </w:p>
    <w:p w14:paraId="7FB6D461" w14:textId="77777777" w:rsidR="00AE1885" w:rsidRPr="00C7158D" w:rsidRDefault="00AE1885" w:rsidP="00AE1885">
      <w:pPr>
        <w:tabs>
          <w:tab w:val="left" w:pos="5805"/>
        </w:tabs>
        <w:spacing w:line="480" w:lineRule="auto"/>
        <w:rPr>
          <w:rFonts w:ascii="Times New Roman" w:hAnsi="Times New Roman"/>
          <w:szCs w:val="24"/>
        </w:rPr>
      </w:pPr>
      <w:r w:rsidRPr="00C7158D">
        <w:rPr>
          <w:rFonts w:ascii="Times New Roman" w:hAnsi="Times New Roman"/>
          <w:szCs w:val="24"/>
        </w:rPr>
        <w:lastRenderedPageBreak/>
        <w:t>Figure 5</w:t>
      </w:r>
      <w:r>
        <w:rPr>
          <w:rFonts w:ascii="Times New Roman" w:hAnsi="Times New Roman"/>
          <w:szCs w:val="24"/>
        </w:rPr>
        <w:t xml:space="preserve">. </w:t>
      </w:r>
      <w:r w:rsidRPr="00C7158D">
        <w:rPr>
          <w:rFonts w:ascii="Times New Roman" w:hAnsi="Times New Roman"/>
          <w:szCs w:val="24"/>
        </w:rPr>
        <w:t>Centers of gravity (CG) for extinct dominant genera (grey) and the remainder (white) having ranges of three to eleven PaleoDB bins</w:t>
      </w:r>
      <w:r>
        <w:rPr>
          <w:rFonts w:ascii="Times New Roman" w:hAnsi="Times New Roman"/>
          <w:szCs w:val="24"/>
        </w:rPr>
        <w:t xml:space="preserve">. </w:t>
      </w:r>
      <w:r w:rsidRPr="00C7158D">
        <w:rPr>
          <w:rFonts w:ascii="Times New Roman" w:hAnsi="Times New Roman"/>
          <w:b/>
          <w:szCs w:val="24"/>
        </w:rPr>
        <w:t>*</w:t>
      </w:r>
      <w:r w:rsidRPr="00C7158D">
        <w:rPr>
          <w:rFonts w:ascii="Times New Roman" w:hAnsi="Times New Roman"/>
          <w:szCs w:val="24"/>
        </w:rPr>
        <w:t xml:space="preserve"> are median values for dominant genera; </w:t>
      </w:r>
      <w:r w:rsidRPr="00C7158D">
        <w:rPr>
          <w:rFonts w:ascii="Times New Roman" w:hAnsi="Times New Roman"/>
          <w:b/>
          <w:szCs w:val="24"/>
        </w:rPr>
        <w:t>X</w:t>
      </w:r>
      <w:r w:rsidRPr="00C7158D">
        <w:rPr>
          <w:rFonts w:ascii="Times New Roman" w:hAnsi="Times New Roman"/>
          <w:szCs w:val="24"/>
        </w:rPr>
        <w:t xml:space="preserve"> are medians for the remainder</w:t>
      </w:r>
      <w:r>
        <w:rPr>
          <w:rFonts w:ascii="Times New Roman" w:hAnsi="Times New Roman"/>
          <w:szCs w:val="24"/>
        </w:rPr>
        <w:t xml:space="preserve">. </w:t>
      </w:r>
      <w:r w:rsidRPr="00C7158D">
        <w:rPr>
          <w:rFonts w:ascii="Times New Roman" w:hAnsi="Times New Roman"/>
          <w:szCs w:val="24"/>
        </w:rPr>
        <w:t xml:space="preserve">For both </w:t>
      </w:r>
      <w:r>
        <w:rPr>
          <w:rFonts w:ascii="Times New Roman" w:hAnsi="Times New Roman"/>
          <w:szCs w:val="24"/>
        </w:rPr>
        <w:t xml:space="preserve">dominant and non-dominant </w:t>
      </w:r>
      <w:r w:rsidRPr="00C7158D">
        <w:rPr>
          <w:rFonts w:ascii="Times New Roman" w:hAnsi="Times New Roman"/>
          <w:szCs w:val="24"/>
        </w:rPr>
        <w:t xml:space="preserve">genera, the CG’s are in the middle of the range (CG ≈ 0.5). </w:t>
      </w:r>
    </w:p>
    <w:p w14:paraId="23FE9888" w14:textId="77777777" w:rsidR="00AE1885" w:rsidRDefault="00AE1885" w:rsidP="00AE1885">
      <w:r>
        <w:rPr>
          <w:noProof/>
          <w:lang w:eastAsia="en-US"/>
        </w:rPr>
        <w:drawing>
          <wp:inline distT="0" distB="0" distL="0" distR="0" wp14:anchorId="009824D3" wp14:editId="67C96890">
            <wp:extent cx="5943600" cy="34810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5.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3481070"/>
                    </a:xfrm>
                    <a:prstGeom prst="rect">
                      <a:avLst/>
                    </a:prstGeom>
                  </pic:spPr>
                </pic:pic>
              </a:graphicData>
            </a:graphic>
          </wp:inline>
        </w:drawing>
      </w:r>
    </w:p>
    <w:p w14:paraId="7154C6B4" w14:textId="2FBC0532" w:rsidR="00FF08E6" w:rsidRPr="00C7158D" w:rsidRDefault="002610A2" w:rsidP="002610A2">
      <w:pPr>
        <w:spacing w:before="100" w:beforeAutospacing="1" w:after="100" w:afterAutospacing="1"/>
        <w:rPr>
          <w:rFonts w:ascii="Times New Roman" w:hAnsi="Times New Roman"/>
          <w:b/>
          <w:szCs w:val="24"/>
        </w:rPr>
      </w:pPr>
      <w:r>
        <w:rPr>
          <w:rFonts w:ascii="Times New Roman" w:hAnsi="Times New Roman"/>
          <w:b/>
          <w:szCs w:val="24"/>
        </w:rPr>
        <w:br w:type="page"/>
      </w:r>
    </w:p>
    <w:p w14:paraId="7E5554CB" w14:textId="77777777" w:rsidR="002610A2" w:rsidRDefault="002610A2" w:rsidP="002610A2">
      <w:pPr>
        <w:spacing w:before="100" w:beforeAutospacing="1" w:after="100" w:afterAutospacing="1" w:line="480" w:lineRule="auto"/>
      </w:pPr>
      <w:r>
        <w:lastRenderedPageBreak/>
        <w:t xml:space="preserve">Table 1. Effect of different cut-offs between dominant (“common”) and non-dominant taxa in the Paleobiology Database. Data are number of occurrences per genus for brachiopods in the Ordovician 5 (Late Ordovician) and Permian 3 (Guadalupian) bins and bivalves in the Cenozoic 5 (Miocene: </w:t>
      </w:r>
      <w:r w:rsidRPr="00F61E55">
        <w:t xml:space="preserve">Aquitanian </w:t>
      </w:r>
      <w:r>
        <w:t>–</w:t>
      </w:r>
      <w:r w:rsidRPr="00F61E55">
        <w:t xml:space="preserve"> Serravallian</w:t>
      </w:r>
      <w:r>
        <w:t>) bin. Cutoffs are: 10 most common genera (top 10); 20 most common genera (top 20); and top 5%, 10% and 20% of all genera. Values are the cumulative percentages of all occurrences at those cutoffs (see Fig. 1). Data downloaded on January 22, 2018.</w:t>
      </w:r>
    </w:p>
    <w:tbl>
      <w:tblPr>
        <w:tblW w:w="7110" w:type="dxa"/>
        <w:tblLook w:val="04A0" w:firstRow="1" w:lastRow="0" w:firstColumn="1" w:lastColumn="0" w:noHBand="0" w:noVBand="1"/>
      </w:tblPr>
      <w:tblGrid>
        <w:gridCol w:w="1595"/>
        <w:gridCol w:w="1880"/>
        <w:gridCol w:w="1800"/>
        <w:gridCol w:w="2070"/>
      </w:tblGrid>
      <w:tr w:rsidR="002610A2" w:rsidRPr="00F61E55" w14:paraId="2EBB223B" w14:textId="77777777" w:rsidTr="0017162D">
        <w:trPr>
          <w:trHeight w:val="468"/>
        </w:trPr>
        <w:tc>
          <w:tcPr>
            <w:tcW w:w="1360" w:type="dxa"/>
            <w:tcBorders>
              <w:top w:val="nil"/>
              <w:left w:val="nil"/>
              <w:bottom w:val="nil"/>
              <w:right w:val="nil"/>
            </w:tcBorders>
            <w:shd w:val="clear" w:color="auto" w:fill="auto"/>
            <w:noWrap/>
            <w:vAlign w:val="bottom"/>
            <w:hideMark/>
          </w:tcPr>
          <w:p w14:paraId="2AA2FA71" w14:textId="77777777" w:rsidR="002610A2" w:rsidRPr="00F61E55" w:rsidRDefault="002610A2" w:rsidP="0017162D">
            <w:pPr>
              <w:rPr>
                <w:rFonts w:eastAsia="Times New Roman"/>
              </w:rPr>
            </w:pPr>
          </w:p>
        </w:tc>
        <w:tc>
          <w:tcPr>
            <w:tcW w:w="5750" w:type="dxa"/>
            <w:gridSpan w:val="3"/>
            <w:tcBorders>
              <w:top w:val="nil"/>
              <w:left w:val="nil"/>
              <w:bottom w:val="nil"/>
              <w:right w:val="nil"/>
            </w:tcBorders>
            <w:shd w:val="clear" w:color="auto" w:fill="auto"/>
            <w:vAlign w:val="bottom"/>
            <w:hideMark/>
          </w:tcPr>
          <w:p w14:paraId="496E7CEB" w14:textId="77777777" w:rsidR="002610A2" w:rsidRPr="00F61E55" w:rsidRDefault="002610A2" w:rsidP="0017162D">
            <w:pPr>
              <w:jc w:val="center"/>
              <w:rPr>
                <w:rFonts w:eastAsia="Times New Roman"/>
                <w:b/>
                <w:bCs/>
                <w:color w:val="000000"/>
              </w:rPr>
            </w:pPr>
            <w:r w:rsidRPr="00F61E55">
              <w:rPr>
                <w:rFonts w:eastAsia="Times New Roman"/>
                <w:b/>
                <w:bCs/>
                <w:color w:val="000000"/>
              </w:rPr>
              <w:t>Cumulative Proportion Occurrences</w:t>
            </w:r>
          </w:p>
        </w:tc>
      </w:tr>
      <w:tr w:rsidR="002610A2" w:rsidRPr="00F61E55" w14:paraId="0D812ABB" w14:textId="77777777" w:rsidTr="0017162D">
        <w:trPr>
          <w:trHeight w:val="690"/>
        </w:trPr>
        <w:tc>
          <w:tcPr>
            <w:tcW w:w="1360" w:type="dxa"/>
            <w:tcBorders>
              <w:top w:val="nil"/>
              <w:left w:val="nil"/>
              <w:bottom w:val="nil"/>
              <w:right w:val="nil"/>
            </w:tcBorders>
            <w:shd w:val="clear" w:color="auto" w:fill="auto"/>
            <w:noWrap/>
            <w:vAlign w:val="bottom"/>
            <w:hideMark/>
          </w:tcPr>
          <w:p w14:paraId="5C1D099F" w14:textId="77777777" w:rsidR="002610A2" w:rsidRPr="00F61E55" w:rsidRDefault="002610A2" w:rsidP="0017162D">
            <w:pPr>
              <w:rPr>
                <w:rFonts w:eastAsia="Times New Roman"/>
              </w:rPr>
            </w:pPr>
          </w:p>
        </w:tc>
        <w:tc>
          <w:tcPr>
            <w:tcW w:w="1880" w:type="dxa"/>
            <w:tcBorders>
              <w:top w:val="nil"/>
              <w:left w:val="nil"/>
              <w:bottom w:val="nil"/>
              <w:right w:val="nil"/>
            </w:tcBorders>
            <w:shd w:val="clear" w:color="auto" w:fill="auto"/>
            <w:hideMark/>
          </w:tcPr>
          <w:p w14:paraId="610710F2" w14:textId="77777777" w:rsidR="002610A2" w:rsidRPr="00F61E55" w:rsidRDefault="002610A2" w:rsidP="0017162D">
            <w:pPr>
              <w:rPr>
                <w:rFonts w:eastAsia="Times New Roman"/>
                <w:color w:val="000000"/>
              </w:rPr>
            </w:pPr>
            <w:r w:rsidRPr="00F61E55">
              <w:rPr>
                <w:rFonts w:eastAsia="Times New Roman"/>
                <w:color w:val="000000"/>
              </w:rPr>
              <w:t>Brachiopods - Ordovician 5</w:t>
            </w:r>
          </w:p>
        </w:tc>
        <w:tc>
          <w:tcPr>
            <w:tcW w:w="1800" w:type="dxa"/>
            <w:tcBorders>
              <w:top w:val="nil"/>
              <w:left w:val="nil"/>
              <w:bottom w:val="nil"/>
              <w:right w:val="nil"/>
            </w:tcBorders>
            <w:shd w:val="clear" w:color="auto" w:fill="auto"/>
            <w:hideMark/>
          </w:tcPr>
          <w:p w14:paraId="6721FB3D" w14:textId="77777777" w:rsidR="002610A2" w:rsidRPr="00F61E55" w:rsidRDefault="002610A2" w:rsidP="0017162D">
            <w:pPr>
              <w:rPr>
                <w:rFonts w:eastAsia="Times New Roman"/>
                <w:color w:val="000000"/>
              </w:rPr>
            </w:pPr>
            <w:r w:rsidRPr="00F61E55">
              <w:rPr>
                <w:rFonts w:eastAsia="Times New Roman"/>
                <w:color w:val="000000"/>
              </w:rPr>
              <w:t>Brachiopods - Permian 3</w:t>
            </w:r>
          </w:p>
        </w:tc>
        <w:tc>
          <w:tcPr>
            <w:tcW w:w="2070" w:type="dxa"/>
            <w:tcBorders>
              <w:top w:val="nil"/>
              <w:left w:val="nil"/>
              <w:bottom w:val="nil"/>
              <w:right w:val="nil"/>
            </w:tcBorders>
            <w:shd w:val="clear" w:color="auto" w:fill="auto"/>
            <w:hideMark/>
          </w:tcPr>
          <w:p w14:paraId="1DB03F82" w14:textId="77777777" w:rsidR="002610A2" w:rsidRPr="00F61E55" w:rsidRDefault="002610A2" w:rsidP="0017162D">
            <w:pPr>
              <w:rPr>
                <w:rFonts w:eastAsia="Times New Roman"/>
                <w:color w:val="000000"/>
              </w:rPr>
            </w:pPr>
            <w:r w:rsidRPr="00F61E55">
              <w:rPr>
                <w:rFonts w:eastAsia="Times New Roman"/>
                <w:color w:val="000000"/>
              </w:rPr>
              <w:t>Bivalves - Cenozoic 5</w:t>
            </w:r>
          </w:p>
        </w:tc>
      </w:tr>
      <w:tr w:rsidR="002610A2" w:rsidRPr="00F61E55" w14:paraId="589CD365" w14:textId="77777777" w:rsidTr="0017162D">
        <w:trPr>
          <w:trHeight w:val="300"/>
        </w:trPr>
        <w:tc>
          <w:tcPr>
            <w:tcW w:w="1360" w:type="dxa"/>
            <w:tcBorders>
              <w:top w:val="nil"/>
              <w:left w:val="nil"/>
              <w:bottom w:val="nil"/>
              <w:right w:val="nil"/>
            </w:tcBorders>
            <w:shd w:val="clear" w:color="auto" w:fill="auto"/>
            <w:noWrap/>
            <w:vAlign w:val="center"/>
            <w:hideMark/>
          </w:tcPr>
          <w:p w14:paraId="2F510CDE" w14:textId="77777777" w:rsidR="002610A2" w:rsidRPr="00F61E55" w:rsidRDefault="002610A2" w:rsidP="0017162D">
            <w:pPr>
              <w:rPr>
                <w:rFonts w:eastAsia="Times New Roman"/>
                <w:b/>
                <w:bCs/>
                <w:color w:val="000000"/>
              </w:rPr>
            </w:pPr>
            <w:r w:rsidRPr="00F61E55">
              <w:rPr>
                <w:rFonts w:eastAsia="Times New Roman"/>
                <w:b/>
                <w:bCs/>
                <w:color w:val="000000"/>
              </w:rPr>
              <w:t>top 10</w:t>
            </w:r>
          </w:p>
        </w:tc>
        <w:tc>
          <w:tcPr>
            <w:tcW w:w="1880" w:type="dxa"/>
            <w:tcBorders>
              <w:top w:val="nil"/>
              <w:left w:val="nil"/>
              <w:bottom w:val="nil"/>
              <w:right w:val="nil"/>
            </w:tcBorders>
            <w:shd w:val="clear" w:color="auto" w:fill="auto"/>
            <w:noWrap/>
            <w:vAlign w:val="bottom"/>
            <w:hideMark/>
          </w:tcPr>
          <w:p w14:paraId="53677EAF" w14:textId="77777777" w:rsidR="002610A2" w:rsidRPr="00F61E55" w:rsidRDefault="002610A2" w:rsidP="0017162D">
            <w:pPr>
              <w:jc w:val="right"/>
              <w:rPr>
                <w:rFonts w:eastAsia="Times New Roman"/>
                <w:color w:val="000000"/>
              </w:rPr>
            </w:pPr>
            <w:r w:rsidRPr="00F61E55">
              <w:rPr>
                <w:rFonts w:eastAsia="Times New Roman"/>
                <w:color w:val="000000"/>
              </w:rPr>
              <w:t>0.192</w:t>
            </w:r>
          </w:p>
        </w:tc>
        <w:tc>
          <w:tcPr>
            <w:tcW w:w="1800" w:type="dxa"/>
            <w:tcBorders>
              <w:top w:val="nil"/>
              <w:left w:val="nil"/>
              <w:bottom w:val="nil"/>
              <w:right w:val="nil"/>
            </w:tcBorders>
            <w:shd w:val="clear" w:color="auto" w:fill="auto"/>
            <w:noWrap/>
            <w:vAlign w:val="bottom"/>
            <w:hideMark/>
          </w:tcPr>
          <w:p w14:paraId="4473D7D7" w14:textId="77777777" w:rsidR="002610A2" w:rsidRPr="00F61E55" w:rsidRDefault="002610A2" w:rsidP="0017162D">
            <w:pPr>
              <w:jc w:val="right"/>
              <w:rPr>
                <w:rFonts w:eastAsia="Times New Roman"/>
                <w:color w:val="000000"/>
              </w:rPr>
            </w:pPr>
            <w:r w:rsidRPr="00F61E55">
              <w:rPr>
                <w:rFonts w:eastAsia="Times New Roman"/>
                <w:color w:val="000000"/>
              </w:rPr>
              <w:t>0.262</w:t>
            </w:r>
          </w:p>
        </w:tc>
        <w:tc>
          <w:tcPr>
            <w:tcW w:w="2070" w:type="dxa"/>
            <w:tcBorders>
              <w:top w:val="nil"/>
              <w:left w:val="nil"/>
              <w:bottom w:val="nil"/>
              <w:right w:val="nil"/>
            </w:tcBorders>
            <w:shd w:val="clear" w:color="auto" w:fill="auto"/>
            <w:noWrap/>
            <w:vAlign w:val="bottom"/>
            <w:hideMark/>
          </w:tcPr>
          <w:p w14:paraId="2B2C2BE6" w14:textId="77777777" w:rsidR="002610A2" w:rsidRPr="00F61E55" w:rsidRDefault="002610A2" w:rsidP="0017162D">
            <w:pPr>
              <w:jc w:val="right"/>
              <w:rPr>
                <w:rFonts w:eastAsia="Times New Roman"/>
                <w:color w:val="000000"/>
              </w:rPr>
            </w:pPr>
            <w:r w:rsidRPr="00F61E55">
              <w:rPr>
                <w:rFonts w:eastAsia="Times New Roman"/>
                <w:color w:val="000000"/>
              </w:rPr>
              <w:t>0.211</w:t>
            </w:r>
          </w:p>
        </w:tc>
      </w:tr>
      <w:tr w:rsidR="002610A2" w:rsidRPr="00F61E55" w14:paraId="3E3F89B7" w14:textId="77777777" w:rsidTr="0017162D">
        <w:trPr>
          <w:trHeight w:val="300"/>
        </w:trPr>
        <w:tc>
          <w:tcPr>
            <w:tcW w:w="1360" w:type="dxa"/>
            <w:tcBorders>
              <w:top w:val="nil"/>
              <w:left w:val="nil"/>
              <w:bottom w:val="nil"/>
              <w:right w:val="nil"/>
            </w:tcBorders>
            <w:shd w:val="clear" w:color="auto" w:fill="auto"/>
            <w:noWrap/>
            <w:vAlign w:val="center"/>
            <w:hideMark/>
          </w:tcPr>
          <w:p w14:paraId="1366B66A" w14:textId="77777777" w:rsidR="002610A2" w:rsidRPr="00F61E55" w:rsidRDefault="002610A2" w:rsidP="0017162D">
            <w:pPr>
              <w:rPr>
                <w:rFonts w:eastAsia="Times New Roman"/>
                <w:b/>
                <w:bCs/>
                <w:color w:val="000000"/>
              </w:rPr>
            </w:pPr>
            <w:r w:rsidRPr="00F61E55">
              <w:rPr>
                <w:rFonts w:eastAsia="Times New Roman"/>
                <w:b/>
                <w:bCs/>
                <w:color w:val="000000"/>
              </w:rPr>
              <w:t>top 20</w:t>
            </w:r>
          </w:p>
        </w:tc>
        <w:tc>
          <w:tcPr>
            <w:tcW w:w="1880" w:type="dxa"/>
            <w:tcBorders>
              <w:top w:val="nil"/>
              <w:left w:val="nil"/>
              <w:bottom w:val="nil"/>
              <w:right w:val="nil"/>
            </w:tcBorders>
            <w:shd w:val="clear" w:color="auto" w:fill="auto"/>
            <w:noWrap/>
            <w:vAlign w:val="bottom"/>
            <w:hideMark/>
          </w:tcPr>
          <w:p w14:paraId="6670C97C" w14:textId="77777777" w:rsidR="002610A2" w:rsidRPr="00F61E55" w:rsidRDefault="002610A2" w:rsidP="0017162D">
            <w:pPr>
              <w:jc w:val="right"/>
              <w:rPr>
                <w:rFonts w:eastAsia="Times New Roman"/>
                <w:color w:val="000000"/>
              </w:rPr>
            </w:pPr>
            <w:r w:rsidRPr="00F61E55">
              <w:rPr>
                <w:rFonts w:eastAsia="Times New Roman"/>
                <w:color w:val="000000"/>
              </w:rPr>
              <w:t>0.259</w:t>
            </w:r>
          </w:p>
        </w:tc>
        <w:tc>
          <w:tcPr>
            <w:tcW w:w="1800" w:type="dxa"/>
            <w:tcBorders>
              <w:top w:val="nil"/>
              <w:left w:val="nil"/>
              <w:bottom w:val="nil"/>
              <w:right w:val="nil"/>
            </w:tcBorders>
            <w:shd w:val="clear" w:color="auto" w:fill="auto"/>
            <w:noWrap/>
            <w:vAlign w:val="center"/>
            <w:hideMark/>
          </w:tcPr>
          <w:p w14:paraId="0FEE971B" w14:textId="77777777" w:rsidR="002610A2" w:rsidRPr="00F61E55" w:rsidRDefault="002610A2" w:rsidP="0017162D">
            <w:pPr>
              <w:jc w:val="right"/>
              <w:rPr>
                <w:rFonts w:eastAsia="Times New Roman"/>
                <w:color w:val="000000"/>
              </w:rPr>
            </w:pPr>
            <w:r w:rsidRPr="00F61E55">
              <w:rPr>
                <w:rFonts w:eastAsia="Times New Roman"/>
                <w:color w:val="000000"/>
              </w:rPr>
              <w:t>0.410</w:t>
            </w:r>
          </w:p>
        </w:tc>
        <w:tc>
          <w:tcPr>
            <w:tcW w:w="2070" w:type="dxa"/>
            <w:tcBorders>
              <w:top w:val="nil"/>
              <w:left w:val="nil"/>
              <w:bottom w:val="nil"/>
              <w:right w:val="nil"/>
            </w:tcBorders>
            <w:shd w:val="clear" w:color="auto" w:fill="auto"/>
            <w:noWrap/>
            <w:vAlign w:val="bottom"/>
            <w:hideMark/>
          </w:tcPr>
          <w:p w14:paraId="4F27A05A" w14:textId="77777777" w:rsidR="002610A2" w:rsidRPr="00F61E55" w:rsidRDefault="002610A2" w:rsidP="0017162D">
            <w:pPr>
              <w:jc w:val="right"/>
              <w:rPr>
                <w:rFonts w:eastAsia="Times New Roman"/>
                <w:color w:val="000000"/>
              </w:rPr>
            </w:pPr>
            <w:r w:rsidRPr="00F61E55">
              <w:rPr>
                <w:rFonts w:eastAsia="Times New Roman"/>
                <w:color w:val="000000"/>
              </w:rPr>
              <w:t>0.299</w:t>
            </w:r>
          </w:p>
        </w:tc>
      </w:tr>
      <w:tr w:rsidR="002610A2" w:rsidRPr="00F61E55" w14:paraId="598A35E2" w14:textId="77777777" w:rsidTr="0017162D">
        <w:trPr>
          <w:trHeight w:val="300"/>
        </w:trPr>
        <w:tc>
          <w:tcPr>
            <w:tcW w:w="1360" w:type="dxa"/>
            <w:tcBorders>
              <w:top w:val="nil"/>
              <w:left w:val="nil"/>
              <w:bottom w:val="nil"/>
              <w:right w:val="nil"/>
            </w:tcBorders>
            <w:shd w:val="clear" w:color="auto" w:fill="auto"/>
            <w:noWrap/>
            <w:vAlign w:val="center"/>
            <w:hideMark/>
          </w:tcPr>
          <w:p w14:paraId="26931656" w14:textId="77777777" w:rsidR="002610A2" w:rsidRPr="00F61E55" w:rsidRDefault="002610A2" w:rsidP="0017162D">
            <w:pPr>
              <w:rPr>
                <w:rFonts w:eastAsia="Times New Roman"/>
                <w:b/>
                <w:bCs/>
                <w:color w:val="000000"/>
              </w:rPr>
            </w:pPr>
            <w:r w:rsidRPr="00F61E55">
              <w:rPr>
                <w:rFonts w:eastAsia="Times New Roman"/>
                <w:b/>
                <w:bCs/>
                <w:color w:val="000000"/>
              </w:rPr>
              <w:t>top 5%</w:t>
            </w:r>
          </w:p>
        </w:tc>
        <w:tc>
          <w:tcPr>
            <w:tcW w:w="1880" w:type="dxa"/>
            <w:tcBorders>
              <w:top w:val="nil"/>
              <w:left w:val="nil"/>
              <w:bottom w:val="nil"/>
              <w:right w:val="nil"/>
            </w:tcBorders>
            <w:shd w:val="clear" w:color="auto" w:fill="auto"/>
            <w:noWrap/>
            <w:vAlign w:val="bottom"/>
            <w:hideMark/>
          </w:tcPr>
          <w:p w14:paraId="73CCA772" w14:textId="77777777" w:rsidR="002610A2" w:rsidRPr="00F61E55" w:rsidRDefault="002610A2" w:rsidP="0017162D">
            <w:pPr>
              <w:jc w:val="right"/>
              <w:rPr>
                <w:rFonts w:eastAsia="Times New Roman"/>
                <w:color w:val="000000"/>
              </w:rPr>
            </w:pPr>
            <w:r w:rsidRPr="00F61E55">
              <w:rPr>
                <w:rFonts w:eastAsia="Times New Roman"/>
                <w:color w:val="000000"/>
              </w:rPr>
              <w:t>0.237</w:t>
            </w:r>
          </w:p>
        </w:tc>
        <w:tc>
          <w:tcPr>
            <w:tcW w:w="1800" w:type="dxa"/>
            <w:tcBorders>
              <w:top w:val="nil"/>
              <w:left w:val="nil"/>
              <w:bottom w:val="nil"/>
              <w:right w:val="nil"/>
            </w:tcBorders>
            <w:shd w:val="clear" w:color="auto" w:fill="auto"/>
            <w:noWrap/>
            <w:vAlign w:val="bottom"/>
            <w:hideMark/>
          </w:tcPr>
          <w:p w14:paraId="0D40C830" w14:textId="77777777" w:rsidR="002610A2" w:rsidRPr="00F61E55" w:rsidRDefault="002610A2" w:rsidP="0017162D">
            <w:pPr>
              <w:jc w:val="right"/>
              <w:rPr>
                <w:rFonts w:eastAsia="Times New Roman"/>
                <w:color w:val="000000"/>
              </w:rPr>
            </w:pPr>
            <w:r w:rsidRPr="00F61E55">
              <w:rPr>
                <w:rFonts w:eastAsia="Times New Roman"/>
                <w:color w:val="000000"/>
              </w:rPr>
              <w:t>0.356</w:t>
            </w:r>
          </w:p>
        </w:tc>
        <w:tc>
          <w:tcPr>
            <w:tcW w:w="2070" w:type="dxa"/>
            <w:tcBorders>
              <w:top w:val="nil"/>
              <w:left w:val="nil"/>
              <w:bottom w:val="nil"/>
              <w:right w:val="nil"/>
            </w:tcBorders>
            <w:shd w:val="clear" w:color="auto" w:fill="auto"/>
            <w:noWrap/>
            <w:vAlign w:val="bottom"/>
            <w:hideMark/>
          </w:tcPr>
          <w:p w14:paraId="094C9203" w14:textId="77777777" w:rsidR="002610A2" w:rsidRPr="00F61E55" w:rsidRDefault="002610A2" w:rsidP="0017162D">
            <w:pPr>
              <w:jc w:val="right"/>
              <w:rPr>
                <w:rFonts w:eastAsia="Times New Roman"/>
                <w:color w:val="000000"/>
              </w:rPr>
            </w:pPr>
            <w:r w:rsidRPr="00F61E55">
              <w:rPr>
                <w:rFonts w:eastAsia="Times New Roman"/>
                <w:color w:val="000000"/>
              </w:rPr>
              <w:t>0.372</w:t>
            </w:r>
          </w:p>
        </w:tc>
      </w:tr>
      <w:tr w:rsidR="002610A2" w:rsidRPr="00F61E55" w14:paraId="25DFF59A" w14:textId="77777777" w:rsidTr="0017162D">
        <w:trPr>
          <w:trHeight w:val="300"/>
        </w:trPr>
        <w:tc>
          <w:tcPr>
            <w:tcW w:w="1360" w:type="dxa"/>
            <w:tcBorders>
              <w:top w:val="nil"/>
              <w:left w:val="nil"/>
              <w:bottom w:val="nil"/>
              <w:right w:val="nil"/>
            </w:tcBorders>
            <w:shd w:val="clear" w:color="auto" w:fill="auto"/>
            <w:noWrap/>
            <w:vAlign w:val="center"/>
            <w:hideMark/>
          </w:tcPr>
          <w:p w14:paraId="2642132B" w14:textId="77777777" w:rsidR="002610A2" w:rsidRPr="00F61E55" w:rsidRDefault="002610A2" w:rsidP="0017162D">
            <w:pPr>
              <w:rPr>
                <w:rFonts w:eastAsia="Times New Roman"/>
                <w:b/>
                <w:bCs/>
                <w:color w:val="000000"/>
              </w:rPr>
            </w:pPr>
            <w:r w:rsidRPr="00F61E55">
              <w:rPr>
                <w:rFonts w:eastAsia="Times New Roman"/>
                <w:b/>
                <w:bCs/>
                <w:color w:val="000000"/>
              </w:rPr>
              <w:t>top 10%</w:t>
            </w:r>
          </w:p>
        </w:tc>
        <w:tc>
          <w:tcPr>
            <w:tcW w:w="1880" w:type="dxa"/>
            <w:tcBorders>
              <w:top w:val="nil"/>
              <w:left w:val="nil"/>
              <w:bottom w:val="nil"/>
              <w:right w:val="nil"/>
            </w:tcBorders>
            <w:shd w:val="clear" w:color="auto" w:fill="auto"/>
            <w:noWrap/>
            <w:vAlign w:val="bottom"/>
            <w:hideMark/>
          </w:tcPr>
          <w:p w14:paraId="4FE619F5" w14:textId="77777777" w:rsidR="002610A2" w:rsidRPr="00F61E55" w:rsidRDefault="002610A2" w:rsidP="0017162D">
            <w:pPr>
              <w:jc w:val="right"/>
              <w:rPr>
                <w:rFonts w:eastAsia="Times New Roman"/>
                <w:color w:val="000000"/>
              </w:rPr>
            </w:pPr>
            <w:r w:rsidRPr="00F61E55">
              <w:rPr>
                <w:rFonts w:eastAsia="Times New Roman"/>
                <w:color w:val="000000"/>
              </w:rPr>
              <w:t>0.301</w:t>
            </w:r>
          </w:p>
        </w:tc>
        <w:tc>
          <w:tcPr>
            <w:tcW w:w="1800" w:type="dxa"/>
            <w:tcBorders>
              <w:top w:val="nil"/>
              <w:left w:val="nil"/>
              <w:bottom w:val="nil"/>
              <w:right w:val="nil"/>
            </w:tcBorders>
            <w:shd w:val="clear" w:color="auto" w:fill="auto"/>
            <w:noWrap/>
            <w:vAlign w:val="bottom"/>
            <w:hideMark/>
          </w:tcPr>
          <w:p w14:paraId="497EB4D4" w14:textId="77777777" w:rsidR="002610A2" w:rsidRPr="00F61E55" w:rsidRDefault="002610A2" w:rsidP="0017162D">
            <w:pPr>
              <w:jc w:val="right"/>
              <w:rPr>
                <w:rFonts w:eastAsia="Times New Roman"/>
                <w:color w:val="000000"/>
              </w:rPr>
            </w:pPr>
            <w:r w:rsidRPr="00F61E55">
              <w:rPr>
                <w:rFonts w:eastAsia="Times New Roman"/>
                <w:color w:val="000000"/>
              </w:rPr>
              <w:t>0.535</w:t>
            </w:r>
          </w:p>
        </w:tc>
        <w:tc>
          <w:tcPr>
            <w:tcW w:w="2070" w:type="dxa"/>
            <w:tcBorders>
              <w:top w:val="nil"/>
              <w:left w:val="nil"/>
              <w:bottom w:val="nil"/>
              <w:right w:val="nil"/>
            </w:tcBorders>
            <w:shd w:val="clear" w:color="auto" w:fill="auto"/>
            <w:noWrap/>
            <w:vAlign w:val="bottom"/>
            <w:hideMark/>
          </w:tcPr>
          <w:p w14:paraId="1CEC0747" w14:textId="77777777" w:rsidR="002610A2" w:rsidRPr="00F61E55" w:rsidRDefault="002610A2" w:rsidP="0017162D">
            <w:pPr>
              <w:jc w:val="right"/>
              <w:rPr>
                <w:rFonts w:eastAsia="Times New Roman"/>
                <w:color w:val="000000"/>
              </w:rPr>
            </w:pPr>
            <w:r w:rsidRPr="00F61E55">
              <w:rPr>
                <w:rFonts w:eastAsia="Times New Roman"/>
                <w:color w:val="000000"/>
              </w:rPr>
              <w:t>0.566</w:t>
            </w:r>
          </w:p>
        </w:tc>
      </w:tr>
      <w:tr w:rsidR="002610A2" w:rsidRPr="00F61E55" w14:paraId="1EC088BF" w14:textId="77777777" w:rsidTr="0017162D">
        <w:trPr>
          <w:trHeight w:val="300"/>
        </w:trPr>
        <w:tc>
          <w:tcPr>
            <w:tcW w:w="1360" w:type="dxa"/>
            <w:tcBorders>
              <w:top w:val="nil"/>
              <w:left w:val="nil"/>
              <w:bottom w:val="nil"/>
              <w:right w:val="nil"/>
            </w:tcBorders>
            <w:shd w:val="clear" w:color="auto" w:fill="auto"/>
            <w:noWrap/>
            <w:vAlign w:val="center"/>
            <w:hideMark/>
          </w:tcPr>
          <w:p w14:paraId="1BDDE160" w14:textId="77777777" w:rsidR="002610A2" w:rsidRPr="00F61E55" w:rsidRDefault="002610A2" w:rsidP="0017162D">
            <w:pPr>
              <w:rPr>
                <w:rFonts w:eastAsia="Times New Roman"/>
                <w:b/>
                <w:bCs/>
                <w:color w:val="000000"/>
              </w:rPr>
            </w:pPr>
            <w:r w:rsidRPr="00F61E55">
              <w:rPr>
                <w:rFonts w:eastAsia="Times New Roman"/>
                <w:b/>
                <w:bCs/>
                <w:color w:val="000000"/>
              </w:rPr>
              <w:t>top 20%</w:t>
            </w:r>
          </w:p>
        </w:tc>
        <w:tc>
          <w:tcPr>
            <w:tcW w:w="1880" w:type="dxa"/>
            <w:tcBorders>
              <w:top w:val="nil"/>
              <w:left w:val="nil"/>
              <w:bottom w:val="nil"/>
              <w:right w:val="nil"/>
            </w:tcBorders>
            <w:shd w:val="clear" w:color="auto" w:fill="auto"/>
            <w:noWrap/>
            <w:vAlign w:val="bottom"/>
            <w:hideMark/>
          </w:tcPr>
          <w:p w14:paraId="2A1BDDD8" w14:textId="77777777" w:rsidR="002610A2" w:rsidRPr="00F61E55" w:rsidRDefault="002610A2" w:rsidP="0017162D">
            <w:pPr>
              <w:jc w:val="right"/>
              <w:rPr>
                <w:rFonts w:eastAsia="Times New Roman"/>
                <w:color w:val="000000"/>
              </w:rPr>
            </w:pPr>
            <w:r w:rsidRPr="00F61E55">
              <w:rPr>
                <w:rFonts w:eastAsia="Times New Roman"/>
                <w:color w:val="000000"/>
              </w:rPr>
              <w:t>0.358</w:t>
            </w:r>
          </w:p>
        </w:tc>
        <w:tc>
          <w:tcPr>
            <w:tcW w:w="1800" w:type="dxa"/>
            <w:tcBorders>
              <w:top w:val="nil"/>
              <w:left w:val="nil"/>
              <w:bottom w:val="nil"/>
              <w:right w:val="nil"/>
            </w:tcBorders>
            <w:shd w:val="clear" w:color="auto" w:fill="auto"/>
            <w:noWrap/>
            <w:vAlign w:val="center"/>
            <w:hideMark/>
          </w:tcPr>
          <w:p w14:paraId="0A1A6344" w14:textId="77777777" w:rsidR="002610A2" w:rsidRPr="00F61E55" w:rsidRDefault="002610A2" w:rsidP="0017162D">
            <w:pPr>
              <w:jc w:val="right"/>
              <w:rPr>
                <w:rFonts w:eastAsia="Times New Roman"/>
                <w:color w:val="000000"/>
              </w:rPr>
            </w:pPr>
            <w:r w:rsidRPr="00F61E55">
              <w:rPr>
                <w:rFonts w:eastAsia="Times New Roman"/>
                <w:color w:val="000000"/>
              </w:rPr>
              <w:t>0.724</w:t>
            </w:r>
          </w:p>
        </w:tc>
        <w:tc>
          <w:tcPr>
            <w:tcW w:w="2070" w:type="dxa"/>
            <w:tcBorders>
              <w:top w:val="nil"/>
              <w:left w:val="nil"/>
              <w:bottom w:val="nil"/>
              <w:right w:val="nil"/>
            </w:tcBorders>
            <w:shd w:val="clear" w:color="auto" w:fill="auto"/>
            <w:noWrap/>
            <w:vAlign w:val="bottom"/>
            <w:hideMark/>
          </w:tcPr>
          <w:p w14:paraId="315ED93B" w14:textId="77777777" w:rsidR="002610A2" w:rsidRPr="00F61E55" w:rsidRDefault="002610A2" w:rsidP="0017162D">
            <w:pPr>
              <w:jc w:val="right"/>
              <w:rPr>
                <w:rFonts w:eastAsia="Times New Roman"/>
                <w:color w:val="000000"/>
              </w:rPr>
            </w:pPr>
            <w:r w:rsidRPr="00F61E55">
              <w:rPr>
                <w:rFonts w:eastAsia="Times New Roman"/>
                <w:color w:val="000000"/>
              </w:rPr>
              <w:t>0.743</w:t>
            </w:r>
          </w:p>
        </w:tc>
      </w:tr>
      <w:tr w:rsidR="002610A2" w:rsidRPr="00F61E55" w14:paraId="16F64BBA" w14:textId="77777777" w:rsidTr="0017162D">
        <w:trPr>
          <w:trHeight w:val="300"/>
        </w:trPr>
        <w:tc>
          <w:tcPr>
            <w:tcW w:w="1360" w:type="dxa"/>
            <w:tcBorders>
              <w:top w:val="nil"/>
              <w:left w:val="nil"/>
              <w:bottom w:val="nil"/>
              <w:right w:val="nil"/>
            </w:tcBorders>
            <w:shd w:val="clear" w:color="auto" w:fill="auto"/>
            <w:noWrap/>
            <w:vAlign w:val="center"/>
            <w:hideMark/>
          </w:tcPr>
          <w:p w14:paraId="5B4AD8D5" w14:textId="77777777" w:rsidR="002610A2" w:rsidRPr="00F61E55" w:rsidRDefault="002610A2" w:rsidP="0017162D">
            <w:pPr>
              <w:rPr>
                <w:rFonts w:eastAsia="Times New Roman"/>
                <w:b/>
                <w:bCs/>
                <w:color w:val="000000"/>
              </w:rPr>
            </w:pPr>
            <w:r w:rsidRPr="00F61E55">
              <w:rPr>
                <w:rFonts w:eastAsia="Times New Roman"/>
                <w:b/>
                <w:bCs/>
                <w:color w:val="000000"/>
              </w:rPr>
              <w:t>Genera</w:t>
            </w:r>
          </w:p>
        </w:tc>
        <w:tc>
          <w:tcPr>
            <w:tcW w:w="1880" w:type="dxa"/>
            <w:tcBorders>
              <w:top w:val="nil"/>
              <w:left w:val="nil"/>
              <w:bottom w:val="nil"/>
              <w:right w:val="nil"/>
            </w:tcBorders>
            <w:shd w:val="clear" w:color="auto" w:fill="auto"/>
            <w:noWrap/>
            <w:vAlign w:val="bottom"/>
            <w:hideMark/>
          </w:tcPr>
          <w:p w14:paraId="616D4E3A" w14:textId="77777777" w:rsidR="002610A2" w:rsidRPr="00F61E55" w:rsidRDefault="002610A2" w:rsidP="0017162D">
            <w:pPr>
              <w:jc w:val="right"/>
              <w:rPr>
                <w:rFonts w:eastAsia="Times New Roman"/>
                <w:color w:val="000000"/>
              </w:rPr>
            </w:pPr>
            <w:r w:rsidRPr="00F61E55">
              <w:rPr>
                <w:rFonts w:eastAsia="Times New Roman"/>
                <w:color w:val="000000"/>
              </w:rPr>
              <w:t>312</w:t>
            </w:r>
          </w:p>
        </w:tc>
        <w:tc>
          <w:tcPr>
            <w:tcW w:w="1800" w:type="dxa"/>
            <w:tcBorders>
              <w:top w:val="nil"/>
              <w:left w:val="nil"/>
              <w:bottom w:val="nil"/>
              <w:right w:val="nil"/>
            </w:tcBorders>
            <w:shd w:val="clear" w:color="auto" w:fill="auto"/>
            <w:noWrap/>
            <w:vAlign w:val="bottom"/>
            <w:hideMark/>
          </w:tcPr>
          <w:p w14:paraId="395EE1A9" w14:textId="77777777" w:rsidR="002610A2" w:rsidRPr="00F61E55" w:rsidRDefault="002610A2" w:rsidP="0017162D">
            <w:pPr>
              <w:jc w:val="right"/>
              <w:rPr>
                <w:rFonts w:eastAsia="Times New Roman"/>
                <w:color w:val="000000"/>
              </w:rPr>
            </w:pPr>
            <w:r w:rsidRPr="00F61E55">
              <w:rPr>
                <w:rFonts w:eastAsia="Times New Roman"/>
                <w:color w:val="000000"/>
              </w:rPr>
              <w:t>311</w:t>
            </w:r>
          </w:p>
        </w:tc>
        <w:tc>
          <w:tcPr>
            <w:tcW w:w="2070" w:type="dxa"/>
            <w:tcBorders>
              <w:top w:val="nil"/>
              <w:left w:val="nil"/>
              <w:bottom w:val="nil"/>
              <w:right w:val="nil"/>
            </w:tcBorders>
            <w:shd w:val="clear" w:color="auto" w:fill="auto"/>
            <w:noWrap/>
            <w:vAlign w:val="bottom"/>
            <w:hideMark/>
          </w:tcPr>
          <w:p w14:paraId="0803DB07" w14:textId="77777777" w:rsidR="002610A2" w:rsidRPr="00F61E55" w:rsidRDefault="002610A2" w:rsidP="0017162D">
            <w:pPr>
              <w:jc w:val="right"/>
              <w:rPr>
                <w:rFonts w:eastAsia="Times New Roman"/>
                <w:color w:val="000000"/>
              </w:rPr>
            </w:pPr>
            <w:r w:rsidRPr="00F61E55">
              <w:rPr>
                <w:rFonts w:eastAsia="Times New Roman"/>
                <w:color w:val="000000"/>
              </w:rPr>
              <w:t>594</w:t>
            </w:r>
          </w:p>
        </w:tc>
      </w:tr>
      <w:tr w:rsidR="002610A2" w:rsidRPr="00F61E55" w14:paraId="0DAFC10E" w14:textId="77777777" w:rsidTr="0017162D">
        <w:trPr>
          <w:trHeight w:val="300"/>
        </w:trPr>
        <w:tc>
          <w:tcPr>
            <w:tcW w:w="1360" w:type="dxa"/>
            <w:tcBorders>
              <w:top w:val="nil"/>
              <w:left w:val="nil"/>
              <w:bottom w:val="nil"/>
              <w:right w:val="nil"/>
            </w:tcBorders>
            <w:shd w:val="clear" w:color="auto" w:fill="auto"/>
            <w:noWrap/>
            <w:vAlign w:val="center"/>
            <w:hideMark/>
          </w:tcPr>
          <w:p w14:paraId="01C3CA2F" w14:textId="77777777" w:rsidR="002610A2" w:rsidRPr="00F61E55" w:rsidRDefault="002610A2" w:rsidP="0017162D">
            <w:pPr>
              <w:rPr>
                <w:rFonts w:eastAsia="Times New Roman"/>
                <w:b/>
                <w:bCs/>
                <w:color w:val="000000"/>
              </w:rPr>
            </w:pPr>
            <w:r w:rsidRPr="00F61E55">
              <w:rPr>
                <w:rFonts w:eastAsia="Times New Roman"/>
                <w:b/>
                <w:bCs/>
                <w:color w:val="000000"/>
              </w:rPr>
              <w:t>Occurrences</w:t>
            </w:r>
          </w:p>
        </w:tc>
        <w:tc>
          <w:tcPr>
            <w:tcW w:w="1880" w:type="dxa"/>
            <w:tcBorders>
              <w:top w:val="nil"/>
              <w:left w:val="nil"/>
              <w:bottom w:val="nil"/>
              <w:right w:val="nil"/>
            </w:tcBorders>
            <w:shd w:val="clear" w:color="auto" w:fill="auto"/>
            <w:noWrap/>
            <w:vAlign w:val="bottom"/>
            <w:hideMark/>
          </w:tcPr>
          <w:p w14:paraId="4F30159C" w14:textId="77777777" w:rsidR="002610A2" w:rsidRPr="00F61E55" w:rsidRDefault="002610A2" w:rsidP="0017162D">
            <w:pPr>
              <w:jc w:val="right"/>
              <w:rPr>
                <w:rFonts w:eastAsia="Times New Roman"/>
                <w:color w:val="000000"/>
              </w:rPr>
            </w:pPr>
            <w:r w:rsidRPr="00F61E55">
              <w:rPr>
                <w:rFonts w:eastAsia="Times New Roman"/>
                <w:color w:val="000000"/>
              </w:rPr>
              <w:t>6062</w:t>
            </w:r>
          </w:p>
        </w:tc>
        <w:tc>
          <w:tcPr>
            <w:tcW w:w="1800" w:type="dxa"/>
            <w:tcBorders>
              <w:top w:val="nil"/>
              <w:left w:val="nil"/>
              <w:bottom w:val="nil"/>
              <w:right w:val="nil"/>
            </w:tcBorders>
            <w:shd w:val="clear" w:color="auto" w:fill="auto"/>
            <w:noWrap/>
            <w:vAlign w:val="bottom"/>
            <w:hideMark/>
          </w:tcPr>
          <w:p w14:paraId="02B9E5C8" w14:textId="77777777" w:rsidR="002610A2" w:rsidRPr="00F61E55" w:rsidRDefault="002610A2" w:rsidP="0017162D">
            <w:pPr>
              <w:jc w:val="right"/>
              <w:rPr>
                <w:rFonts w:eastAsia="Times New Roman"/>
                <w:color w:val="000000"/>
              </w:rPr>
            </w:pPr>
            <w:r w:rsidRPr="00F61E55">
              <w:rPr>
                <w:rFonts w:eastAsia="Times New Roman"/>
                <w:color w:val="000000"/>
              </w:rPr>
              <w:t>13316</w:t>
            </w:r>
          </w:p>
        </w:tc>
        <w:tc>
          <w:tcPr>
            <w:tcW w:w="2070" w:type="dxa"/>
            <w:tcBorders>
              <w:top w:val="nil"/>
              <w:left w:val="nil"/>
              <w:bottom w:val="nil"/>
              <w:right w:val="nil"/>
            </w:tcBorders>
            <w:shd w:val="clear" w:color="auto" w:fill="auto"/>
            <w:noWrap/>
            <w:vAlign w:val="bottom"/>
            <w:hideMark/>
          </w:tcPr>
          <w:p w14:paraId="30B0E78C" w14:textId="77777777" w:rsidR="002610A2" w:rsidRPr="00F61E55" w:rsidRDefault="002610A2" w:rsidP="0017162D">
            <w:pPr>
              <w:jc w:val="right"/>
              <w:rPr>
                <w:rFonts w:eastAsia="Times New Roman"/>
                <w:color w:val="000000"/>
              </w:rPr>
            </w:pPr>
            <w:r w:rsidRPr="00F61E55">
              <w:rPr>
                <w:rFonts w:eastAsia="Times New Roman"/>
                <w:color w:val="000000"/>
              </w:rPr>
              <w:t>14683</w:t>
            </w:r>
          </w:p>
        </w:tc>
      </w:tr>
    </w:tbl>
    <w:p w14:paraId="2A8DDC60" w14:textId="77777777" w:rsidR="002610A2" w:rsidRDefault="002610A2" w:rsidP="002610A2">
      <w:pPr>
        <w:spacing w:before="100" w:beforeAutospacing="1" w:after="100" w:afterAutospacing="1" w:line="480" w:lineRule="auto"/>
      </w:pPr>
    </w:p>
    <w:p w14:paraId="20AB20FC" w14:textId="77777777" w:rsidR="002610A2" w:rsidRDefault="002610A2" w:rsidP="003E7605">
      <w:pPr>
        <w:spacing w:before="100" w:beforeAutospacing="1" w:after="100" w:afterAutospacing="1" w:line="480" w:lineRule="auto"/>
      </w:pPr>
    </w:p>
    <w:p w14:paraId="1E5BFBE3" w14:textId="77777777" w:rsidR="002610A2" w:rsidRDefault="002610A2">
      <w:pPr>
        <w:spacing w:before="100" w:beforeAutospacing="1" w:after="100" w:afterAutospacing="1"/>
        <w:rPr>
          <w:rFonts w:ascii="Times New Roman" w:hAnsi="Times New Roman"/>
          <w:szCs w:val="24"/>
        </w:rPr>
      </w:pPr>
      <w:r>
        <w:rPr>
          <w:rFonts w:ascii="Times New Roman" w:hAnsi="Times New Roman"/>
          <w:szCs w:val="24"/>
        </w:rPr>
        <w:br w:type="page"/>
      </w:r>
    </w:p>
    <w:p w14:paraId="6E04FE04" w14:textId="2CF06B95" w:rsidR="003E7605" w:rsidRDefault="00FF08E6" w:rsidP="003E7605">
      <w:pPr>
        <w:spacing w:before="100" w:beforeAutospacing="1" w:after="100" w:afterAutospacing="1" w:line="480" w:lineRule="auto"/>
        <w:rPr>
          <w:rFonts w:ascii="Times New Roman" w:hAnsi="Times New Roman"/>
          <w:szCs w:val="24"/>
        </w:rPr>
      </w:pPr>
      <w:r w:rsidRPr="00C7158D">
        <w:rPr>
          <w:rFonts w:ascii="Times New Roman" w:hAnsi="Times New Roman"/>
          <w:szCs w:val="24"/>
        </w:rPr>
        <w:lastRenderedPageBreak/>
        <w:t xml:space="preserve">Table </w:t>
      </w:r>
      <w:r w:rsidR="0067003D">
        <w:rPr>
          <w:rFonts w:ascii="Times New Roman" w:hAnsi="Times New Roman"/>
          <w:szCs w:val="24"/>
        </w:rPr>
        <w:t>2</w:t>
      </w:r>
      <w:r w:rsidRPr="00C7158D">
        <w:rPr>
          <w:rFonts w:ascii="Times New Roman" w:hAnsi="Times New Roman"/>
          <w:szCs w:val="24"/>
        </w:rPr>
        <w:t xml:space="preserve">. </w:t>
      </w:r>
      <w:r w:rsidR="007121E9">
        <w:rPr>
          <w:rFonts w:ascii="Times New Roman" w:hAnsi="Times New Roman"/>
          <w:szCs w:val="24"/>
        </w:rPr>
        <w:t xml:space="preserve">Minimum, maximum median and average </w:t>
      </w:r>
      <w:r w:rsidRPr="00C7158D">
        <w:rPr>
          <w:rFonts w:ascii="Times New Roman" w:hAnsi="Times New Roman"/>
          <w:szCs w:val="24"/>
        </w:rPr>
        <w:t xml:space="preserve">of </w:t>
      </w:r>
      <w:r w:rsidR="007121E9">
        <w:rPr>
          <w:rFonts w:ascii="Times New Roman" w:hAnsi="Times New Roman"/>
          <w:szCs w:val="24"/>
        </w:rPr>
        <w:t xml:space="preserve">“Top 10” and </w:t>
      </w:r>
      <w:r w:rsidRPr="00C7158D">
        <w:rPr>
          <w:rFonts w:ascii="Times New Roman" w:hAnsi="Times New Roman"/>
          <w:szCs w:val="24"/>
        </w:rPr>
        <w:t>“Top 20” holdovers over time within each of the six target groups. Gastropods, echinoids and bivalves show high numbers</w:t>
      </w:r>
      <w:r w:rsidR="007121E9">
        <w:rPr>
          <w:rFonts w:ascii="Times New Roman" w:hAnsi="Times New Roman"/>
          <w:szCs w:val="24"/>
        </w:rPr>
        <w:t xml:space="preserve"> of holdovers from prior list of high ranks </w:t>
      </w:r>
      <w:r w:rsidRPr="00C7158D">
        <w:rPr>
          <w:rFonts w:ascii="Times New Roman" w:hAnsi="Times New Roman"/>
          <w:szCs w:val="24"/>
        </w:rPr>
        <w:t>relative to other taxa.</w:t>
      </w:r>
    </w:p>
    <w:tbl>
      <w:tblPr>
        <w:tblW w:w="9068" w:type="dxa"/>
        <w:tblCellSpacing w:w="0" w:type="dxa"/>
        <w:tblBorders>
          <w:top w:val="single" w:sz="8" w:space="0" w:color="000000"/>
          <w:left w:val="single" w:sz="8" w:space="0" w:color="000000"/>
        </w:tblBorders>
        <w:tblLayout w:type="fixed"/>
        <w:tblCellMar>
          <w:left w:w="0" w:type="dxa"/>
          <w:right w:w="0" w:type="dxa"/>
        </w:tblCellMar>
        <w:tblLook w:val="04A0" w:firstRow="1" w:lastRow="0" w:firstColumn="1" w:lastColumn="0" w:noHBand="0" w:noVBand="1"/>
      </w:tblPr>
      <w:tblGrid>
        <w:gridCol w:w="1785"/>
        <w:gridCol w:w="935"/>
        <w:gridCol w:w="1407"/>
        <w:gridCol w:w="1453"/>
        <w:gridCol w:w="1080"/>
        <w:gridCol w:w="1316"/>
        <w:gridCol w:w="1092"/>
      </w:tblGrid>
      <w:tr w:rsidR="002610A2" w:rsidRPr="004D75F1" w14:paraId="25B204A0" w14:textId="77777777" w:rsidTr="0017162D">
        <w:trPr>
          <w:trHeight w:val="386"/>
          <w:tblHeader/>
          <w:tblCellSpacing w:w="0" w:type="dxa"/>
        </w:trPr>
        <w:tc>
          <w:tcPr>
            <w:tcW w:w="1785" w:type="dxa"/>
            <w:tcBorders>
              <w:top w:val="nil"/>
              <w:left w:val="nil"/>
              <w:bottom w:val="single" w:sz="8" w:space="0" w:color="000000"/>
              <w:right w:val="single" w:sz="8" w:space="0" w:color="000000"/>
            </w:tcBorders>
            <w:shd w:val="clear" w:color="auto" w:fill="FFFFFF" w:themeFill="background1"/>
            <w:noWrap/>
          </w:tcPr>
          <w:p w14:paraId="60DDFB3C" w14:textId="77777777" w:rsidR="002610A2" w:rsidRPr="00DF11F2" w:rsidRDefault="002610A2" w:rsidP="0017162D">
            <w:pPr>
              <w:rPr>
                <w:rFonts w:ascii="Times New Roman" w:eastAsia="Times New Roman" w:hAnsi="Times New Roman"/>
                <w:b/>
                <w:bCs/>
                <w:szCs w:val="24"/>
              </w:rPr>
            </w:pPr>
          </w:p>
        </w:tc>
        <w:tc>
          <w:tcPr>
            <w:tcW w:w="935" w:type="dxa"/>
            <w:tcBorders>
              <w:top w:val="nil"/>
              <w:left w:val="nil"/>
              <w:bottom w:val="single" w:sz="8" w:space="0" w:color="000000"/>
              <w:right w:val="single" w:sz="8" w:space="0" w:color="808080"/>
            </w:tcBorders>
            <w:shd w:val="clear" w:color="auto" w:fill="FFFFFF" w:themeFill="background1"/>
            <w:noWrap/>
          </w:tcPr>
          <w:p w14:paraId="3EFC194B" w14:textId="77777777" w:rsidR="002610A2" w:rsidRPr="00DF11F2" w:rsidRDefault="002610A2" w:rsidP="0017162D">
            <w:pPr>
              <w:rPr>
                <w:rFonts w:ascii="Times New Roman" w:eastAsia="Times New Roman" w:hAnsi="Times New Roman"/>
                <w:b/>
                <w:bCs/>
                <w:szCs w:val="24"/>
              </w:rPr>
            </w:pPr>
            <w:r w:rsidRPr="00DF11F2">
              <w:rPr>
                <w:rFonts w:ascii="Times New Roman" w:eastAsia="Times New Roman" w:hAnsi="Times New Roman"/>
                <w:b/>
                <w:bCs/>
                <w:szCs w:val="24"/>
              </w:rPr>
              <w:t>Bivalves</w:t>
            </w:r>
          </w:p>
        </w:tc>
        <w:tc>
          <w:tcPr>
            <w:tcW w:w="1407" w:type="dxa"/>
            <w:tcBorders>
              <w:top w:val="nil"/>
              <w:left w:val="nil"/>
              <w:bottom w:val="single" w:sz="8" w:space="0" w:color="000000"/>
              <w:right w:val="single" w:sz="8" w:space="0" w:color="808080"/>
            </w:tcBorders>
            <w:shd w:val="clear" w:color="auto" w:fill="FFFFFF" w:themeFill="background1"/>
            <w:noWrap/>
          </w:tcPr>
          <w:p w14:paraId="68632CAF" w14:textId="77777777" w:rsidR="002610A2" w:rsidRPr="00DF11F2" w:rsidRDefault="002610A2" w:rsidP="0017162D">
            <w:pPr>
              <w:rPr>
                <w:rFonts w:ascii="Times New Roman" w:eastAsia="Times New Roman" w:hAnsi="Times New Roman"/>
                <w:b/>
                <w:bCs/>
                <w:szCs w:val="24"/>
              </w:rPr>
            </w:pPr>
            <w:r w:rsidRPr="00DF11F2">
              <w:rPr>
                <w:rFonts w:ascii="Times New Roman" w:eastAsia="Times New Roman" w:hAnsi="Times New Roman"/>
                <w:b/>
                <w:bCs/>
                <w:szCs w:val="24"/>
              </w:rPr>
              <w:t>Brachiopods</w:t>
            </w:r>
          </w:p>
        </w:tc>
        <w:tc>
          <w:tcPr>
            <w:tcW w:w="1453" w:type="dxa"/>
            <w:tcBorders>
              <w:top w:val="nil"/>
              <w:left w:val="nil"/>
              <w:bottom w:val="single" w:sz="8" w:space="0" w:color="000000"/>
              <w:right w:val="single" w:sz="8" w:space="0" w:color="808080"/>
            </w:tcBorders>
            <w:shd w:val="clear" w:color="auto" w:fill="FFFFFF" w:themeFill="background1"/>
            <w:noWrap/>
          </w:tcPr>
          <w:p w14:paraId="3FB618A1" w14:textId="77777777" w:rsidR="002610A2" w:rsidRPr="00DF11F2" w:rsidRDefault="002610A2" w:rsidP="0017162D">
            <w:pPr>
              <w:rPr>
                <w:rFonts w:ascii="Times New Roman" w:eastAsia="Times New Roman" w:hAnsi="Times New Roman"/>
                <w:b/>
                <w:bCs/>
                <w:szCs w:val="24"/>
              </w:rPr>
            </w:pPr>
            <w:r w:rsidRPr="00DF11F2">
              <w:rPr>
                <w:rFonts w:ascii="Times New Roman" w:eastAsia="Times New Roman" w:hAnsi="Times New Roman"/>
                <w:b/>
                <w:bCs/>
                <w:szCs w:val="24"/>
              </w:rPr>
              <w:t>Cephalopods</w:t>
            </w:r>
          </w:p>
        </w:tc>
        <w:tc>
          <w:tcPr>
            <w:tcW w:w="1080" w:type="dxa"/>
            <w:tcBorders>
              <w:top w:val="nil"/>
              <w:left w:val="nil"/>
              <w:bottom w:val="single" w:sz="8" w:space="0" w:color="000000"/>
              <w:right w:val="single" w:sz="8" w:space="0" w:color="808080"/>
            </w:tcBorders>
            <w:shd w:val="clear" w:color="auto" w:fill="FFFFFF" w:themeFill="background1"/>
            <w:noWrap/>
          </w:tcPr>
          <w:p w14:paraId="47DBB746" w14:textId="77777777" w:rsidR="002610A2" w:rsidRPr="00DF11F2" w:rsidRDefault="002610A2" w:rsidP="0017162D">
            <w:pPr>
              <w:rPr>
                <w:rFonts w:ascii="Times New Roman" w:eastAsia="Times New Roman" w:hAnsi="Times New Roman"/>
                <w:b/>
                <w:bCs/>
                <w:szCs w:val="24"/>
              </w:rPr>
            </w:pPr>
            <w:r w:rsidRPr="00DF11F2">
              <w:rPr>
                <w:rFonts w:ascii="Times New Roman" w:eastAsia="Times New Roman" w:hAnsi="Times New Roman"/>
                <w:b/>
                <w:bCs/>
                <w:szCs w:val="24"/>
              </w:rPr>
              <w:t>Echinoids</w:t>
            </w:r>
          </w:p>
        </w:tc>
        <w:tc>
          <w:tcPr>
            <w:tcW w:w="1316" w:type="dxa"/>
            <w:tcBorders>
              <w:top w:val="nil"/>
              <w:left w:val="nil"/>
              <w:bottom w:val="single" w:sz="8" w:space="0" w:color="000000"/>
              <w:right w:val="single" w:sz="8" w:space="0" w:color="808080"/>
            </w:tcBorders>
            <w:shd w:val="clear" w:color="auto" w:fill="FFFFFF" w:themeFill="background1"/>
            <w:noWrap/>
          </w:tcPr>
          <w:p w14:paraId="5312C9A7" w14:textId="77777777" w:rsidR="002610A2" w:rsidRPr="00DF11F2" w:rsidRDefault="002610A2" w:rsidP="0017162D">
            <w:pPr>
              <w:rPr>
                <w:rFonts w:ascii="Times New Roman" w:eastAsia="Times New Roman" w:hAnsi="Times New Roman"/>
                <w:b/>
                <w:bCs/>
                <w:szCs w:val="24"/>
              </w:rPr>
            </w:pPr>
            <w:r w:rsidRPr="00DF11F2">
              <w:rPr>
                <w:rFonts w:ascii="Times New Roman" w:eastAsia="Times New Roman" w:hAnsi="Times New Roman"/>
                <w:b/>
                <w:bCs/>
                <w:szCs w:val="24"/>
              </w:rPr>
              <w:t>Gastropods</w:t>
            </w:r>
          </w:p>
        </w:tc>
        <w:tc>
          <w:tcPr>
            <w:tcW w:w="1092" w:type="dxa"/>
            <w:tcBorders>
              <w:top w:val="nil"/>
              <w:left w:val="nil"/>
              <w:bottom w:val="single" w:sz="8" w:space="0" w:color="000000"/>
              <w:right w:val="single" w:sz="8" w:space="0" w:color="000000"/>
            </w:tcBorders>
            <w:shd w:val="clear" w:color="auto" w:fill="FFFFFF" w:themeFill="background1"/>
            <w:noWrap/>
          </w:tcPr>
          <w:p w14:paraId="12CEE19D" w14:textId="77777777" w:rsidR="002610A2" w:rsidRPr="00DF11F2" w:rsidRDefault="002610A2" w:rsidP="0017162D">
            <w:pPr>
              <w:rPr>
                <w:rFonts w:ascii="Times New Roman" w:eastAsia="Times New Roman" w:hAnsi="Times New Roman"/>
                <w:b/>
                <w:bCs/>
                <w:szCs w:val="24"/>
              </w:rPr>
            </w:pPr>
            <w:r w:rsidRPr="00DF11F2">
              <w:rPr>
                <w:rFonts w:ascii="Times New Roman" w:eastAsia="Times New Roman" w:hAnsi="Times New Roman"/>
                <w:b/>
                <w:bCs/>
                <w:szCs w:val="24"/>
              </w:rPr>
              <w:t>Trilobites</w:t>
            </w:r>
          </w:p>
        </w:tc>
      </w:tr>
      <w:tr w:rsidR="002610A2" w:rsidRPr="004D75F1" w14:paraId="1B0CAF75" w14:textId="77777777" w:rsidTr="0017162D">
        <w:trPr>
          <w:trHeight w:val="386"/>
          <w:tblHeader/>
          <w:tblCellSpacing w:w="0" w:type="dxa"/>
        </w:trPr>
        <w:tc>
          <w:tcPr>
            <w:tcW w:w="1785" w:type="dxa"/>
            <w:tcBorders>
              <w:top w:val="nil"/>
              <w:left w:val="nil"/>
              <w:bottom w:val="single" w:sz="8" w:space="0" w:color="000000"/>
              <w:right w:val="single" w:sz="8" w:space="0" w:color="000000"/>
            </w:tcBorders>
            <w:shd w:val="clear" w:color="auto" w:fill="FFFFFF" w:themeFill="background1"/>
            <w:noWrap/>
          </w:tcPr>
          <w:p w14:paraId="396837A1" w14:textId="77777777" w:rsidR="002610A2" w:rsidRPr="00DF11F2" w:rsidRDefault="002610A2" w:rsidP="0017162D">
            <w:pPr>
              <w:rPr>
                <w:rFonts w:ascii="Times New Roman" w:eastAsia="Times New Roman" w:hAnsi="Times New Roman"/>
                <w:b/>
                <w:bCs/>
                <w:szCs w:val="24"/>
              </w:rPr>
            </w:pPr>
            <w:r w:rsidRPr="00DF11F2">
              <w:rPr>
                <w:rFonts w:ascii="Times New Roman" w:eastAsia="Times New Roman" w:hAnsi="Times New Roman"/>
                <w:b/>
                <w:bCs/>
                <w:szCs w:val="24"/>
              </w:rPr>
              <w:t xml:space="preserve">Top 10 </w:t>
            </w:r>
            <w:r>
              <w:rPr>
                <w:rFonts w:ascii="Times New Roman" w:eastAsia="Times New Roman" w:hAnsi="Times New Roman"/>
                <w:b/>
                <w:bCs/>
                <w:szCs w:val="24"/>
              </w:rPr>
              <w:t>holdovers</w:t>
            </w:r>
          </w:p>
        </w:tc>
        <w:tc>
          <w:tcPr>
            <w:tcW w:w="935" w:type="dxa"/>
            <w:tcBorders>
              <w:top w:val="nil"/>
              <w:left w:val="nil"/>
              <w:bottom w:val="single" w:sz="8" w:space="0" w:color="000000"/>
              <w:right w:val="single" w:sz="8" w:space="0" w:color="808080"/>
            </w:tcBorders>
            <w:shd w:val="clear" w:color="auto" w:fill="FFFFFF" w:themeFill="background1"/>
            <w:noWrap/>
          </w:tcPr>
          <w:p w14:paraId="6E2AFC98" w14:textId="77777777" w:rsidR="002610A2" w:rsidRPr="00DF11F2" w:rsidRDefault="002610A2" w:rsidP="0017162D">
            <w:pPr>
              <w:rPr>
                <w:rFonts w:ascii="Times New Roman" w:eastAsia="Times New Roman" w:hAnsi="Times New Roman"/>
                <w:b/>
                <w:bCs/>
                <w:szCs w:val="24"/>
              </w:rPr>
            </w:pPr>
          </w:p>
        </w:tc>
        <w:tc>
          <w:tcPr>
            <w:tcW w:w="1407" w:type="dxa"/>
            <w:tcBorders>
              <w:top w:val="nil"/>
              <w:left w:val="nil"/>
              <w:bottom w:val="single" w:sz="8" w:space="0" w:color="000000"/>
              <w:right w:val="single" w:sz="8" w:space="0" w:color="808080"/>
            </w:tcBorders>
            <w:shd w:val="clear" w:color="auto" w:fill="FFFFFF" w:themeFill="background1"/>
            <w:noWrap/>
          </w:tcPr>
          <w:p w14:paraId="02293CA6" w14:textId="77777777" w:rsidR="002610A2" w:rsidRPr="00DF11F2" w:rsidRDefault="002610A2" w:rsidP="0017162D">
            <w:pPr>
              <w:rPr>
                <w:rFonts w:ascii="Times New Roman" w:eastAsia="Times New Roman" w:hAnsi="Times New Roman"/>
                <w:b/>
                <w:bCs/>
                <w:szCs w:val="24"/>
              </w:rPr>
            </w:pPr>
          </w:p>
        </w:tc>
        <w:tc>
          <w:tcPr>
            <w:tcW w:w="1453" w:type="dxa"/>
            <w:tcBorders>
              <w:top w:val="nil"/>
              <w:left w:val="nil"/>
              <w:bottom w:val="single" w:sz="8" w:space="0" w:color="000000"/>
              <w:right w:val="single" w:sz="8" w:space="0" w:color="808080"/>
            </w:tcBorders>
            <w:shd w:val="clear" w:color="auto" w:fill="FFFFFF" w:themeFill="background1"/>
            <w:noWrap/>
          </w:tcPr>
          <w:p w14:paraId="03084F4D" w14:textId="77777777" w:rsidR="002610A2" w:rsidRPr="00DF11F2" w:rsidRDefault="002610A2" w:rsidP="0017162D">
            <w:pPr>
              <w:rPr>
                <w:rFonts w:ascii="Times New Roman" w:eastAsia="Times New Roman" w:hAnsi="Times New Roman"/>
                <w:b/>
                <w:bCs/>
                <w:szCs w:val="24"/>
              </w:rPr>
            </w:pPr>
          </w:p>
        </w:tc>
        <w:tc>
          <w:tcPr>
            <w:tcW w:w="1080" w:type="dxa"/>
            <w:tcBorders>
              <w:top w:val="nil"/>
              <w:left w:val="nil"/>
              <w:bottom w:val="single" w:sz="8" w:space="0" w:color="000000"/>
              <w:right w:val="single" w:sz="8" w:space="0" w:color="808080"/>
            </w:tcBorders>
            <w:shd w:val="clear" w:color="auto" w:fill="FFFFFF" w:themeFill="background1"/>
            <w:noWrap/>
          </w:tcPr>
          <w:p w14:paraId="70D6E9C8" w14:textId="77777777" w:rsidR="002610A2" w:rsidRPr="00DF11F2" w:rsidRDefault="002610A2" w:rsidP="0017162D">
            <w:pPr>
              <w:rPr>
                <w:rFonts w:ascii="Times New Roman" w:eastAsia="Times New Roman" w:hAnsi="Times New Roman"/>
                <w:b/>
                <w:bCs/>
                <w:szCs w:val="24"/>
              </w:rPr>
            </w:pPr>
          </w:p>
        </w:tc>
        <w:tc>
          <w:tcPr>
            <w:tcW w:w="1316" w:type="dxa"/>
            <w:tcBorders>
              <w:top w:val="nil"/>
              <w:left w:val="nil"/>
              <w:bottom w:val="single" w:sz="8" w:space="0" w:color="000000"/>
              <w:right w:val="single" w:sz="8" w:space="0" w:color="808080"/>
            </w:tcBorders>
            <w:shd w:val="clear" w:color="auto" w:fill="FFFFFF" w:themeFill="background1"/>
            <w:noWrap/>
          </w:tcPr>
          <w:p w14:paraId="7FD37FF4" w14:textId="77777777" w:rsidR="002610A2" w:rsidRPr="00DF11F2" w:rsidRDefault="002610A2" w:rsidP="0017162D">
            <w:pPr>
              <w:rPr>
                <w:rFonts w:ascii="Times New Roman" w:eastAsia="Times New Roman" w:hAnsi="Times New Roman"/>
                <w:b/>
                <w:bCs/>
                <w:szCs w:val="24"/>
              </w:rPr>
            </w:pPr>
          </w:p>
        </w:tc>
        <w:tc>
          <w:tcPr>
            <w:tcW w:w="1092" w:type="dxa"/>
            <w:tcBorders>
              <w:top w:val="nil"/>
              <w:left w:val="nil"/>
              <w:bottom w:val="single" w:sz="8" w:space="0" w:color="000000"/>
              <w:right w:val="single" w:sz="8" w:space="0" w:color="000000"/>
            </w:tcBorders>
            <w:shd w:val="clear" w:color="auto" w:fill="FFFFFF" w:themeFill="background1"/>
            <w:noWrap/>
          </w:tcPr>
          <w:p w14:paraId="6FE0B856" w14:textId="77777777" w:rsidR="002610A2" w:rsidRPr="00DF11F2" w:rsidRDefault="002610A2" w:rsidP="0017162D">
            <w:pPr>
              <w:rPr>
                <w:rFonts w:ascii="Times New Roman" w:eastAsia="Times New Roman" w:hAnsi="Times New Roman"/>
                <w:b/>
                <w:bCs/>
                <w:szCs w:val="24"/>
              </w:rPr>
            </w:pPr>
          </w:p>
        </w:tc>
      </w:tr>
      <w:tr w:rsidR="002610A2" w:rsidRPr="004D75F1" w14:paraId="38D6E464" w14:textId="77777777" w:rsidTr="0017162D">
        <w:trPr>
          <w:trHeight w:val="386"/>
          <w:tblHeader/>
          <w:tblCellSpacing w:w="0" w:type="dxa"/>
        </w:trPr>
        <w:tc>
          <w:tcPr>
            <w:tcW w:w="1785" w:type="dxa"/>
            <w:tcBorders>
              <w:top w:val="nil"/>
              <w:left w:val="nil"/>
              <w:bottom w:val="single" w:sz="8" w:space="0" w:color="000000"/>
              <w:right w:val="single" w:sz="8" w:space="0" w:color="000000"/>
            </w:tcBorders>
            <w:shd w:val="clear" w:color="auto" w:fill="FFFFFF" w:themeFill="background1"/>
            <w:noWrap/>
          </w:tcPr>
          <w:p w14:paraId="50B3EADA" w14:textId="77777777" w:rsidR="002610A2" w:rsidRPr="00DF11F2" w:rsidRDefault="002610A2" w:rsidP="0017162D">
            <w:pPr>
              <w:rPr>
                <w:rFonts w:ascii="Times New Roman" w:eastAsia="Times New Roman" w:hAnsi="Times New Roman"/>
                <w:b/>
                <w:bCs/>
                <w:szCs w:val="24"/>
              </w:rPr>
            </w:pPr>
            <w:r w:rsidRPr="00DF11F2">
              <w:rPr>
                <w:rFonts w:ascii="Times New Roman" w:eastAsia="Times New Roman" w:hAnsi="Times New Roman"/>
                <w:szCs w:val="24"/>
              </w:rPr>
              <w:t>N of Cases</w:t>
            </w:r>
          </w:p>
        </w:tc>
        <w:tc>
          <w:tcPr>
            <w:tcW w:w="935" w:type="dxa"/>
            <w:tcBorders>
              <w:top w:val="nil"/>
              <w:left w:val="nil"/>
              <w:bottom w:val="single" w:sz="8" w:space="0" w:color="000000"/>
              <w:right w:val="single" w:sz="8" w:space="0" w:color="808080"/>
            </w:tcBorders>
            <w:shd w:val="clear" w:color="auto" w:fill="FFFFFF" w:themeFill="background1"/>
            <w:noWrap/>
          </w:tcPr>
          <w:p w14:paraId="214594C0" w14:textId="77777777" w:rsidR="002610A2" w:rsidRPr="00DF11F2" w:rsidRDefault="002610A2" w:rsidP="0017162D">
            <w:pPr>
              <w:jc w:val="right"/>
              <w:rPr>
                <w:rFonts w:ascii="Times New Roman" w:eastAsia="Times New Roman" w:hAnsi="Times New Roman"/>
                <w:color w:val="000000"/>
                <w:szCs w:val="24"/>
                <w:lang w:eastAsia="en-US"/>
              </w:rPr>
            </w:pPr>
            <w:r w:rsidRPr="00DF11F2">
              <w:rPr>
                <w:rFonts w:ascii="Times New Roman" w:hAnsi="Times New Roman"/>
                <w:color w:val="000000"/>
                <w:szCs w:val="24"/>
              </w:rPr>
              <w:t>41</w:t>
            </w:r>
          </w:p>
        </w:tc>
        <w:tc>
          <w:tcPr>
            <w:tcW w:w="1407" w:type="dxa"/>
            <w:tcBorders>
              <w:top w:val="nil"/>
              <w:left w:val="nil"/>
              <w:bottom w:val="single" w:sz="8" w:space="0" w:color="000000"/>
              <w:right w:val="single" w:sz="8" w:space="0" w:color="808080"/>
            </w:tcBorders>
            <w:shd w:val="clear" w:color="auto" w:fill="FFFFFF" w:themeFill="background1"/>
            <w:noWrap/>
          </w:tcPr>
          <w:p w14:paraId="05683E47" w14:textId="77777777" w:rsidR="002610A2" w:rsidRPr="00DF11F2" w:rsidRDefault="002610A2" w:rsidP="0017162D">
            <w:pPr>
              <w:jc w:val="right"/>
              <w:rPr>
                <w:rFonts w:ascii="Times New Roman" w:eastAsia="Times New Roman" w:hAnsi="Times New Roman"/>
                <w:color w:val="000000"/>
                <w:szCs w:val="24"/>
                <w:lang w:eastAsia="en-US"/>
              </w:rPr>
            </w:pPr>
            <w:r w:rsidRPr="00DF11F2">
              <w:rPr>
                <w:rFonts w:ascii="Times New Roman" w:hAnsi="Times New Roman"/>
                <w:color w:val="000000"/>
                <w:szCs w:val="24"/>
              </w:rPr>
              <w:t>37</w:t>
            </w:r>
          </w:p>
        </w:tc>
        <w:tc>
          <w:tcPr>
            <w:tcW w:w="1453" w:type="dxa"/>
            <w:tcBorders>
              <w:top w:val="nil"/>
              <w:left w:val="nil"/>
              <w:bottom w:val="single" w:sz="8" w:space="0" w:color="000000"/>
              <w:right w:val="single" w:sz="8" w:space="0" w:color="808080"/>
            </w:tcBorders>
            <w:shd w:val="clear" w:color="auto" w:fill="FFFFFF" w:themeFill="background1"/>
            <w:noWrap/>
          </w:tcPr>
          <w:p w14:paraId="0B29E9EF" w14:textId="77777777" w:rsidR="002610A2" w:rsidRPr="00DF11F2" w:rsidRDefault="002610A2" w:rsidP="0017162D">
            <w:pPr>
              <w:jc w:val="right"/>
              <w:rPr>
                <w:rFonts w:ascii="Times New Roman" w:eastAsia="Times New Roman" w:hAnsi="Times New Roman"/>
                <w:color w:val="000000"/>
                <w:szCs w:val="24"/>
                <w:lang w:eastAsia="en-US"/>
              </w:rPr>
            </w:pPr>
            <w:r w:rsidRPr="00DF11F2">
              <w:rPr>
                <w:rFonts w:ascii="Times New Roman" w:hAnsi="Times New Roman"/>
                <w:color w:val="000000"/>
                <w:szCs w:val="24"/>
              </w:rPr>
              <w:t>32</w:t>
            </w:r>
          </w:p>
        </w:tc>
        <w:tc>
          <w:tcPr>
            <w:tcW w:w="1080" w:type="dxa"/>
            <w:tcBorders>
              <w:top w:val="nil"/>
              <w:left w:val="nil"/>
              <w:bottom w:val="single" w:sz="8" w:space="0" w:color="000000"/>
              <w:right w:val="single" w:sz="8" w:space="0" w:color="808080"/>
            </w:tcBorders>
            <w:shd w:val="clear" w:color="auto" w:fill="FFFFFF" w:themeFill="background1"/>
            <w:noWrap/>
          </w:tcPr>
          <w:p w14:paraId="62003BE1" w14:textId="77777777" w:rsidR="002610A2" w:rsidRPr="00DF11F2" w:rsidRDefault="002610A2" w:rsidP="0017162D">
            <w:pPr>
              <w:jc w:val="right"/>
              <w:rPr>
                <w:rFonts w:ascii="Times New Roman" w:eastAsia="Times New Roman" w:hAnsi="Times New Roman"/>
                <w:color w:val="000000"/>
                <w:szCs w:val="24"/>
                <w:lang w:eastAsia="en-US"/>
              </w:rPr>
            </w:pPr>
            <w:r w:rsidRPr="00DF11F2">
              <w:rPr>
                <w:rFonts w:ascii="Times New Roman" w:hAnsi="Times New Roman"/>
                <w:color w:val="000000"/>
                <w:szCs w:val="24"/>
              </w:rPr>
              <w:t>14</w:t>
            </w:r>
          </w:p>
        </w:tc>
        <w:tc>
          <w:tcPr>
            <w:tcW w:w="1316" w:type="dxa"/>
            <w:tcBorders>
              <w:top w:val="nil"/>
              <w:left w:val="nil"/>
              <w:bottom w:val="single" w:sz="8" w:space="0" w:color="000000"/>
              <w:right w:val="single" w:sz="8" w:space="0" w:color="808080"/>
            </w:tcBorders>
            <w:shd w:val="clear" w:color="auto" w:fill="FFFFFF" w:themeFill="background1"/>
            <w:noWrap/>
          </w:tcPr>
          <w:p w14:paraId="3E062092" w14:textId="77777777" w:rsidR="002610A2" w:rsidRPr="00DF11F2" w:rsidRDefault="002610A2" w:rsidP="0017162D">
            <w:pPr>
              <w:jc w:val="right"/>
              <w:rPr>
                <w:rFonts w:ascii="Times New Roman" w:eastAsia="Times New Roman" w:hAnsi="Times New Roman"/>
                <w:color w:val="000000"/>
                <w:szCs w:val="24"/>
                <w:lang w:eastAsia="en-US"/>
              </w:rPr>
            </w:pPr>
            <w:r w:rsidRPr="00DF11F2">
              <w:rPr>
                <w:rFonts w:ascii="Times New Roman" w:hAnsi="Times New Roman"/>
                <w:color w:val="000000"/>
                <w:szCs w:val="24"/>
              </w:rPr>
              <w:t>43</w:t>
            </w:r>
          </w:p>
        </w:tc>
        <w:tc>
          <w:tcPr>
            <w:tcW w:w="1092" w:type="dxa"/>
            <w:tcBorders>
              <w:top w:val="nil"/>
              <w:left w:val="nil"/>
              <w:bottom w:val="single" w:sz="8" w:space="0" w:color="000000"/>
              <w:right w:val="single" w:sz="8" w:space="0" w:color="000000"/>
            </w:tcBorders>
            <w:shd w:val="clear" w:color="auto" w:fill="FFFFFF" w:themeFill="background1"/>
            <w:noWrap/>
          </w:tcPr>
          <w:p w14:paraId="0C1C6838" w14:textId="77777777" w:rsidR="002610A2" w:rsidRPr="00DF11F2" w:rsidRDefault="002610A2" w:rsidP="0017162D">
            <w:pPr>
              <w:jc w:val="right"/>
              <w:rPr>
                <w:rFonts w:ascii="Times New Roman" w:eastAsia="Times New Roman" w:hAnsi="Times New Roman"/>
                <w:color w:val="000000"/>
                <w:szCs w:val="24"/>
                <w:lang w:eastAsia="en-US"/>
              </w:rPr>
            </w:pPr>
            <w:r w:rsidRPr="00DF11F2">
              <w:rPr>
                <w:rFonts w:ascii="Times New Roman" w:hAnsi="Times New Roman"/>
                <w:color w:val="000000"/>
                <w:szCs w:val="24"/>
              </w:rPr>
              <w:t>12</w:t>
            </w:r>
          </w:p>
        </w:tc>
      </w:tr>
      <w:tr w:rsidR="002610A2" w:rsidRPr="004D75F1" w14:paraId="1018A0BD" w14:textId="77777777" w:rsidTr="0017162D">
        <w:trPr>
          <w:trHeight w:val="386"/>
          <w:tblHeader/>
          <w:tblCellSpacing w:w="0" w:type="dxa"/>
        </w:trPr>
        <w:tc>
          <w:tcPr>
            <w:tcW w:w="1785" w:type="dxa"/>
            <w:tcBorders>
              <w:top w:val="nil"/>
              <w:left w:val="nil"/>
              <w:bottom w:val="single" w:sz="8" w:space="0" w:color="000000"/>
              <w:right w:val="single" w:sz="8" w:space="0" w:color="000000"/>
            </w:tcBorders>
            <w:shd w:val="clear" w:color="auto" w:fill="FFFFFF" w:themeFill="background1"/>
            <w:noWrap/>
          </w:tcPr>
          <w:p w14:paraId="2704A513" w14:textId="77777777" w:rsidR="002610A2" w:rsidRPr="00DF11F2" w:rsidRDefault="002610A2" w:rsidP="0017162D">
            <w:pPr>
              <w:rPr>
                <w:rFonts w:ascii="Times New Roman" w:eastAsia="Times New Roman" w:hAnsi="Times New Roman"/>
                <w:b/>
                <w:bCs/>
                <w:szCs w:val="24"/>
              </w:rPr>
            </w:pPr>
            <w:r w:rsidRPr="00DF11F2">
              <w:rPr>
                <w:rFonts w:ascii="Times New Roman" w:eastAsia="Times New Roman" w:hAnsi="Times New Roman"/>
                <w:szCs w:val="24"/>
              </w:rPr>
              <w:t>Minimum</w:t>
            </w:r>
          </w:p>
        </w:tc>
        <w:tc>
          <w:tcPr>
            <w:tcW w:w="935" w:type="dxa"/>
            <w:tcBorders>
              <w:top w:val="nil"/>
              <w:left w:val="nil"/>
              <w:bottom w:val="single" w:sz="8" w:space="0" w:color="000000"/>
              <w:right w:val="single" w:sz="8" w:space="0" w:color="808080"/>
            </w:tcBorders>
            <w:shd w:val="clear" w:color="auto" w:fill="FFFFFF" w:themeFill="background1"/>
            <w:noWrap/>
          </w:tcPr>
          <w:p w14:paraId="783D8E16"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1</w:t>
            </w:r>
          </w:p>
        </w:tc>
        <w:tc>
          <w:tcPr>
            <w:tcW w:w="1407" w:type="dxa"/>
            <w:tcBorders>
              <w:top w:val="nil"/>
              <w:left w:val="nil"/>
              <w:bottom w:val="single" w:sz="8" w:space="0" w:color="000000"/>
              <w:right w:val="single" w:sz="8" w:space="0" w:color="808080"/>
            </w:tcBorders>
            <w:shd w:val="clear" w:color="auto" w:fill="FFFFFF" w:themeFill="background1"/>
            <w:noWrap/>
          </w:tcPr>
          <w:p w14:paraId="6C80C711"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0</w:t>
            </w:r>
          </w:p>
        </w:tc>
        <w:tc>
          <w:tcPr>
            <w:tcW w:w="1453" w:type="dxa"/>
            <w:tcBorders>
              <w:top w:val="nil"/>
              <w:left w:val="nil"/>
              <w:bottom w:val="single" w:sz="8" w:space="0" w:color="000000"/>
              <w:right w:val="single" w:sz="8" w:space="0" w:color="808080"/>
            </w:tcBorders>
            <w:shd w:val="clear" w:color="auto" w:fill="FFFFFF" w:themeFill="background1"/>
            <w:noWrap/>
          </w:tcPr>
          <w:p w14:paraId="2361D8BB"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0</w:t>
            </w:r>
          </w:p>
        </w:tc>
        <w:tc>
          <w:tcPr>
            <w:tcW w:w="1080" w:type="dxa"/>
            <w:tcBorders>
              <w:top w:val="nil"/>
              <w:left w:val="nil"/>
              <w:bottom w:val="single" w:sz="8" w:space="0" w:color="000000"/>
              <w:right w:val="single" w:sz="8" w:space="0" w:color="808080"/>
            </w:tcBorders>
            <w:shd w:val="clear" w:color="auto" w:fill="FFFFFF" w:themeFill="background1"/>
            <w:noWrap/>
          </w:tcPr>
          <w:p w14:paraId="7BC433A7"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3</w:t>
            </w:r>
          </w:p>
        </w:tc>
        <w:tc>
          <w:tcPr>
            <w:tcW w:w="1316" w:type="dxa"/>
            <w:tcBorders>
              <w:top w:val="nil"/>
              <w:left w:val="nil"/>
              <w:bottom w:val="single" w:sz="8" w:space="0" w:color="000000"/>
              <w:right w:val="single" w:sz="8" w:space="0" w:color="808080"/>
            </w:tcBorders>
            <w:shd w:val="clear" w:color="auto" w:fill="FFFFFF" w:themeFill="background1"/>
            <w:noWrap/>
          </w:tcPr>
          <w:p w14:paraId="30FE96F0"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1</w:t>
            </w:r>
          </w:p>
        </w:tc>
        <w:tc>
          <w:tcPr>
            <w:tcW w:w="1092" w:type="dxa"/>
            <w:tcBorders>
              <w:top w:val="nil"/>
              <w:left w:val="nil"/>
              <w:bottom w:val="single" w:sz="8" w:space="0" w:color="000000"/>
              <w:right w:val="single" w:sz="8" w:space="0" w:color="000000"/>
            </w:tcBorders>
            <w:shd w:val="clear" w:color="auto" w:fill="FFFFFF" w:themeFill="background1"/>
            <w:noWrap/>
          </w:tcPr>
          <w:p w14:paraId="31F14609"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0</w:t>
            </w:r>
          </w:p>
        </w:tc>
      </w:tr>
      <w:tr w:rsidR="002610A2" w:rsidRPr="004D75F1" w14:paraId="48FBDA73" w14:textId="77777777" w:rsidTr="0017162D">
        <w:trPr>
          <w:trHeight w:val="386"/>
          <w:tblHeader/>
          <w:tblCellSpacing w:w="0" w:type="dxa"/>
        </w:trPr>
        <w:tc>
          <w:tcPr>
            <w:tcW w:w="1785" w:type="dxa"/>
            <w:tcBorders>
              <w:top w:val="nil"/>
              <w:left w:val="nil"/>
              <w:bottom w:val="single" w:sz="8" w:space="0" w:color="000000"/>
              <w:right w:val="single" w:sz="8" w:space="0" w:color="000000"/>
            </w:tcBorders>
            <w:shd w:val="clear" w:color="auto" w:fill="FFFFFF" w:themeFill="background1"/>
            <w:noWrap/>
          </w:tcPr>
          <w:p w14:paraId="1BDB217E" w14:textId="77777777" w:rsidR="002610A2" w:rsidRPr="00DF11F2" w:rsidRDefault="002610A2" w:rsidP="0017162D">
            <w:pPr>
              <w:rPr>
                <w:rFonts w:ascii="Times New Roman" w:eastAsia="Times New Roman" w:hAnsi="Times New Roman"/>
                <w:b/>
                <w:bCs/>
                <w:szCs w:val="24"/>
              </w:rPr>
            </w:pPr>
            <w:r w:rsidRPr="00DF11F2">
              <w:rPr>
                <w:rFonts w:ascii="Times New Roman" w:eastAsia="Times New Roman" w:hAnsi="Times New Roman"/>
                <w:szCs w:val="24"/>
              </w:rPr>
              <w:t>Maximum</w:t>
            </w:r>
          </w:p>
        </w:tc>
        <w:tc>
          <w:tcPr>
            <w:tcW w:w="935" w:type="dxa"/>
            <w:tcBorders>
              <w:top w:val="nil"/>
              <w:left w:val="nil"/>
              <w:bottom w:val="single" w:sz="8" w:space="0" w:color="000000"/>
              <w:right w:val="single" w:sz="8" w:space="0" w:color="808080"/>
            </w:tcBorders>
            <w:shd w:val="clear" w:color="auto" w:fill="FFFFFF" w:themeFill="background1"/>
            <w:noWrap/>
          </w:tcPr>
          <w:p w14:paraId="40A0A668"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7</w:t>
            </w:r>
          </w:p>
        </w:tc>
        <w:tc>
          <w:tcPr>
            <w:tcW w:w="1407" w:type="dxa"/>
            <w:tcBorders>
              <w:top w:val="nil"/>
              <w:left w:val="nil"/>
              <w:bottom w:val="single" w:sz="8" w:space="0" w:color="000000"/>
              <w:right w:val="single" w:sz="8" w:space="0" w:color="808080"/>
            </w:tcBorders>
            <w:shd w:val="clear" w:color="auto" w:fill="FFFFFF" w:themeFill="background1"/>
            <w:noWrap/>
          </w:tcPr>
          <w:p w14:paraId="6E1CB021"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7</w:t>
            </w:r>
          </w:p>
        </w:tc>
        <w:tc>
          <w:tcPr>
            <w:tcW w:w="1453" w:type="dxa"/>
            <w:tcBorders>
              <w:top w:val="nil"/>
              <w:left w:val="nil"/>
              <w:bottom w:val="single" w:sz="8" w:space="0" w:color="000000"/>
              <w:right w:val="single" w:sz="8" w:space="0" w:color="808080"/>
            </w:tcBorders>
            <w:shd w:val="clear" w:color="auto" w:fill="FFFFFF" w:themeFill="background1"/>
            <w:noWrap/>
          </w:tcPr>
          <w:p w14:paraId="5D9DE5B6"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5</w:t>
            </w:r>
          </w:p>
        </w:tc>
        <w:tc>
          <w:tcPr>
            <w:tcW w:w="1080" w:type="dxa"/>
            <w:tcBorders>
              <w:top w:val="nil"/>
              <w:left w:val="nil"/>
              <w:bottom w:val="single" w:sz="8" w:space="0" w:color="000000"/>
              <w:right w:val="single" w:sz="8" w:space="0" w:color="808080"/>
            </w:tcBorders>
            <w:shd w:val="clear" w:color="auto" w:fill="FFFFFF" w:themeFill="background1"/>
            <w:noWrap/>
          </w:tcPr>
          <w:p w14:paraId="0D825D8C"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8</w:t>
            </w:r>
          </w:p>
        </w:tc>
        <w:tc>
          <w:tcPr>
            <w:tcW w:w="1316" w:type="dxa"/>
            <w:tcBorders>
              <w:top w:val="nil"/>
              <w:left w:val="nil"/>
              <w:bottom w:val="single" w:sz="8" w:space="0" w:color="000000"/>
              <w:right w:val="single" w:sz="8" w:space="0" w:color="808080"/>
            </w:tcBorders>
            <w:shd w:val="clear" w:color="auto" w:fill="FFFFFF" w:themeFill="background1"/>
            <w:noWrap/>
          </w:tcPr>
          <w:p w14:paraId="5D4B82F3"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8</w:t>
            </w:r>
          </w:p>
        </w:tc>
        <w:tc>
          <w:tcPr>
            <w:tcW w:w="1092" w:type="dxa"/>
            <w:tcBorders>
              <w:top w:val="nil"/>
              <w:left w:val="nil"/>
              <w:bottom w:val="single" w:sz="8" w:space="0" w:color="000000"/>
              <w:right w:val="single" w:sz="8" w:space="0" w:color="000000"/>
            </w:tcBorders>
            <w:shd w:val="clear" w:color="auto" w:fill="FFFFFF" w:themeFill="background1"/>
            <w:noWrap/>
          </w:tcPr>
          <w:p w14:paraId="34EB7BDF"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4</w:t>
            </w:r>
          </w:p>
        </w:tc>
      </w:tr>
      <w:tr w:rsidR="002610A2" w:rsidRPr="004D75F1" w14:paraId="4D71CAB8" w14:textId="77777777" w:rsidTr="0017162D">
        <w:trPr>
          <w:trHeight w:val="386"/>
          <w:tblHeader/>
          <w:tblCellSpacing w:w="0" w:type="dxa"/>
        </w:trPr>
        <w:tc>
          <w:tcPr>
            <w:tcW w:w="1785" w:type="dxa"/>
            <w:tcBorders>
              <w:top w:val="nil"/>
              <w:left w:val="nil"/>
              <w:bottom w:val="single" w:sz="8" w:space="0" w:color="000000"/>
              <w:right w:val="single" w:sz="8" w:space="0" w:color="000000"/>
            </w:tcBorders>
            <w:shd w:val="clear" w:color="auto" w:fill="FFFFFF" w:themeFill="background1"/>
            <w:noWrap/>
          </w:tcPr>
          <w:p w14:paraId="00F84FB6" w14:textId="77777777" w:rsidR="002610A2" w:rsidRPr="00DF11F2" w:rsidRDefault="002610A2" w:rsidP="0017162D">
            <w:pPr>
              <w:rPr>
                <w:rFonts w:ascii="Times New Roman" w:eastAsia="Times New Roman" w:hAnsi="Times New Roman"/>
                <w:bCs/>
                <w:szCs w:val="24"/>
              </w:rPr>
            </w:pPr>
            <w:r w:rsidRPr="00DF11F2">
              <w:rPr>
                <w:rFonts w:ascii="Times New Roman" w:eastAsia="Times New Roman" w:hAnsi="Times New Roman"/>
                <w:bCs/>
                <w:szCs w:val="24"/>
              </w:rPr>
              <w:t>Median</w:t>
            </w:r>
          </w:p>
        </w:tc>
        <w:tc>
          <w:tcPr>
            <w:tcW w:w="935" w:type="dxa"/>
            <w:tcBorders>
              <w:top w:val="nil"/>
              <w:left w:val="nil"/>
              <w:bottom w:val="single" w:sz="8" w:space="0" w:color="000000"/>
              <w:right w:val="single" w:sz="8" w:space="0" w:color="808080"/>
            </w:tcBorders>
            <w:shd w:val="clear" w:color="auto" w:fill="FFFFFF" w:themeFill="background1"/>
            <w:noWrap/>
          </w:tcPr>
          <w:p w14:paraId="5116BC1A"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5</w:t>
            </w:r>
          </w:p>
        </w:tc>
        <w:tc>
          <w:tcPr>
            <w:tcW w:w="1407" w:type="dxa"/>
            <w:tcBorders>
              <w:top w:val="nil"/>
              <w:left w:val="nil"/>
              <w:bottom w:val="single" w:sz="8" w:space="0" w:color="000000"/>
              <w:right w:val="single" w:sz="8" w:space="0" w:color="808080"/>
            </w:tcBorders>
            <w:shd w:val="clear" w:color="auto" w:fill="FFFFFF" w:themeFill="background1"/>
            <w:noWrap/>
          </w:tcPr>
          <w:p w14:paraId="703B1A1E"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3</w:t>
            </w:r>
          </w:p>
        </w:tc>
        <w:tc>
          <w:tcPr>
            <w:tcW w:w="1453" w:type="dxa"/>
            <w:tcBorders>
              <w:top w:val="nil"/>
              <w:left w:val="nil"/>
              <w:bottom w:val="single" w:sz="8" w:space="0" w:color="000000"/>
              <w:right w:val="single" w:sz="8" w:space="0" w:color="808080"/>
            </w:tcBorders>
            <w:shd w:val="clear" w:color="auto" w:fill="FFFFFF" w:themeFill="background1"/>
            <w:noWrap/>
          </w:tcPr>
          <w:p w14:paraId="2665F30D"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1</w:t>
            </w:r>
          </w:p>
        </w:tc>
        <w:tc>
          <w:tcPr>
            <w:tcW w:w="1080" w:type="dxa"/>
            <w:tcBorders>
              <w:top w:val="nil"/>
              <w:left w:val="nil"/>
              <w:bottom w:val="single" w:sz="8" w:space="0" w:color="000000"/>
              <w:right w:val="single" w:sz="8" w:space="0" w:color="808080"/>
            </w:tcBorders>
            <w:shd w:val="clear" w:color="auto" w:fill="FFFFFF" w:themeFill="background1"/>
            <w:noWrap/>
          </w:tcPr>
          <w:p w14:paraId="302A00D5"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5</w:t>
            </w:r>
          </w:p>
        </w:tc>
        <w:tc>
          <w:tcPr>
            <w:tcW w:w="1316" w:type="dxa"/>
            <w:tcBorders>
              <w:top w:val="nil"/>
              <w:left w:val="nil"/>
              <w:bottom w:val="single" w:sz="8" w:space="0" w:color="000000"/>
              <w:right w:val="single" w:sz="8" w:space="0" w:color="808080"/>
            </w:tcBorders>
            <w:shd w:val="clear" w:color="auto" w:fill="FFFFFF" w:themeFill="background1"/>
            <w:noWrap/>
          </w:tcPr>
          <w:p w14:paraId="566EAD51"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4</w:t>
            </w:r>
          </w:p>
        </w:tc>
        <w:tc>
          <w:tcPr>
            <w:tcW w:w="1092" w:type="dxa"/>
            <w:tcBorders>
              <w:top w:val="nil"/>
              <w:left w:val="nil"/>
              <w:bottom w:val="single" w:sz="8" w:space="0" w:color="000000"/>
              <w:right w:val="single" w:sz="8" w:space="0" w:color="000000"/>
            </w:tcBorders>
            <w:shd w:val="clear" w:color="auto" w:fill="FFFFFF" w:themeFill="background1"/>
            <w:noWrap/>
          </w:tcPr>
          <w:p w14:paraId="6EFBD045"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0.5</w:t>
            </w:r>
          </w:p>
        </w:tc>
      </w:tr>
      <w:tr w:rsidR="002610A2" w:rsidRPr="004D75F1" w14:paraId="482DF5F1" w14:textId="77777777" w:rsidTr="0017162D">
        <w:trPr>
          <w:trHeight w:val="386"/>
          <w:tblHeader/>
          <w:tblCellSpacing w:w="0" w:type="dxa"/>
        </w:trPr>
        <w:tc>
          <w:tcPr>
            <w:tcW w:w="1785" w:type="dxa"/>
            <w:tcBorders>
              <w:top w:val="nil"/>
              <w:left w:val="nil"/>
              <w:bottom w:val="single" w:sz="8" w:space="0" w:color="000000"/>
              <w:right w:val="single" w:sz="8" w:space="0" w:color="000000"/>
            </w:tcBorders>
            <w:shd w:val="clear" w:color="auto" w:fill="FFFFFF" w:themeFill="background1"/>
            <w:noWrap/>
          </w:tcPr>
          <w:p w14:paraId="217AE52A" w14:textId="77777777" w:rsidR="002610A2" w:rsidRPr="00DF11F2" w:rsidRDefault="002610A2" w:rsidP="0017162D">
            <w:pPr>
              <w:rPr>
                <w:rFonts w:ascii="Times New Roman" w:eastAsia="Times New Roman" w:hAnsi="Times New Roman"/>
                <w:szCs w:val="24"/>
              </w:rPr>
            </w:pPr>
            <w:r w:rsidRPr="00DF11F2">
              <w:rPr>
                <w:rFonts w:ascii="Times New Roman" w:eastAsia="Times New Roman" w:hAnsi="Times New Roman"/>
                <w:szCs w:val="24"/>
              </w:rPr>
              <w:t>Arithmetic Mean</w:t>
            </w:r>
          </w:p>
        </w:tc>
        <w:tc>
          <w:tcPr>
            <w:tcW w:w="935" w:type="dxa"/>
            <w:tcBorders>
              <w:top w:val="nil"/>
              <w:left w:val="nil"/>
              <w:bottom w:val="single" w:sz="8" w:space="0" w:color="000000"/>
              <w:right w:val="single" w:sz="8" w:space="0" w:color="808080"/>
            </w:tcBorders>
            <w:shd w:val="clear" w:color="auto" w:fill="FFFFFF" w:themeFill="background1"/>
            <w:noWrap/>
          </w:tcPr>
          <w:p w14:paraId="02B63A74"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4.7</w:t>
            </w:r>
          </w:p>
        </w:tc>
        <w:tc>
          <w:tcPr>
            <w:tcW w:w="1407" w:type="dxa"/>
            <w:tcBorders>
              <w:top w:val="nil"/>
              <w:left w:val="nil"/>
              <w:bottom w:val="single" w:sz="8" w:space="0" w:color="000000"/>
              <w:right w:val="single" w:sz="8" w:space="0" w:color="808080"/>
            </w:tcBorders>
            <w:shd w:val="clear" w:color="auto" w:fill="FFFFFF" w:themeFill="background1"/>
            <w:noWrap/>
          </w:tcPr>
          <w:p w14:paraId="23ED1E7A"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3.3</w:t>
            </w:r>
          </w:p>
        </w:tc>
        <w:tc>
          <w:tcPr>
            <w:tcW w:w="1453" w:type="dxa"/>
            <w:tcBorders>
              <w:top w:val="nil"/>
              <w:left w:val="nil"/>
              <w:bottom w:val="single" w:sz="8" w:space="0" w:color="000000"/>
              <w:right w:val="single" w:sz="8" w:space="0" w:color="808080"/>
            </w:tcBorders>
            <w:shd w:val="clear" w:color="auto" w:fill="FFFFFF" w:themeFill="background1"/>
            <w:noWrap/>
          </w:tcPr>
          <w:p w14:paraId="5AB6F9D9"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1.2</w:t>
            </w:r>
          </w:p>
        </w:tc>
        <w:tc>
          <w:tcPr>
            <w:tcW w:w="1080" w:type="dxa"/>
            <w:tcBorders>
              <w:top w:val="nil"/>
              <w:left w:val="nil"/>
              <w:bottom w:val="single" w:sz="8" w:space="0" w:color="000000"/>
              <w:right w:val="single" w:sz="8" w:space="0" w:color="808080"/>
            </w:tcBorders>
            <w:shd w:val="clear" w:color="auto" w:fill="FFFFFF" w:themeFill="background1"/>
            <w:noWrap/>
          </w:tcPr>
          <w:p w14:paraId="389BEE45"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4.7</w:t>
            </w:r>
          </w:p>
        </w:tc>
        <w:tc>
          <w:tcPr>
            <w:tcW w:w="1316" w:type="dxa"/>
            <w:tcBorders>
              <w:top w:val="nil"/>
              <w:left w:val="nil"/>
              <w:bottom w:val="single" w:sz="8" w:space="0" w:color="000000"/>
              <w:right w:val="single" w:sz="8" w:space="0" w:color="808080"/>
            </w:tcBorders>
            <w:shd w:val="clear" w:color="auto" w:fill="FFFFFF" w:themeFill="background1"/>
            <w:noWrap/>
          </w:tcPr>
          <w:p w14:paraId="5110B13F"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4.2</w:t>
            </w:r>
          </w:p>
        </w:tc>
        <w:tc>
          <w:tcPr>
            <w:tcW w:w="1092" w:type="dxa"/>
            <w:tcBorders>
              <w:top w:val="nil"/>
              <w:left w:val="nil"/>
              <w:bottom w:val="single" w:sz="8" w:space="0" w:color="000000"/>
              <w:right w:val="single" w:sz="8" w:space="0" w:color="000000"/>
            </w:tcBorders>
            <w:shd w:val="clear" w:color="auto" w:fill="FFFFFF" w:themeFill="background1"/>
            <w:noWrap/>
          </w:tcPr>
          <w:p w14:paraId="086C921C" w14:textId="77777777" w:rsidR="002610A2" w:rsidRPr="00DF11F2" w:rsidRDefault="002610A2" w:rsidP="0017162D">
            <w:pPr>
              <w:jc w:val="right"/>
              <w:rPr>
                <w:rFonts w:ascii="Times New Roman" w:hAnsi="Times New Roman"/>
                <w:color w:val="000000"/>
                <w:szCs w:val="24"/>
              </w:rPr>
            </w:pPr>
            <w:r w:rsidRPr="00DF11F2">
              <w:rPr>
                <w:rFonts w:ascii="Times New Roman" w:hAnsi="Times New Roman"/>
                <w:color w:val="000000"/>
                <w:szCs w:val="24"/>
              </w:rPr>
              <w:t>1.3</w:t>
            </w:r>
          </w:p>
        </w:tc>
      </w:tr>
      <w:tr w:rsidR="002610A2" w:rsidRPr="004D75F1" w14:paraId="7E53F2D6" w14:textId="77777777" w:rsidTr="0017162D">
        <w:trPr>
          <w:trHeight w:val="386"/>
          <w:tblHeader/>
          <w:tblCellSpacing w:w="0" w:type="dxa"/>
        </w:trPr>
        <w:tc>
          <w:tcPr>
            <w:tcW w:w="1785" w:type="dxa"/>
            <w:tcBorders>
              <w:top w:val="nil"/>
              <w:left w:val="nil"/>
              <w:bottom w:val="single" w:sz="8" w:space="0" w:color="000000"/>
              <w:right w:val="single" w:sz="8" w:space="0" w:color="000000"/>
            </w:tcBorders>
            <w:shd w:val="clear" w:color="auto" w:fill="FFFFFF" w:themeFill="background1"/>
            <w:noWrap/>
          </w:tcPr>
          <w:p w14:paraId="2640FA1D" w14:textId="77777777" w:rsidR="002610A2" w:rsidRPr="00DF11F2" w:rsidRDefault="002610A2" w:rsidP="0017162D">
            <w:pPr>
              <w:rPr>
                <w:rFonts w:ascii="Times New Roman" w:eastAsia="Times New Roman" w:hAnsi="Times New Roman"/>
                <w:b/>
                <w:bCs/>
                <w:szCs w:val="24"/>
              </w:rPr>
            </w:pPr>
            <w:r w:rsidRPr="00DF11F2">
              <w:rPr>
                <w:rFonts w:ascii="Times New Roman" w:eastAsia="Times New Roman" w:hAnsi="Times New Roman"/>
                <w:b/>
                <w:bCs/>
                <w:szCs w:val="24"/>
              </w:rPr>
              <w:t xml:space="preserve">Top 20 </w:t>
            </w:r>
            <w:r>
              <w:rPr>
                <w:rFonts w:ascii="Times New Roman" w:eastAsia="Times New Roman" w:hAnsi="Times New Roman"/>
                <w:b/>
                <w:bCs/>
                <w:szCs w:val="24"/>
              </w:rPr>
              <w:t>holdovers</w:t>
            </w:r>
          </w:p>
        </w:tc>
        <w:tc>
          <w:tcPr>
            <w:tcW w:w="935" w:type="dxa"/>
            <w:tcBorders>
              <w:top w:val="nil"/>
              <w:left w:val="nil"/>
              <w:bottom w:val="single" w:sz="8" w:space="0" w:color="000000"/>
              <w:right w:val="single" w:sz="8" w:space="0" w:color="808080"/>
            </w:tcBorders>
            <w:shd w:val="clear" w:color="auto" w:fill="FFFFFF" w:themeFill="background1"/>
            <w:noWrap/>
          </w:tcPr>
          <w:p w14:paraId="25C80307" w14:textId="77777777" w:rsidR="002610A2" w:rsidRPr="00DF11F2" w:rsidRDefault="002610A2" w:rsidP="0017162D">
            <w:pPr>
              <w:jc w:val="right"/>
              <w:rPr>
                <w:rFonts w:ascii="Times New Roman" w:eastAsia="Times New Roman" w:hAnsi="Times New Roman"/>
                <w:b/>
                <w:bCs/>
                <w:szCs w:val="24"/>
              </w:rPr>
            </w:pPr>
          </w:p>
        </w:tc>
        <w:tc>
          <w:tcPr>
            <w:tcW w:w="1407" w:type="dxa"/>
            <w:tcBorders>
              <w:top w:val="nil"/>
              <w:left w:val="nil"/>
              <w:bottom w:val="single" w:sz="8" w:space="0" w:color="000000"/>
              <w:right w:val="single" w:sz="8" w:space="0" w:color="808080"/>
            </w:tcBorders>
            <w:shd w:val="clear" w:color="auto" w:fill="FFFFFF" w:themeFill="background1"/>
            <w:noWrap/>
          </w:tcPr>
          <w:p w14:paraId="0528EAE1" w14:textId="77777777" w:rsidR="002610A2" w:rsidRPr="00DF11F2" w:rsidRDefault="002610A2" w:rsidP="0017162D">
            <w:pPr>
              <w:jc w:val="right"/>
              <w:rPr>
                <w:rFonts w:ascii="Times New Roman" w:eastAsia="Times New Roman" w:hAnsi="Times New Roman"/>
                <w:b/>
                <w:bCs/>
                <w:szCs w:val="24"/>
              </w:rPr>
            </w:pPr>
          </w:p>
        </w:tc>
        <w:tc>
          <w:tcPr>
            <w:tcW w:w="1453" w:type="dxa"/>
            <w:tcBorders>
              <w:top w:val="nil"/>
              <w:left w:val="nil"/>
              <w:bottom w:val="single" w:sz="8" w:space="0" w:color="000000"/>
              <w:right w:val="single" w:sz="8" w:space="0" w:color="808080"/>
            </w:tcBorders>
            <w:shd w:val="clear" w:color="auto" w:fill="FFFFFF" w:themeFill="background1"/>
            <w:noWrap/>
          </w:tcPr>
          <w:p w14:paraId="0DC76A38" w14:textId="77777777" w:rsidR="002610A2" w:rsidRPr="00DF11F2" w:rsidRDefault="002610A2" w:rsidP="0017162D">
            <w:pPr>
              <w:jc w:val="right"/>
              <w:rPr>
                <w:rFonts w:ascii="Times New Roman" w:eastAsia="Times New Roman" w:hAnsi="Times New Roman"/>
                <w:b/>
                <w:bCs/>
                <w:szCs w:val="24"/>
              </w:rPr>
            </w:pPr>
          </w:p>
        </w:tc>
        <w:tc>
          <w:tcPr>
            <w:tcW w:w="1080" w:type="dxa"/>
            <w:tcBorders>
              <w:top w:val="nil"/>
              <w:left w:val="nil"/>
              <w:bottom w:val="single" w:sz="8" w:space="0" w:color="000000"/>
              <w:right w:val="single" w:sz="8" w:space="0" w:color="808080"/>
            </w:tcBorders>
            <w:shd w:val="clear" w:color="auto" w:fill="FFFFFF" w:themeFill="background1"/>
            <w:noWrap/>
          </w:tcPr>
          <w:p w14:paraId="3642ADD4" w14:textId="77777777" w:rsidR="002610A2" w:rsidRPr="00DF11F2" w:rsidRDefault="002610A2" w:rsidP="0017162D">
            <w:pPr>
              <w:jc w:val="right"/>
              <w:rPr>
                <w:rFonts w:ascii="Times New Roman" w:eastAsia="Times New Roman" w:hAnsi="Times New Roman"/>
                <w:b/>
                <w:bCs/>
                <w:szCs w:val="24"/>
              </w:rPr>
            </w:pPr>
          </w:p>
        </w:tc>
        <w:tc>
          <w:tcPr>
            <w:tcW w:w="1316" w:type="dxa"/>
            <w:tcBorders>
              <w:top w:val="nil"/>
              <w:left w:val="nil"/>
              <w:bottom w:val="single" w:sz="8" w:space="0" w:color="000000"/>
              <w:right w:val="single" w:sz="8" w:space="0" w:color="808080"/>
            </w:tcBorders>
            <w:shd w:val="clear" w:color="auto" w:fill="FFFFFF" w:themeFill="background1"/>
            <w:noWrap/>
          </w:tcPr>
          <w:p w14:paraId="37135C6F" w14:textId="77777777" w:rsidR="002610A2" w:rsidRPr="00DF11F2" w:rsidRDefault="002610A2" w:rsidP="0017162D">
            <w:pPr>
              <w:jc w:val="right"/>
              <w:rPr>
                <w:rFonts w:ascii="Times New Roman" w:eastAsia="Times New Roman" w:hAnsi="Times New Roman"/>
                <w:b/>
                <w:bCs/>
                <w:szCs w:val="24"/>
              </w:rPr>
            </w:pPr>
          </w:p>
        </w:tc>
        <w:tc>
          <w:tcPr>
            <w:tcW w:w="1092" w:type="dxa"/>
            <w:tcBorders>
              <w:top w:val="nil"/>
              <w:left w:val="nil"/>
              <w:bottom w:val="single" w:sz="8" w:space="0" w:color="000000"/>
              <w:right w:val="single" w:sz="8" w:space="0" w:color="000000"/>
            </w:tcBorders>
            <w:shd w:val="clear" w:color="auto" w:fill="FFFFFF" w:themeFill="background1"/>
            <w:noWrap/>
          </w:tcPr>
          <w:p w14:paraId="7CCDCD8F" w14:textId="77777777" w:rsidR="002610A2" w:rsidRPr="00DF11F2" w:rsidRDefault="002610A2" w:rsidP="0017162D">
            <w:pPr>
              <w:jc w:val="right"/>
              <w:rPr>
                <w:rFonts w:ascii="Times New Roman" w:eastAsia="Times New Roman" w:hAnsi="Times New Roman"/>
                <w:b/>
                <w:bCs/>
                <w:szCs w:val="24"/>
              </w:rPr>
            </w:pPr>
          </w:p>
        </w:tc>
      </w:tr>
      <w:tr w:rsidR="002610A2" w:rsidRPr="004D75F1" w14:paraId="288DC466" w14:textId="77777777" w:rsidTr="0017162D">
        <w:trPr>
          <w:trHeight w:val="386"/>
          <w:tblCellSpacing w:w="0" w:type="dxa"/>
        </w:trPr>
        <w:tc>
          <w:tcPr>
            <w:tcW w:w="1785" w:type="dxa"/>
            <w:tcBorders>
              <w:top w:val="nil"/>
              <w:left w:val="nil"/>
              <w:bottom w:val="single" w:sz="8" w:space="0" w:color="808080"/>
              <w:right w:val="single" w:sz="8" w:space="0" w:color="000000"/>
            </w:tcBorders>
            <w:noWrap/>
          </w:tcPr>
          <w:p w14:paraId="759800BD" w14:textId="77777777" w:rsidR="002610A2" w:rsidRPr="00DF11F2" w:rsidRDefault="002610A2" w:rsidP="0017162D">
            <w:pPr>
              <w:rPr>
                <w:rFonts w:ascii="Times New Roman" w:eastAsia="Times New Roman" w:hAnsi="Times New Roman"/>
                <w:szCs w:val="24"/>
              </w:rPr>
            </w:pPr>
            <w:r w:rsidRPr="00DF11F2">
              <w:rPr>
                <w:rFonts w:ascii="Times New Roman" w:eastAsia="Times New Roman" w:hAnsi="Times New Roman"/>
                <w:szCs w:val="24"/>
              </w:rPr>
              <w:t>N of Cases</w:t>
            </w:r>
          </w:p>
        </w:tc>
        <w:tc>
          <w:tcPr>
            <w:tcW w:w="935" w:type="dxa"/>
            <w:tcBorders>
              <w:top w:val="nil"/>
              <w:left w:val="nil"/>
              <w:bottom w:val="single" w:sz="8" w:space="0" w:color="808080"/>
              <w:right w:val="single" w:sz="8" w:space="0" w:color="808080"/>
            </w:tcBorders>
            <w:noWrap/>
          </w:tcPr>
          <w:p w14:paraId="63613C62"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41</w:t>
            </w:r>
          </w:p>
        </w:tc>
        <w:tc>
          <w:tcPr>
            <w:tcW w:w="1407" w:type="dxa"/>
            <w:tcBorders>
              <w:top w:val="nil"/>
              <w:left w:val="nil"/>
              <w:bottom w:val="single" w:sz="8" w:space="0" w:color="808080"/>
              <w:right w:val="single" w:sz="8" w:space="0" w:color="808080"/>
            </w:tcBorders>
            <w:noWrap/>
          </w:tcPr>
          <w:p w14:paraId="245660D5"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37</w:t>
            </w:r>
          </w:p>
        </w:tc>
        <w:tc>
          <w:tcPr>
            <w:tcW w:w="1453" w:type="dxa"/>
            <w:tcBorders>
              <w:top w:val="nil"/>
              <w:left w:val="nil"/>
              <w:bottom w:val="single" w:sz="8" w:space="0" w:color="808080"/>
              <w:right w:val="single" w:sz="8" w:space="0" w:color="808080"/>
            </w:tcBorders>
            <w:noWrap/>
          </w:tcPr>
          <w:p w14:paraId="20CD8E11"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32</w:t>
            </w:r>
          </w:p>
        </w:tc>
        <w:tc>
          <w:tcPr>
            <w:tcW w:w="1080" w:type="dxa"/>
            <w:tcBorders>
              <w:top w:val="nil"/>
              <w:left w:val="nil"/>
              <w:bottom w:val="single" w:sz="8" w:space="0" w:color="808080"/>
              <w:right w:val="single" w:sz="8" w:space="0" w:color="808080"/>
            </w:tcBorders>
            <w:noWrap/>
          </w:tcPr>
          <w:p w14:paraId="08CFEEFB"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14</w:t>
            </w:r>
          </w:p>
        </w:tc>
        <w:tc>
          <w:tcPr>
            <w:tcW w:w="1316" w:type="dxa"/>
            <w:tcBorders>
              <w:top w:val="nil"/>
              <w:left w:val="nil"/>
              <w:bottom w:val="single" w:sz="8" w:space="0" w:color="808080"/>
              <w:right w:val="single" w:sz="8" w:space="0" w:color="808080"/>
            </w:tcBorders>
            <w:noWrap/>
          </w:tcPr>
          <w:p w14:paraId="2C0FCDA1"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43</w:t>
            </w:r>
          </w:p>
        </w:tc>
        <w:tc>
          <w:tcPr>
            <w:tcW w:w="1092" w:type="dxa"/>
            <w:tcBorders>
              <w:top w:val="nil"/>
              <w:left w:val="nil"/>
              <w:bottom w:val="single" w:sz="8" w:space="0" w:color="808080"/>
              <w:right w:val="single" w:sz="8" w:space="0" w:color="000000"/>
            </w:tcBorders>
            <w:noWrap/>
          </w:tcPr>
          <w:p w14:paraId="75506709"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12</w:t>
            </w:r>
          </w:p>
        </w:tc>
      </w:tr>
      <w:tr w:rsidR="002610A2" w:rsidRPr="004D75F1" w14:paraId="7FCCE091" w14:textId="77777777" w:rsidTr="0017162D">
        <w:trPr>
          <w:trHeight w:val="386"/>
          <w:tblCellSpacing w:w="0" w:type="dxa"/>
        </w:trPr>
        <w:tc>
          <w:tcPr>
            <w:tcW w:w="1785" w:type="dxa"/>
            <w:tcBorders>
              <w:top w:val="nil"/>
              <w:left w:val="nil"/>
              <w:bottom w:val="single" w:sz="8" w:space="0" w:color="808080"/>
              <w:right w:val="single" w:sz="8" w:space="0" w:color="000000"/>
            </w:tcBorders>
            <w:noWrap/>
          </w:tcPr>
          <w:p w14:paraId="61B447E8" w14:textId="77777777" w:rsidR="002610A2" w:rsidRPr="00DF11F2" w:rsidRDefault="002610A2" w:rsidP="0017162D">
            <w:pPr>
              <w:rPr>
                <w:rFonts w:ascii="Times New Roman" w:eastAsia="Times New Roman" w:hAnsi="Times New Roman"/>
                <w:szCs w:val="24"/>
              </w:rPr>
            </w:pPr>
            <w:r w:rsidRPr="00DF11F2">
              <w:rPr>
                <w:rFonts w:ascii="Times New Roman" w:eastAsia="Times New Roman" w:hAnsi="Times New Roman"/>
                <w:szCs w:val="24"/>
              </w:rPr>
              <w:t>Minimum</w:t>
            </w:r>
          </w:p>
        </w:tc>
        <w:tc>
          <w:tcPr>
            <w:tcW w:w="935" w:type="dxa"/>
            <w:tcBorders>
              <w:top w:val="nil"/>
              <w:left w:val="nil"/>
              <w:bottom w:val="single" w:sz="8" w:space="0" w:color="808080"/>
              <w:right w:val="single" w:sz="8" w:space="0" w:color="808080"/>
            </w:tcBorders>
            <w:noWrap/>
          </w:tcPr>
          <w:p w14:paraId="5C377ABA"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3</w:t>
            </w:r>
          </w:p>
        </w:tc>
        <w:tc>
          <w:tcPr>
            <w:tcW w:w="1407" w:type="dxa"/>
            <w:tcBorders>
              <w:top w:val="nil"/>
              <w:left w:val="nil"/>
              <w:bottom w:val="single" w:sz="8" w:space="0" w:color="808080"/>
              <w:right w:val="single" w:sz="8" w:space="0" w:color="808080"/>
            </w:tcBorders>
            <w:noWrap/>
          </w:tcPr>
          <w:p w14:paraId="576C1D8A"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w:t>
            </w:r>
          </w:p>
        </w:tc>
        <w:tc>
          <w:tcPr>
            <w:tcW w:w="1453" w:type="dxa"/>
            <w:tcBorders>
              <w:top w:val="nil"/>
              <w:left w:val="nil"/>
              <w:bottom w:val="single" w:sz="8" w:space="0" w:color="808080"/>
              <w:right w:val="single" w:sz="8" w:space="0" w:color="808080"/>
            </w:tcBorders>
            <w:noWrap/>
          </w:tcPr>
          <w:p w14:paraId="69B62D84"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0</w:t>
            </w:r>
          </w:p>
        </w:tc>
        <w:tc>
          <w:tcPr>
            <w:tcW w:w="1080" w:type="dxa"/>
            <w:tcBorders>
              <w:top w:val="nil"/>
              <w:left w:val="nil"/>
              <w:bottom w:val="single" w:sz="8" w:space="0" w:color="808080"/>
              <w:right w:val="single" w:sz="8" w:space="0" w:color="808080"/>
            </w:tcBorders>
            <w:noWrap/>
          </w:tcPr>
          <w:p w14:paraId="0CFD20DC"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3</w:t>
            </w:r>
          </w:p>
        </w:tc>
        <w:tc>
          <w:tcPr>
            <w:tcW w:w="1316" w:type="dxa"/>
            <w:tcBorders>
              <w:top w:val="nil"/>
              <w:left w:val="nil"/>
              <w:bottom w:val="single" w:sz="8" w:space="0" w:color="808080"/>
              <w:right w:val="single" w:sz="8" w:space="0" w:color="808080"/>
            </w:tcBorders>
            <w:noWrap/>
          </w:tcPr>
          <w:p w14:paraId="65E24DB8"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2</w:t>
            </w:r>
          </w:p>
        </w:tc>
        <w:tc>
          <w:tcPr>
            <w:tcW w:w="1092" w:type="dxa"/>
            <w:tcBorders>
              <w:top w:val="nil"/>
              <w:left w:val="nil"/>
              <w:bottom w:val="single" w:sz="8" w:space="0" w:color="808080"/>
              <w:right w:val="single" w:sz="8" w:space="0" w:color="000000"/>
            </w:tcBorders>
            <w:noWrap/>
          </w:tcPr>
          <w:p w14:paraId="35CC75B8"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0</w:t>
            </w:r>
          </w:p>
        </w:tc>
      </w:tr>
      <w:tr w:rsidR="002610A2" w:rsidRPr="004D75F1" w14:paraId="2548D400" w14:textId="77777777" w:rsidTr="0017162D">
        <w:trPr>
          <w:trHeight w:val="386"/>
          <w:tblCellSpacing w:w="0" w:type="dxa"/>
        </w:trPr>
        <w:tc>
          <w:tcPr>
            <w:tcW w:w="1785" w:type="dxa"/>
            <w:tcBorders>
              <w:top w:val="nil"/>
              <w:left w:val="nil"/>
              <w:bottom w:val="single" w:sz="8" w:space="0" w:color="808080"/>
              <w:right w:val="single" w:sz="8" w:space="0" w:color="000000"/>
            </w:tcBorders>
            <w:noWrap/>
          </w:tcPr>
          <w:p w14:paraId="71D01AE0" w14:textId="77777777" w:rsidR="002610A2" w:rsidRPr="00DF11F2" w:rsidRDefault="002610A2" w:rsidP="0017162D">
            <w:pPr>
              <w:rPr>
                <w:rFonts w:ascii="Times New Roman" w:eastAsia="Times New Roman" w:hAnsi="Times New Roman"/>
                <w:szCs w:val="24"/>
              </w:rPr>
            </w:pPr>
            <w:r w:rsidRPr="00DF11F2">
              <w:rPr>
                <w:rFonts w:ascii="Times New Roman" w:eastAsia="Times New Roman" w:hAnsi="Times New Roman"/>
                <w:szCs w:val="24"/>
              </w:rPr>
              <w:t>Maximum</w:t>
            </w:r>
          </w:p>
        </w:tc>
        <w:tc>
          <w:tcPr>
            <w:tcW w:w="935" w:type="dxa"/>
            <w:tcBorders>
              <w:top w:val="nil"/>
              <w:left w:val="nil"/>
              <w:bottom w:val="single" w:sz="8" w:space="0" w:color="808080"/>
              <w:right w:val="single" w:sz="8" w:space="0" w:color="808080"/>
            </w:tcBorders>
            <w:noWrap/>
          </w:tcPr>
          <w:p w14:paraId="57A3FB7C"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19</w:t>
            </w:r>
          </w:p>
        </w:tc>
        <w:tc>
          <w:tcPr>
            <w:tcW w:w="1407" w:type="dxa"/>
            <w:tcBorders>
              <w:top w:val="nil"/>
              <w:left w:val="nil"/>
              <w:bottom w:val="single" w:sz="8" w:space="0" w:color="808080"/>
              <w:right w:val="single" w:sz="8" w:space="0" w:color="808080"/>
            </w:tcBorders>
            <w:noWrap/>
          </w:tcPr>
          <w:p w14:paraId="48F3A47B"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15</w:t>
            </w:r>
          </w:p>
        </w:tc>
        <w:tc>
          <w:tcPr>
            <w:tcW w:w="1453" w:type="dxa"/>
            <w:tcBorders>
              <w:top w:val="nil"/>
              <w:left w:val="nil"/>
              <w:bottom w:val="single" w:sz="8" w:space="0" w:color="808080"/>
              <w:right w:val="single" w:sz="8" w:space="0" w:color="808080"/>
            </w:tcBorders>
            <w:noWrap/>
          </w:tcPr>
          <w:p w14:paraId="45F9D3C2"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12</w:t>
            </w:r>
          </w:p>
        </w:tc>
        <w:tc>
          <w:tcPr>
            <w:tcW w:w="1080" w:type="dxa"/>
            <w:tcBorders>
              <w:top w:val="nil"/>
              <w:left w:val="nil"/>
              <w:bottom w:val="single" w:sz="8" w:space="0" w:color="808080"/>
              <w:right w:val="single" w:sz="8" w:space="0" w:color="808080"/>
            </w:tcBorders>
            <w:noWrap/>
          </w:tcPr>
          <w:p w14:paraId="1C3D817C"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18</w:t>
            </w:r>
          </w:p>
        </w:tc>
        <w:tc>
          <w:tcPr>
            <w:tcW w:w="1316" w:type="dxa"/>
            <w:tcBorders>
              <w:top w:val="nil"/>
              <w:left w:val="nil"/>
              <w:bottom w:val="single" w:sz="8" w:space="0" w:color="808080"/>
              <w:right w:val="single" w:sz="8" w:space="0" w:color="808080"/>
            </w:tcBorders>
            <w:noWrap/>
          </w:tcPr>
          <w:p w14:paraId="7E9D3AE0"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20</w:t>
            </w:r>
          </w:p>
        </w:tc>
        <w:tc>
          <w:tcPr>
            <w:tcW w:w="1092" w:type="dxa"/>
            <w:tcBorders>
              <w:top w:val="nil"/>
              <w:left w:val="nil"/>
              <w:bottom w:val="single" w:sz="8" w:space="0" w:color="808080"/>
              <w:right w:val="single" w:sz="8" w:space="0" w:color="000000"/>
            </w:tcBorders>
            <w:noWrap/>
          </w:tcPr>
          <w:p w14:paraId="70E8927E"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10</w:t>
            </w:r>
          </w:p>
        </w:tc>
      </w:tr>
      <w:tr w:rsidR="002610A2" w:rsidRPr="004D75F1" w14:paraId="1FA91015" w14:textId="77777777" w:rsidTr="0017162D">
        <w:trPr>
          <w:trHeight w:val="386"/>
          <w:tblCellSpacing w:w="0" w:type="dxa"/>
        </w:trPr>
        <w:tc>
          <w:tcPr>
            <w:tcW w:w="1785" w:type="dxa"/>
            <w:tcBorders>
              <w:top w:val="nil"/>
              <w:left w:val="nil"/>
              <w:bottom w:val="nil"/>
              <w:right w:val="single" w:sz="8" w:space="0" w:color="000000"/>
            </w:tcBorders>
            <w:noWrap/>
          </w:tcPr>
          <w:p w14:paraId="75F9D0F3" w14:textId="77777777" w:rsidR="002610A2" w:rsidRPr="00DF11F2" w:rsidRDefault="002610A2" w:rsidP="0017162D">
            <w:pPr>
              <w:rPr>
                <w:rFonts w:ascii="Times New Roman" w:eastAsia="Times New Roman" w:hAnsi="Times New Roman"/>
                <w:szCs w:val="24"/>
              </w:rPr>
            </w:pPr>
            <w:r w:rsidRPr="00DF11F2">
              <w:rPr>
                <w:rFonts w:ascii="Times New Roman" w:eastAsia="Times New Roman" w:hAnsi="Times New Roman"/>
                <w:szCs w:val="24"/>
              </w:rPr>
              <w:t>Median</w:t>
            </w:r>
          </w:p>
        </w:tc>
        <w:tc>
          <w:tcPr>
            <w:tcW w:w="935" w:type="dxa"/>
            <w:tcBorders>
              <w:top w:val="nil"/>
              <w:left w:val="nil"/>
              <w:bottom w:val="nil"/>
              <w:right w:val="single" w:sz="8" w:space="0" w:color="808080"/>
            </w:tcBorders>
            <w:noWrap/>
          </w:tcPr>
          <w:p w14:paraId="0BD1E906"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11</w:t>
            </w:r>
          </w:p>
        </w:tc>
        <w:tc>
          <w:tcPr>
            <w:tcW w:w="1407" w:type="dxa"/>
            <w:tcBorders>
              <w:top w:val="nil"/>
              <w:left w:val="nil"/>
              <w:bottom w:val="nil"/>
              <w:right w:val="single" w:sz="8" w:space="0" w:color="808080"/>
            </w:tcBorders>
            <w:noWrap/>
          </w:tcPr>
          <w:p w14:paraId="0EE550A4"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9</w:t>
            </w:r>
          </w:p>
        </w:tc>
        <w:tc>
          <w:tcPr>
            <w:tcW w:w="1453" w:type="dxa"/>
            <w:tcBorders>
              <w:top w:val="nil"/>
              <w:left w:val="nil"/>
              <w:bottom w:val="nil"/>
              <w:right w:val="single" w:sz="8" w:space="0" w:color="808080"/>
            </w:tcBorders>
            <w:noWrap/>
          </w:tcPr>
          <w:p w14:paraId="0E5365AB"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w:t>
            </w:r>
          </w:p>
        </w:tc>
        <w:tc>
          <w:tcPr>
            <w:tcW w:w="1080" w:type="dxa"/>
            <w:tcBorders>
              <w:top w:val="nil"/>
              <w:left w:val="nil"/>
              <w:bottom w:val="nil"/>
              <w:right w:val="single" w:sz="8" w:space="0" w:color="808080"/>
            </w:tcBorders>
            <w:noWrap/>
          </w:tcPr>
          <w:p w14:paraId="30700C8A"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10</w:t>
            </w:r>
          </w:p>
        </w:tc>
        <w:tc>
          <w:tcPr>
            <w:tcW w:w="1316" w:type="dxa"/>
            <w:tcBorders>
              <w:top w:val="nil"/>
              <w:left w:val="nil"/>
              <w:bottom w:val="nil"/>
              <w:right w:val="single" w:sz="8" w:space="0" w:color="808080"/>
            </w:tcBorders>
            <w:noWrap/>
          </w:tcPr>
          <w:p w14:paraId="559DE58B"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9</w:t>
            </w:r>
          </w:p>
        </w:tc>
        <w:tc>
          <w:tcPr>
            <w:tcW w:w="1092" w:type="dxa"/>
            <w:tcBorders>
              <w:top w:val="nil"/>
              <w:left w:val="nil"/>
              <w:bottom w:val="nil"/>
              <w:right w:val="single" w:sz="8" w:space="0" w:color="000000"/>
            </w:tcBorders>
            <w:noWrap/>
          </w:tcPr>
          <w:p w14:paraId="257BF66A"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3</w:t>
            </w:r>
          </w:p>
        </w:tc>
      </w:tr>
      <w:tr w:rsidR="002610A2" w:rsidRPr="004D75F1" w14:paraId="727A4B76" w14:textId="77777777" w:rsidTr="0017162D">
        <w:trPr>
          <w:trHeight w:val="386"/>
          <w:tblCellSpacing w:w="0" w:type="dxa"/>
        </w:trPr>
        <w:tc>
          <w:tcPr>
            <w:tcW w:w="1785" w:type="dxa"/>
            <w:tcBorders>
              <w:top w:val="nil"/>
              <w:left w:val="nil"/>
              <w:bottom w:val="nil"/>
              <w:right w:val="single" w:sz="8" w:space="0" w:color="000000"/>
            </w:tcBorders>
            <w:noWrap/>
          </w:tcPr>
          <w:p w14:paraId="33DACBB9" w14:textId="77777777" w:rsidR="002610A2" w:rsidRPr="00DF11F2" w:rsidRDefault="002610A2" w:rsidP="0017162D">
            <w:pPr>
              <w:rPr>
                <w:rFonts w:ascii="Times New Roman" w:eastAsia="Times New Roman" w:hAnsi="Times New Roman"/>
                <w:szCs w:val="24"/>
              </w:rPr>
            </w:pPr>
            <w:r w:rsidRPr="00DF11F2">
              <w:rPr>
                <w:rFonts w:ascii="Times New Roman" w:eastAsia="Times New Roman" w:hAnsi="Times New Roman"/>
                <w:szCs w:val="24"/>
              </w:rPr>
              <w:t>Arithmetic Mean</w:t>
            </w:r>
          </w:p>
        </w:tc>
        <w:tc>
          <w:tcPr>
            <w:tcW w:w="935" w:type="dxa"/>
            <w:tcBorders>
              <w:top w:val="nil"/>
              <w:left w:val="nil"/>
              <w:bottom w:val="nil"/>
              <w:right w:val="single" w:sz="8" w:space="0" w:color="808080"/>
            </w:tcBorders>
            <w:noWrap/>
          </w:tcPr>
          <w:p w14:paraId="6BC646BB"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10.6</w:t>
            </w:r>
          </w:p>
        </w:tc>
        <w:tc>
          <w:tcPr>
            <w:tcW w:w="1407" w:type="dxa"/>
            <w:tcBorders>
              <w:top w:val="nil"/>
              <w:left w:val="nil"/>
              <w:bottom w:val="nil"/>
              <w:right w:val="single" w:sz="8" w:space="0" w:color="808080"/>
            </w:tcBorders>
            <w:noWrap/>
          </w:tcPr>
          <w:p w14:paraId="30945B90"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7.7</w:t>
            </w:r>
          </w:p>
        </w:tc>
        <w:tc>
          <w:tcPr>
            <w:tcW w:w="1453" w:type="dxa"/>
            <w:tcBorders>
              <w:top w:val="nil"/>
              <w:left w:val="nil"/>
              <w:bottom w:val="nil"/>
              <w:right w:val="single" w:sz="8" w:space="0" w:color="808080"/>
            </w:tcBorders>
            <w:noWrap/>
          </w:tcPr>
          <w:p w14:paraId="46895EE1"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3.1</w:t>
            </w:r>
          </w:p>
        </w:tc>
        <w:tc>
          <w:tcPr>
            <w:tcW w:w="1080" w:type="dxa"/>
            <w:tcBorders>
              <w:top w:val="nil"/>
              <w:left w:val="nil"/>
              <w:bottom w:val="nil"/>
              <w:right w:val="single" w:sz="8" w:space="0" w:color="808080"/>
            </w:tcBorders>
            <w:noWrap/>
          </w:tcPr>
          <w:p w14:paraId="1F09C717"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10.6</w:t>
            </w:r>
          </w:p>
        </w:tc>
        <w:tc>
          <w:tcPr>
            <w:tcW w:w="1316" w:type="dxa"/>
            <w:tcBorders>
              <w:top w:val="nil"/>
              <w:left w:val="nil"/>
              <w:bottom w:val="nil"/>
              <w:right w:val="single" w:sz="8" w:space="0" w:color="808080"/>
            </w:tcBorders>
            <w:noWrap/>
          </w:tcPr>
          <w:p w14:paraId="55277FAB"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9.0</w:t>
            </w:r>
          </w:p>
        </w:tc>
        <w:tc>
          <w:tcPr>
            <w:tcW w:w="1092" w:type="dxa"/>
            <w:tcBorders>
              <w:top w:val="nil"/>
              <w:left w:val="nil"/>
              <w:bottom w:val="nil"/>
              <w:right w:val="single" w:sz="8" w:space="0" w:color="000000"/>
            </w:tcBorders>
            <w:noWrap/>
          </w:tcPr>
          <w:p w14:paraId="67599371" w14:textId="77777777" w:rsidR="002610A2" w:rsidRPr="00DF11F2" w:rsidRDefault="002610A2" w:rsidP="0017162D">
            <w:pPr>
              <w:jc w:val="right"/>
              <w:rPr>
                <w:rFonts w:ascii="Times New Roman" w:eastAsia="Times New Roman" w:hAnsi="Times New Roman"/>
                <w:szCs w:val="24"/>
              </w:rPr>
            </w:pPr>
            <w:r w:rsidRPr="00DF11F2">
              <w:rPr>
                <w:rFonts w:ascii="Times New Roman" w:eastAsia="Times New Roman" w:hAnsi="Times New Roman"/>
                <w:szCs w:val="24"/>
              </w:rPr>
              <w:t>3.5</w:t>
            </w:r>
          </w:p>
        </w:tc>
      </w:tr>
    </w:tbl>
    <w:p w14:paraId="6A264009" w14:textId="77777777" w:rsidR="002610A2" w:rsidRDefault="002610A2" w:rsidP="003E7605">
      <w:pPr>
        <w:spacing w:before="100" w:beforeAutospacing="1" w:after="100" w:afterAutospacing="1" w:line="480" w:lineRule="auto"/>
        <w:rPr>
          <w:rFonts w:ascii="Times New Roman" w:hAnsi="Times New Roman"/>
          <w:szCs w:val="24"/>
        </w:rPr>
      </w:pPr>
    </w:p>
    <w:p w14:paraId="4BAD7747" w14:textId="77777777" w:rsidR="002610A2" w:rsidRDefault="002610A2">
      <w:pPr>
        <w:spacing w:before="100" w:beforeAutospacing="1" w:after="100" w:afterAutospacing="1"/>
        <w:rPr>
          <w:rFonts w:ascii="Times New Roman" w:hAnsi="Times New Roman"/>
          <w:szCs w:val="24"/>
        </w:rPr>
      </w:pPr>
      <w:r>
        <w:rPr>
          <w:rFonts w:ascii="Times New Roman" w:hAnsi="Times New Roman"/>
          <w:szCs w:val="24"/>
        </w:rPr>
        <w:br w:type="page"/>
      </w:r>
    </w:p>
    <w:p w14:paraId="6DB9218E" w14:textId="65D8AFEF" w:rsidR="00FF08E6" w:rsidRDefault="00FF08E6" w:rsidP="003E7605">
      <w:pPr>
        <w:spacing w:before="100" w:beforeAutospacing="1" w:after="100" w:afterAutospacing="1" w:line="480" w:lineRule="auto"/>
        <w:rPr>
          <w:rFonts w:ascii="Times New Roman" w:hAnsi="Times New Roman"/>
          <w:szCs w:val="24"/>
        </w:rPr>
      </w:pPr>
      <w:r w:rsidRPr="00C7158D">
        <w:rPr>
          <w:rFonts w:ascii="Times New Roman" w:hAnsi="Times New Roman"/>
          <w:szCs w:val="24"/>
        </w:rPr>
        <w:lastRenderedPageBreak/>
        <w:t xml:space="preserve">Table </w:t>
      </w:r>
      <w:r w:rsidR="00E51F37">
        <w:rPr>
          <w:rFonts w:ascii="Times New Roman" w:hAnsi="Times New Roman"/>
          <w:szCs w:val="24"/>
        </w:rPr>
        <w:t>3</w:t>
      </w:r>
      <w:r w:rsidRPr="00C7158D">
        <w:rPr>
          <w:rFonts w:ascii="Times New Roman" w:hAnsi="Times New Roman"/>
          <w:szCs w:val="24"/>
        </w:rPr>
        <w:t xml:space="preserve">. </w:t>
      </w:r>
      <w:r w:rsidR="002322B6">
        <w:rPr>
          <w:rFonts w:ascii="Times New Roman" w:hAnsi="Times New Roman"/>
          <w:szCs w:val="24"/>
        </w:rPr>
        <w:t>Cross-c</w:t>
      </w:r>
      <w:r w:rsidR="00780134">
        <w:rPr>
          <w:rFonts w:ascii="Times New Roman" w:hAnsi="Times New Roman"/>
          <w:szCs w:val="24"/>
        </w:rPr>
        <w:t>orrelations</w:t>
      </w:r>
      <w:r w:rsidR="002322B6">
        <w:rPr>
          <w:rFonts w:ascii="Times New Roman" w:hAnsi="Times New Roman"/>
          <w:szCs w:val="24"/>
        </w:rPr>
        <w:t xml:space="preserve"> at zero lag</w:t>
      </w:r>
      <w:r w:rsidR="00780134" w:rsidRPr="00C7158D">
        <w:rPr>
          <w:rFonts w:ascii="Times New Roman" w:hAnsi="Times New Roman"/>
          <w:szCs w:val="24"/>
        </w:rPr>
        <w:t xml:space="preserve"> among the</w:t>
      </w:r>
      <w:r w:rsidR="00780134">
        <w:rPr>
          <w:rFonts w:ascii="Times New Roman" w:hAnsi="Times New Roman"/>
          <w:szCs w:val="24"/>
        </w:rPr>
        <w:t xml:space="preserve"> top 10</w:t>
      </w:r>
      <w:r w:rsidR="00780134" w:rsidRPr="00C7158D">
        <w:rPr>
          <w:rFonts w:ascii="Times New Roman" w:hAnsi="Times New Roman"/>
          <w:szCs w:val="24"/>
        </w:rPr>
        <w:t xml:space="preserve"> holdover series (</w:t>
      </w:r>
      <w:r w:rsidR="00780134">
        <w:rPr>
          <w:rFonts w:ascii="Times New Roman" w:hAnsi="Times New Roman"/>
          <w:szCs w:val="24"/>
        </w:rPr>
        <w:t>Fig.</w:t>
      </w:r>
      <w:r w:rsidR="00780134" w:rsidRPr="00C7158D">
        <w:rPr>
          <w:rFonts w:ascii="Times New Roman" w:hAnsi="Times New Roman"/>
          <w:szCs w:val="24"/>
        </w:rPr>
        <w:t xml:space="preserve"> </w:t>
      </w:r>
      <w:r w:rsidR="00780134">
        <w:rPr>
          <w:rFonts w:ascii="Times New Roman" w:hAnsi="Times New Roman"/>
          <w:szCs w:val="24"/>
        </w:rPr>
        <w:t>2</w:t>
      </w:r>
      <w:r w:rsidR="00780134" w:rsidRPr="00C7158D">
        <w:rPr>
          <w:rFonts w:ascii="Times New Roman" w:hAnsi="Times New Roman"/>
          <w:szCs w:val="24"/>
        </w:rPr>
        <w:t>) for the six target cl</w:t>
      </w:r>
      <w:r w:rsidR="00780134">
        <w:rPr>
          <w:rFonts w:ascii="Times New Roman" w:hAnsi="Times New Roman"/>
          <w:szCs w:val="24"/>
        </w:rPr>
        <w:t>asses.</w:t>
      </w:r>
      <w:r w:rsidR="00780134" w:rsidRPr="00780134">
        <w:rPr>
          <w:rFonts w:ascii="Times New Roman" w:hAnsi="Times New Roman"/>
          <w:szCs w:val="24"/>
        </w:rPr>
        <w:t xml:space="preserve"> </w:t>
      </w:r>
      <w:r w:rsidR="00780134">
        <w:rPr>
          <w:rFonts w:ascii="Times New Roman" w:hAnsi="Times New Roman"/>
          <w:szCs w:val="24"/>
        </w:rPr>
        <w:t xml:space="preserve">Data in </w:t>
      </w:r>
      <w:r w:rsidR="0051489A">
        <w:rPr>
          <w:rFonts w:ascii="Times New Roman" w:hAnsi="Times New Roman"/>
          <w:szCs w:val="24"/>
        </w:rPr>
        <w:t xml:space="preserve">Supplementary </w:t>
      </w:r>
      <w:r w:rsidR="00780134">
        <w:rPr>
          <w:rFonts w:ascii="Times New Roman" w:hAnsi="Times New Roman"/>
          <w:szCs w:val="24"/>
        </w:rPr>
        <w:t xml:space="preserve">Table 1. </w:t>
      </w:r>
      <w:r w:rsidRPr="00C7158D">
        <w:rPr>
          <w:rFonts w:ascii="Times New Roman" w:hAnsi="Times New Roman"/>
          <w:szCs w:val="24"/>
        </w:rPr>
        <w:t>Lower left: Spearman rank correlation coefficient</w:t>
      </w:r>
      <w:r w:rsidR="00780134">
        <w:rPr>
          <w:rFonts w:ascii="Times New Roman" w:hAnsi="Times New Roman"/>
          <w:szCs w:val="24"/>
        </w:rPr>
        <w:t xml:space="preserve"> using pairwise deletion. Number of pairs in parentheses. </w:t>
      </w:r>
      <w:r w:rsidRPr="00C7158D">
        <w:rPr>
          <w:rFonts w:ascii="Times New Roman" w:hAnsi="Times New Roman"/>
          <w:szCs w:val="24"/>
        </w:rPr>
        <w:t>Upper right:</w:t>
      </w:r>
      <w:r w:rsidR="00780134">
        <w:rPr>
          <w:rFonts w:ascii="Times New Roman" w:hAnsi="Times New Roman"/>
          <w:szCs w:val="24"/>
        </w:rPr>
        <w:t xml:space="preserve"> Pearson product moment correlations, p-values in parentheses. Values be</w:t>
      </w:r>
      <w:r w:rsidR="002322B6">
        <w:rPr>
          <w:rFonts w:ascii="Times New Roman" w:hAnsi="Times New Roman"/>
          <w:szCs w:val="24"/>
        </w:rPr>
        <w:t xml:space="preserve">low standard 5% cutoff in bold and are not corrected for multiple comparisons or autocorrelation. </w:t>
      </w:r>
    </w:p>
    <w:tbl>
      <w:tblPr>
        <w:tblW w:w="9232" w:type="dxa"/>
        <w:tblInd w:w="118" w:type="dxa"/>
        <w:tblLook w:val="04A0" w:firstRow="1" w:lastRow="0" w:firstColumn="1" w:lastColumn="0" w:noHBand="0" w:noVBand="1"/>
      </w:tblPr>
      <w:tblGrid>
        <w:gridCol w:w="1587"/>
        <w:gridCol w:w="952"/>
        <w:gridCol w:w="1462"/>
        <w:gridCol w:w="1501"/>
        <w:gridCol w:w="1192"/>
        <w:gridCol w:w="1359"/>
        <w:gridCol w:w="1179"/>
      </w:tblGrid>
      <w:tr w:rsidR="002610A2" w:rsidRPr="005E33AD" w14:paraId="47DD2006" w14:textId="77777777" w:rsidTr="0017162D">
        <w:trPr>
          <w:trHeight w:val="315"/>
        </w:trPr>
        <w:tc>
          <w:tcPr>
            <w:tcW w:w="1587" w:type="dxa"/>
            <w:tcBorders>
              <w:top w:val="single" w:sz="4" w:space="0" w:color="auto"/>
              <w:left w:val="single" w:sz="4" w:space="0" w:color="auto"/>
              <w:bottom w:val="single" w:sz="4" w:space="0" w:color="auto"/>
              <w:right w:val="single" w:sz="4" w:space="0" w:color="auto"/>
            </w:tcBorders>
            <w:shd w:val="clear" w:color="000000" w:fill="auto"/>
            <w:noWrap/>
          </w:tcPr>
          <w:p w14:paraId="2EEF42AF" w14:textId="77777777" w:rsidR="002610A2" w:rsidRPr="005E33AD" w:rsidRDefault="002610A2" w:rsidP="0017162D">
            <w:pPr>
              <w:rPr>
                <w:rFonts w:ascii="Times New Roman" w:eastAsia="Times New Roman" w:hAnsi="Times New Roman"/>
                <w:b/>
                <w:bCs/>
                <w:color w:val="00005E"/>
                <w:szCs w:val="24"/>
                <w:lang w:eastAsia="en-US"/>
              </w:rPr>
            </w:pPr>
            <w:r w:rsidRPr="005E33AD">
              <w:rPr>
                <w:rFonts w:ascii="Times New Roman" w:eastAsia="Times New Roman" w:hAnsi="Times New Roman"/>
                <w:b/>
                <w:bCs/>
                <w:color w:val="00005E"/>
                <w:szCs w:val="24"/>
                <w:lang w:eastAsia="en-US"/>
              </w:rPr>
              <w:t> </w:t>
            </w:r>
          </w:p>
        </w:tc>
        <w:tc>
          <w:tcPr>
            <w:tcW w:w="952" w:type="dxa"/>
            <w:tcBorders>
              <w:top w:val="single" w:sz="4" w:space="0" w:color="auto"/>
              <w:left w:val="single" w:sz="4" w:space="0" w:color="auto"/>
              <w:bottom w:val="single" w:sz="4" w:space="0" w:color="auto"/>
              <w:right w:val="single" w:sz="4" w:space="0" w:color="auto"/>
            </w:tcBorders>
            <w:shd w:val="clear" w:color="auto" w:fill="auto"/>
            <w:noWrap/>
          </w:tcPr>
          <w:p w14:paraId="2BDDFA15" w14:textId="77777777" w:rsidR="002610A2" w:rsidRPr="005E33AD" w:rsidRDefault="002610A2" w:rsidP="0017162D">
            <w:pPr>
              <w:jc w:val="right"/>
              <w:rPr>
                <w:rFonts w:ascii="Times New Roman" w:eastAsia="Times New Roman" w:hAnsi="Times New Roman"/>
                <w:b/>
                <w:color w:val="000000"/>
                <w:sz w:val="20"/>
                <w:lang w:eastAsia="en-US"/>
              </w:rPr>
            </w:pPr>
            <w:r w:rsidRPr="005E33AD">
              <w:rPr>
                <w:rFonts w:ascii="Times New Roman" w:eastAsia="Times New Roman" w:hAnsi="Times New Roman"/>
                <w:b/>
                <w:color w:val="000000"/>
                <w:sz w:val="20"/>
                <w:lang w:eastAsia="en-US"/>
              </w:rPr>
              <w:t>Bivalves</w:t>
            </w:r>
          </w:p>
        </w:tc>
        <w:tc>
          <w:tcPr>
            <w:tcW w:w="1462" w:type="dxa"/>
            <w:tcBorders>
              <w:top w:val="single" w:sz="4" w:space="0" w:color="auto"/>
              <w:left w:val="single" w:sz="4" w:space="0" w:color="auto"/>
              <w:bottom w:val="single" w:sz="4" w:space="0" w:color="auto"/>
              <w:right w:val="single" w:sz="4" w:space="0" w:color="auto"/>
            </w:tcBorders>
            <w:shd w:val="clear" w:color="auto" w:fill="auto"/>
            <w:noWrap/>
          </w:tcPr>
          <w:p w14:paraId="7DCFCE8B" w14:textId="77777777" w:rsidR="002610A2" w:rsidRPr="005E33AD" w:rsidRDefault="002610A2" w:rsidP="0017162D">
            <w:pPr>
              <w:jc w:val="right"/>
              <w:rPr>
                <w:rFonts w:ascii="Times New Roman" w:eastAsia="Times New Roman" w:hAnsi="Times New Roman"/>
                <w:b/>
                <w:color w:val="000000"/>
                <w:sz w:val="20"/>
                <w:lang w:eastAsia="en-US"/>
              </w:rPr>
            </w:pPr>
            <w:r w:rsidRPr="005E33AD">
              <w:rPr>
                <w:rFonts w:ascii="Times New Roman" w:eastAsia="Times New Roman" w:hAnsi="Times New Roman"/>
                <w:b/>
                <w:color w:val="000000"/>
                <w:sz w:val="20"/>
                <w:lang w:eastAsia="en-US"/>
              </w:rPr>
              <w:t>Brachiopods</w:t>
            </w:r>
          </w:p>
        </w:tc>
        <w:tc>
          <w:tcPr>
            <w:tcW w:w="1501" w:type="dxa"/>
            <w:tcBorders>
              <w:top w:val="single" w:sz="4" w:space="0" w:color="auto"/>
              <w:left w:val="single" w:sz="4" w:space="0" w:color="auto"/>
              <w:bottom w:val="single" w:sz="4" w:space="0" w:color="auto"/>
              <w:right w:val="single" w:sz="4" w:space="0" w:color="auto"/>
            </w:tcBorders>
            <w:shd w:val="clear" w:color="auto" w:fill="auto"/>
            <w:noWrap/>
          </w:tcPr>
          <w:p w14:paraId="28339F50" w14:textId="77777777" w:rsidR="002610A2" w:rsidRPr="005E33AD" w:rsidRDefault="002610A2" w:rsidP="0017162D">
            <w:pPr>
              <w:jc w:val="right"/>
              <w:rPr>
                <w:rFonts w:ascii="Times New Roman" w:eastAsia="Times New Roman" w:hAnsi="Times New Roman"/>
                <w:b/>
                <w:color w:val="000000"/>
                <w:sz w:val="20"/>
                <w:lang w:eastAsia="en-US"/>
              </w:rPr>
            </w:pPr>
            <w:r w:rsidRPr="005E33AD">
              <w:rPr>
                <w:rFonts w:ascii="Times New Roman" w:eastAsia="Times New Roman" w:hAnsi="Times New Roman"/>
                <w:b/>
                <w:color w:val="000000"/>
                <w:sz w:val="20"/>
                <w:lang w:eastAsia="en-US"/>
              </w:rPr>
              <w:t>Cephalopods</w:t>
            </w:r>
          </w:p>
        </w:tc>
        <w:tc>
          <w:tcPr>
            <w:tcW w:w="1192" w:type="dxa"/>
            <w:tcBorders>
              <w:top w:val="single" w:sz="4" w:space="0" w:color="auto"/>
              <w:left w:val="single" w:sz="4" w:space="0" w:color="auto"/>
              <w:bottom w:val="single" w:sz="4" w:space="0" w:color="auto"/>
              <w:right w:val="single" w:sz="4" w:space="0" w:color="auto"/>
            </w:tcBorders>
            <w:shd w:val="clear" w:color="auto" w:fill="auto"/>
            <w:noWrap/>
          </w:tcPr>
          <w:p w14:paraId="5F737A6E" w14:textId="77777777" w:rsidR="002610A2" w:rsidRPr="005E33AD" w:rsidRDefault="002610A2" w:rsidP="0017162D">
            <w:pPr>
              <w:jc w:val="right"/>
              <w:rPr>
                <w:rFonts w:ascii="Times New Roman" w:eastAsia="Times New Roman" w:hAnsi="Times New Roman"/>
                <w:b/>
                <w:color w:val="000000"/>
                <w:sz w:val="20"/>
                <w:lang w:eastAsia="en-US"/>
              </w:rPr>
            </w:pPr>
            <w:r w:rsidRPr="005E33AD">
              <w:rPr>
                <w:rFonts w:ascii="Times New Roman" w:eastAsia="Times New Roman" w:hAnsi="Times New Roman"/>
                <w:b/>
                <w:color w:val="000000"/>
                <w:sz w:val="20"/>
                <w:lang w:eastAsia="en-US"/>
              </w:rPr>
              <w:t>Echinoids</w:t>
            </w:r>
          </w:p>
        </w:tc>
        <w:tc>
          <w:tcPr>
            <w:tcW w:w="1359" w:type="dxa"/>
            <w:tcBorders>
              <w:top w:val="single" w:sz="4" w:space="0" w:color="auto"/>
              <w:left w:val="single" w:sz="4" w:space="0" w:color="auto"/>
              <w:bottom w:val="single" w:sz="4" w:space="0" w:color="auto"/>
              <w:right w:val="single" w:sz="4" w:space="0" w:color="auto"/>
            </w:tcBorders>
            <w:shd w:val="clear" w:color="auto" w:fill="auto"/>
            <w:noWrap/>
          </w:tcPr>
          <w:p w14:paraId="6C2CBAE8" w14:textId="77777777" w:rsidR="002610A2" w:rsidRPr="005E33AD" w:rsidRDefault="002610A2" w:rsidP="0017162D">
            <w:pPr>
              <w:jc w:val="right"/>
              <w:rPr>
                <w:rFonts w:ascii="Times New Roman" w:eastAsia="Times New Roman" w:hAnsi="Times New Roman"/>
                <w:b/>
                <w:color w:val="000000"/>
                <w:sz w:val="20"/>
                <w:lang w:eastAsia="en-US"/>
              </w:rPr>
            </w:pPr>
            <w:r w:rsidRPr="005E33AD">
              <w:rPr>
                <w:rFonts w:ascii="Times New Roman" w:eastAsia="Times New Roman" w:hAnsi="Times New Roman"/>
                <w:b/>
                <w:color w:val="000000"/>
                <w:sz w:val="20"/>
                <w:lang w:eastAsia="en-US"/>
              </w:rPr>
              <w:t>Gastropods</w:t>
            </w:r>
          </w:p>
        </w:tc>
        <w:tc>
          <w:tcPr>
            <w:tcW w:w="1179" w:type="dxa"/>
            <w:tcBorders>
              <w:top w:val="single" w:sz="4" w:space="0" w:color="auto"/>
              <w:left w:val="single" w:sz="4" w:space="0" w:color="auto"/>
              <w:bottom w:val="single" w:sz="4" w:space="0" w:color="auto"/>
              <w:right w:val="single" w:sz="4" w:space="0" w:color="auto"/>
            </w:tcBorders>
            <w:shd w:val="clear" w:color="auto" w:fill="auto"/>
            <w:noWrap/>
          </w:tcPr>
          <w:p w14:paraId="0B0B342C" w14:textId="77777777" w:rsidR="002610A2" w:rsidRPr="005E33AD" w:rsidRDefault="002610A2" w:rsidP="0017162D">
            <w:pPr>
              <w:jc w:val="right"/>
              <w:rPr>
                <w:rFonts w:ascii="Times New Roman" w:eastAsia="Times New Roman" w:hAnsi="Times New Roman"/>
                <w:b/>
                <w:color w:val="000000"/>
                <w:sz w:val="20"/>
                <w:lang w:eastAsia="en-US"/>
              </w:rPr>
            </w:pPr>
            <w:r w:rsidRPr="005E33AD">
              <w:rPr>
                <w:rFonts w:ascii="Times New Roman" w:eastAsia="Times New Roman" w:hAnsi="Times New Roman"/>
                <w:b/>
                <w:color w:val="000000"/>
                <w:sz w:val="20"/>
                <w:lang w:eastAsia="en-US"/>
              </w:rPr>
              <w:t>Trilobites</w:t>
            </w:r>
          </w:p>
        </w:tc>
      </w:tr>
      <w:tr w:rsidR="002610A2" w:rsidRPr="009B1C7A" w14:paraId="43C2220C" w14:textId="77777777" w:rsidTr="0017162D">
        <w:trPr>
          <w:trHeight w:val="315"/>
        </w:trPr>
        <w:tc>
          <w:tcPr>
            <w:tcW w:w="1587" w:type="dxa"/>
            <w:tcBorders>
              <w:top w:val="single" w:sz="4" w:space="0" w:color="auto"/>
              <w:left w:val="single" w:sz="4" w:space="0" w:color="auto"/>
              <w:bottom w:val="single" w:sz="4" w:space="0" w:color="auto"/>
              <w:right w:val="single" w:sz="4" w:space="0" w:color="auto"/>
            </w:tcBorders>
            <w:shd w:val="clear" w:color="000000" w:fill="auto"/>
            <w:noWrap/>
          </w:tcPr>
          <w:p w14:paraId="09226E2F" w14:textId="77777777" w:rsidR="002610A2" w:rsidRPr="005E33AD" w:rsidRDefault="002610A2" w:rsidP="0017162D">
            <w:pPr>
              <w:rPr>
                <w:rFonts w:ascii="Times New Roman" w:eastAsia="Times New Roman" w:hAnsi="Times New Roman"/>
                <w:b/>
                <w:bCs/>
                <w:color w:val="00005E"/>
                <w:szCs w:val="24"/>
                <w:lang w:eastAsia="en-US"/>
              </w:rPr>
            </w:pPr>
            <w:r w:rsidRPr="005E33AD">
              <w:rPr>
                <w:rFonts w:ascii="Times New Roman" w:eastAsia="Times New Roman" w:hAnsi="Times New Roman"/>
                <w:b/>
                <w:bCs/>
                <w:color w:val="00005E"/>
                <w:szCs w:val="24"/>
                <w:lang w:eastAsia="en-US"/>
              </w:rPr>
              <w:t>Bivalves</w:t>
            </w:r>
          </w:p>
        </w:tc>
        <w:tc>
          <w:tcPr>
            <w:tcW w:w="952" w:type="dxa"/>
            <w:tcBorders>
              <w:top w:val="single" w:sz="4" w:space="0" w:color="auto"/>
              <w:left w:val="single" w:sz="4" w:space="0" w:color="auto"/>
              <w:bottom w:val="single" w:sz="4" w:space="0" w:color="auto"/>
              <w:right w:val="single" w:sz="4" w:space="0" w:color="auto"/>
            </w:tcBorders>
            <w:shd w:val="clear" w:color="auto" w:fill="auto"/>
            <w:noWrap/>
          </w:tcPr>
          <w:p w14:paraId="08E9B90D"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 </w:t>
            </w:r>
          </w:p>
        </w:tc>
        <w:tc>
          <w:tcPr>
            <w:tcW w:w="1462" w:type="dxa"/>
            <w:tcBorders>
              <w:top w:val="single" w:sz="4" w:space="0" w:color="auto"/>
              <w:left w:val="single" w:sz="4" w:space="0" w:color="auto"/>
              <w:bottom w:val="single" w:sz="4" w:space="0" w:color="auto"/>
              <w:right w:val="single" w:sz="4" w:space="0" w:color="auto"/>
            </w:tcBorders>
            <w:shd w:val="clear" w:color="auto" w:fill="auto"/>
            <w:noWrap/>
          </w:tcPr>
          <w:p w14:paraId="096CCF23"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0.350</w:t>
            </w:r>
          </w:p>
          <w:p w14:paraId="2E533A06"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(0.054)</w:t>
            </w:r>
          </w:p>
        </w:tc>
        <w:tc>
          <w:tcPr>
            <w:tcW w:w="1501" w:type="dxa"/>
            <w:tcBorders>
              <w:top w:val="single" w:sz="4" w:space="0" w:color="auto"/>
              <w:left w:val="single" w:sz="4" w:space="0" w:color="auto"/>
              <w:bottom w:val="single" w:sz="4" w:space="0" w:color="auto"/>
              <w:right w:val="single" w:sz="4" w:space="0" w:color="auto"/>
            </w:tcBorders>
            <w:shd w:val="clear" w:color="auto" w:fill="auto"/>
            <w:noWrap/>
          </w:tcPr>
          <w:p w14:paraId="49E5B685" w14:textId="77777777" w:rsidR="002610A2" w:rsidRPr="005E33AD" w:rsidRDefault="002610A2" w:rsidP="0017162D">
            <w:pPr>
              <w:jc w:val="right"/>
              <w:rPr>
                <w:rFonts w:ascii="Times New Roman" w:eastAsia="Times New Roman" w:hAnsi="Times New Roman"/>
                <w:b/>
                <w:color w:val="000000"/>
                <w:szCs w:val="24"/>
                <w:lang w:eastAsia="en-US"/>
              </w:rPr>
            </w:pPr>
            <w:r w:rsidRPr="005E33AD">
              <w:rPr>
                <w:rFonts w:ascii="Times New Roman" w:eastAsia="Times New Roman" w:hAnsi="Times New Roman"/>
                <w:b/>
                <w:color w:val="000000"/>
                <w:szCs w:val="24"/>
                <w:lang w:eastAsia="en-US"/>
              </w:rPr>
              <w:t>0.499</w:t>
            </w:r>
          </w:p>
          <w:p w14:paraId="0C97EAF4" w14:textId="77777777" w:rsidR="002610A2" w:rsidRPr="005E33AD" w:rsidRDefault="002610A2" w:rsidP="0017162D">
            <w:pPr>
              <w:jc w:val="right"/>
              <w:rPr>
                <w:rFonts w:ascii="Times New Roman" w:eastAsia="Times New Roman" w:hAnsi="Times New Roman"/>
                <w:b/>
                <w:color w:val="000000"/>
                <w:szCs w:val="24"/>
                <w:lang w:eastAsia="en-US"/>
              </w:rPr>
            </w:pPr>
            <w:r w:rsidRPr="005E33AD">
              <w:rPr>
                <w:rFonts w:ascii="Times New Roman" w:eastAsia="Times New Roman" w:hAnsi="Times New Roman"/>
                <w:b/>
                <w:color w:val="000000"/>
                <w:szCs w:val="24"/>
                <w:lang w:eastAsia="en-US"/>
              </w:rPr>
              <w:t>(0.006)</w:t>
            </w:r>
          </w:p>
        </w:tc>
        <w:tc>
          <w:tcPr>
            <w:tcW w:w="1192" w:type="dxa"/>
            <w:tcBorders>
              <w:top w:val="single" w:sz="4" w:space="0" w:color="auto"/>
              <w:left w:val="single" w:sz="4" w:space="0" w:color="auto"/>
              <w:bottom w:val="single" w:sz="4" w:space="0" w:color="auto"/>
              <w:right w:val="single" w:sz="4" w:space="0" w:color="auto"/>
            </w:tcBorders>
            <w:shd w:val="clear" w:color="auto" w:fill="auto"/>
            <w:noWrap/>
          </w:tcPr>
          <w:p w14:paraId="3B1D55ED" w14:textId="77777777" w:rsidR="002610A2" w:rsidRPr="005E33AD" w:rsidRDefault="002610A2" w:rsidP="0017162D">
            <w:pPr>
              <w:jc w:val="right"/>
              <w:rPr>
                <w:rFonts w:ascii="Times New Roman" w:eastAsia="Times New Roman" w:hAnsi="Times New Roman"/>
                <w:b/>
                <w:color w:val="000000"/>
                <w:szCs w:val="24"/>
                <w:lang w:eastAsia="en-US"/>
              </w:rPr>
            </w:pPr>
            <w:r w:rsidRPr="005E33AD">
              <w:rPr>
                <w:rFonts w:ascii="Times New Roman" w:eastAsia="Times New Roman" w:hAnsi="Times New Roman"/>
                <w:b/>
                <w:color w:val="000000"/>
                <w:szCs w:val="24"/>
                <w:lang w:eastAsia="en-US"/>
              </w:rPr>
              <w:t>-0.590 (0.026)</w:t>
            </w:r>
          </w:p>
        </w:tc>
        <w:tc>
          <w:tcPr>
            <w:tcW w:w="1359" w:type="dxa"/>
            <w:tcBorders>
              <w:top w:val="single" w:sz="4" w:space="0" w:color="auto"/>
              <w:left w:val="single" w:sz="4" w:space="0" w:color="auto"/>
              <w:bottom w:val="single" w:sz="4" w:space="0" w:color="auto"/>
              <w:right w:val="single" w:sz="4" w:space="0" w:color="auto"/>
            </w:tcBorders>
            <w:shd w:val="clear" w:color="auto" w:fill="auto"/>
            <w:noWrap/>
          </w:tcPr>
          <w:p w14:paraId="6F764348"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0.245</w:t>
            </w:r>
          </w:p>
          <w:p w14:paraId="2700075C"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(0.123)</w:t>
            </w:r>
          </w:p>
        </w:tc>
        <w:tc>
          <w:tcPr>
            <w:tcW w:w="1179" w:type="dxa"/>
            <w:tcBorders>
              <w:top w:val="single" w:sz="4" w:space="0" w:color="auto"/>
              <w:left w:val="single" w:sz="4" w:space="0" w:color="auto"/>
              <w:bottom w:val="single" w:sz="4" w:space="0" w:color="auto"/>
              <w:right w:val="single" w:sz="4" w:space="0" w:color="auto"/>
            </w:tcBorders>
            <w:shd w:val="clear" w:color="auto" w:fill="auto"/>
            <w:noWrap/>
          </w:tcPr>
          <w:p w14:paraId="472724F8"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0.60 (0.208)</w:t>
            </w:r>
          </w:p>
        </w:tc>
      </w:tr>
      <w:tr w:rsidR="002610A2" w:rsidRPr="009B1C7A" w14:paraId="160ADE36" w14:textId="77777777" w:rsidTr="0017162D">
        <w:trPr>
          <w:trHeight w:val="315"/>
        </w:trPr>
        <w:tc>
          <w:tcPr>
            <w:tcW w:w="1587" w:type="dxa"/>
            <w:tcBorders>
              <w:top w:val="single" w:sz="4" w:space="0" w:color="auto"/>
              <w:left w:val="single" w:sz="4" w:space="0" w:color="auto"/>
              <w:bottom w:val="single" w:sz="4" w:space="0" w:color="auto"/>
              <w:right w:val="single" w:sz="4" w:space="0" w:color="auto"/>
            </w:tcBorders>
            <w:shd w:val="clear" w:color="000000" w:fill="auto"/>
            <w:noWrap/>
          </w:tcPr>
          <w:p w14:paraId="09A10C0A" w14:textId="77777777" w:rsidR="002610A2" w:rsidRPr="005E33AD" w:rsidRDefault="002610A2" w:rsidP="0017162D">
            <w:pPr>
              <w:rPr>
                <w:rFonts w:ascii="Times New Roman" w:eastAsia="Times New Roman" w:hAnsi="Times New Roman"/>
                <w:b/>
                <w:bCs/>
                <w:color w:val="00005E"/>
                <w:szCs w:val="24"/>
                <w:lang w:eastAsia="en-US"/>
              </w:rPr>
            </w:pPr>
            <w:r w:rsidRPr="005E33AD">
              <w:rPr>
                <w:rFonts w:ascii="Times New Roman" w:eastAsia="Times New Roman" w:hAnsi="Times New Roman"/>
                <w:b/>
                <w:bCs/>
                <w:color w:val="00005E"/>
                <w:szCs w:val="24"/>
                <w:lang w:eastAsia="en-US"/>
              </w:rPr>
              <w:t>Brachiopods</w:t>
            </w:r>
          </w:p>
        </w:tc>
        <w:tc>
          <w:tcPr>
            <w:tcW w:w="952" w:type="dxa"/>
            <w:tcBorders>
              <w:top w:val="single" w:sz="4" w:space="0" w:color="auto"/>
              <w:left w:val="single" w:sz="4" w:space="0" w:color="auto"/>
              <w:bottom w:val="single" w:sz="4" w:space="0" w:color="auto"/>
              <w:right w:val="single" w:sz="4" w:space="0" w:color="auto"/>
            </w:tcBorders>
            <w:shd w:val="clear" w:color="auto" w:fill="auto"/>
            <w:noWrap/>
          </w:tcPr>
          <w:p w14:paraId="0257A1C5"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0.336 (41)  </w:t>
            </w:r>
          </w:p>
        </w:tc>
        <w:tc>
          <w:tcPr>
            <w:tcW w:w="1462" w:type="dxa"/>
            <w:tcBorders>
              <w:top w:val="single" w:sz="4" w:space="0" w:color="auto"/>
              <w:left w:val="single" w:sz="4" w:space="0" w:color="auto"/>
              <w:bottom w:val="single" w:sz="4" w:space="0" w:color="auto"/>
              <w:right w:val="single" w:sz="4" w:space="0" w:color="auto"/>
            </w:tcBorders>
            <w:shd w:val="clear" w:color="auto" w:fill="auto"/>
            <w:noWrap/>
          </w:tcPr>
          <w:p w14:paraId="76E5B6A3"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 </w:t>
            </w:r>
          </w:p>
        </w:tc>
        <w:tc>
          <w:tcPr>
            <w:tcW w:w="1501" w:type="dxa"/>
            <w:tcBorders>
              <w:top w:val="single" w:sz="4" w:space="0" w:color="auto"/>
              <w:left w:val="single" w:sz="4" w:space="0" w:color="auto"/>
              <w:bottom w:val="single" w:sz="4" w:space="0" w:color="auto"/>
              <w:right w:val="single" w:sz="4" w:space="0" w:color="auto"/>
            </w:tcBorders>
            <w:shd w:val="clear" w:color="auto" w:fill="auto"/>
            <w:noWrap/>
          </w:tcPr>
          <w:p w14:paraId="659C94A2" w14:textId="77777777" w:rsidR="002610A2" w:rsidRPr="005E33AD" w:rsidRDefault="002610A2" w:rsidP="0017162D">
            <w:pPr>
              <w:jc w:val="right"/>
              <w:rPr>
                <w:rFonts w:ascii="Times New Roman" w:eastAsia="Times New Roman" w:hAnsi="Times New Roman"/>
                <w:b/>
                <w:color w:val="000000"/>
                <w:szCs w:val="24"/>
                <w:lang w:eastAsia="en-US"/>
              </w:rPr>
            </w:pPr>
            <w:r w:rsidRPr="005E33AD">
              <w:rPr>
                <w:rFonts w:ascii="Times New Roman" w:eastAsia="Times New Roman" w:hAnsi="Times New Roman"/>
                <w:b/>
                <w:color w:val="000000"/>
                <w:szCs w:val="24"/>
                <w:lang w:eastAsia="en-US"/>
              </w:rPr>
              <w:t>0.361</w:t>
            </w:r>
          </w:p>
          <w:p w14:paraId="42FF00B7" w14:textId="77777777" w:rsidR="002610A2" w:rsidRPr="005E33AD" w:rsidRDefault="002610A2" w:rsidP="0017162D">
            <w:pPr>
              <w:jc w:val="right"/>
              <w:rPr>
                <w:rFonts w:ascii="Times New Roman" w:eastAsia="Times New Roman" w:hAnsi="Times New Roman"/>
                <w:b/>
                <w:color w:val="000000"/>
                <w:szCs w:val="24"/>
                <w:lang w:eastAsia="en-US"/>
              </w:rPr>
            </w:pPr>
            <w:r w:rsidRPr="005E33AD">
              <w:rPr>
                <w:rFonts w:ascii="Times New Roman" w:eastAsia="Times New Roman" w:hAnsi="Times New Roman"/>
                <w:b/>
                <w:color w:val="000000"/>
                <w:szCs w:val="24"/>
                <w:lang w:eastAsia="en-US"/>
              </w:rPr>
              <w:t xml:space="preserve"> (0.042)</w:t>
            </w:r>
          </w:p>
        </w:tc>
        <w:tc>
          <w:tcPr>
            <w:tcW w:w="1192" w:type="dxa"/>
            <w:tcBorders>
              <w:top w:val="single" w:sz="4" w:space="0" w:color="auto"/>
              <w:left w:val="single" w:sz="4" w:space="0" w:color="auto"/>
              <w:bottom w:val="single" w:sz="4" w:space="0" w:color="auto"/>
              <w:right w:val="single" w:sz="4" w:space="0" w:color="auto"/>
            </w:tcBorders>
            <w:shd w:val="clear" w:color="auto" w:fill="auto"/>
            <w:noWrap/>
          </w:tcPr>
          <w:p w14:paraId="4BCB3B9B" w14:textId="77777777" w:rsidR="002610A2" w:rsidRPr="005E33AD" w:rsidRDefault="002610A2" w:rsidP="0017162D">
            <w:pPr>
              <w:jc w:val="right"/>
              <w:rPr>
                <w:rFonts w:ascii="Times New Roman" w:eastAsia="Times New Roman" w:hAnsi="Times New Roman"/>
                <w:b/>
                <w:color w:val="000000"/>
                <w:szCs w:val="24"/>
                <w:lang w:eastAsia="en-US"/>
              </w:rPr>
            </w:pPr>
            <w:r w:rsidRPr="005E33AD">
              <w:rPr>
                <w:rFonts w:ascii="Times New Roman" w:eastAsia="Times New Roman" w:hAnsi="Times New Roman"/>
                <w:b/>
                <w:color w:val="000000"/>
                <w:szCs w:val="24"/>
                <w:lang w:eastAsia="en-US"/>
              </w:rPr>
              <w:t>-0.824 (0.044)</w:t>
            </w:r>
          </w:p>
        </w:tc>
        <w:tc>
          <w:tcPr>
            <w:tcW w:w="1359" w:type="dxa"/>
            <w:tcBorders>
              <w:top w:val="single" w:sz="4" w:space="0" w:color="auto"/>
              <w:left w:val="single" w:sz="4" w:space="0" w:color="auto"/>
              <w:bottom w:val="single" w:sz="4" w:space="0" w:color="auto"/>
              <w:right w:val="single" w:sz="4" w:space="0" w:color="auto"/>
            </w:tcBorders>
            <w:shd w:val="clear" w:color="auto" w:fill="auto"/>
            <w:noWrap/>
          </w:tcPr>
          <w:p w14:paraId="4EBA7BF4"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0.334 (0.058)</w:t>
            </w:r>
          </w:p>
        </w:tc>
        <w:tc>
          <w:tcPr>
            <w:tcW w:w="1179" w:type="dxa"/>
            <w:tcBorders>
              <w:top w:val="single" w:sz="4" w:space="0" w:color="auto"/>
              <w:left w:val="single" w:sz="4" w:space="0" w:color="auto"/>
              <w:bottom w:val="single" w:sz="4" w:space="0" w:color="auto"/>
              <w:right w:val="single" w:sz="4" w:space="0" w:color="auto"/>
            </w:tcBorders>
            <w:shd w:val="clear" w:color="auto" w:fill="auto"/>
            <w:noWrap/>
          </w:tcPr>
          <w:p w14:paraId="633226E4" w14:textId="77777777" w:rsidR="002610A2" w:rsidRPr="005E33AD" w:rsidRDefault="002610A2" w:rsidP="0017162D">
            <w:pPr>
              <w:jc w:val="right"/>
              <w:rPr>
                <w:rFonts w:ascii="Times New Roman" w:eastAsia="Times New Roman" w:hAnsi="Times New Roman"/>
                <w:b/>
                <w:color w:val="000000"/>
                <w:szCs w:val="24"/>
                <w:lang w:eastAsia="en-US"/>
              </w:rPr>
            </w:pPr>
            <w:r w:rsidRPr="005E33AD">
              <w:rPr>
                <w:rFonts w:ascii="Times New Roman" w:eastAsia="Times New Roman" w:hAnsi="Times New Roman"/>
                <w:b/>
                <w:color w:val="000000"/>
                <w:szCs w:val="24"/>
                <w:lang w:eastAsia="en-US"/>
              </w:rPr>
              <w:t>0.606 (0.037)</w:t>
            </w:r>
          </w:p>
        </w:tc>
      </w:tr>
      <w:tr w:rsidR="002610A2" w:rsidRPr="009B1C7A" w14:paraId="221B4133" w14:textId="77777777" w:rsidTr="0017162D">
        <w:trPr>
          <w:trHeight w:val="315"/>
        </w:trPr>
        <w:tc>
          <w:tcPr>
            <w:tcW w:w="1587" w:type="dxa"/>
            <w:tcBorders>
              <w:top w:val="single" w:sz="4" w:space="0" w:color="auto"/>
              <w:left w:val="single" w:sz="4" w:space="0" w:color="auto"/>
              <w:bottom w:val="single" w:sz="4" w:space="0" w:color="auto"/>
              <w:right w:val="single" w:sz="4" w:space="0" w:color="auto"/>
            </w:tcBorders>
            <w:shd w:val="clear" w:color="000000" w:fill="auto"/>
            <w:noWrap/>
          </w:tcPr>
          <w:p w14:paraId="39FB67E1" w14:textId="77777777" w:rsidR="002610A2" w:rsidRPr="005E33AD" w:rsidRDefault="002610A2" w:rsidP="0017162D">
            <w:pPr>
              <w:rPr>
                <w:rFonts w:ascii="Times New Roman" w:eastAsia="Times New Roman" w:hAnsi="Times New Roman"/>
                <w:b/>
                <w:bCs/>
                <w:color w:val="00005E"/>
                <w:szCs w:val="24"/>
                <w:lang w:eastAsia="en-US"/>
              </w:rPr>
            </w:pPr>
            <w:r w:rsidRPr="005E33AD">
              <w:rPr>
                <w:rFonts w:ascii="Times New Roman" w:eastAsia="Times New Roman" w:hAnsi="Times New Roman"/>
                <w:b/>
                <w:bCs/>
                <w:color w:val="00005E"/>
                <w:szCs w:val="24"/>
                <w:lang w:eastAsia="en-US"/>
              </w:rPr>
              <w:t>Cephalopods</w:t>
            </w:r>
          </w:p>
        </w:tc>
        <w:tc>
          <w:tcPr>
            <w:tcW w:w="952" w:type="dxa"/>
            <w:tcBorders>
              <w:top w:val="single" w:sz="4" w:space="0" w:color="auto"/>
              <w:left w:val="single" w:sz="4" w:space="0" w:color="auto"/>
              <w:bottom w:val="single" w:sz="4" w:space="0" w:color="auto"/>
              <w:right w:val="single" w:sz="4" w:space="0" w:color="auto"/>
            </w:tcBorders>
            <w:shd w:val="clear" w:color="auto" w:fill="auto"/>
            <w:noWrap/>
          </w:tcPr>
          <w:p w14:paraId="7CCCE74B"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0.499 (31)  </w:t>
            </w:r>
          </w:p>
        </w:tc>
        <w:tc>
          <w:tcPr>
            <w:tcW w:w="1462" w:type="dxa"/>
            <w:tcBorders>
              <w:top w:val="single" w:sz="4" w:space="0" w:color="auto"/>
              <w:left w:val="single" w:sz="4" w:space="0" w:color="auto"/>
              <w:bottom w:val="single" w:sz="4" w:space="0" w:color="auto"/>
              <w:right w:val="single" w:sz="4" w:space="0" w:color="auto"/>
            </w:tcBorders>
            <w:shd w:val="clear" w:color="auto" w:fill="auto"/>
            <w:noWrap/>
          </w:tcPr>
          <w:p w14:paraId="5BD2302A"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0.391</w:t>
            </w:r>
          </w:p>
          <w:p w14:paraId="298EA848"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(32)</w:t>
            </w:r>
          </w:p>
        </w:tc>
        <w:tc>
          <w:tcPr>
            <w:tcW w:w="1501" w:type="dxa"/>
            <w:tcBorders>
              <w:top w:val="single" w:sz="4" w:space="0" w:color="auto"/>
              <w:left w:val="single" w:sz="4" w:space="0" w:color="auto"/>
              <w:bottom w:val="single" w:sz="4" w:space="0" w:color="auto"/>
              <w:right w:val="single" w:sz="4" w:space="0" w:color="auto"/>
            </w:tcBorders>
            <w:shd w:val="clear" w:color="auto" w:fill="auto"/>
            <w:noWrap/>
          </w:tcPr>
          <w:p w14:paraId="60DA90A5"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 </w:t>
            </w:r>
          </w:p>
        </w:tc>
        <w:tc>
          <w:tcPr>
            <w:tcW w:w="1192" w:type="dxa"/>
            <w:tcBorders>
              <w:top w:val="single" w:sz="4" w:space="0" w:color="auto"/>
              <w:left w:val="single" w:sz="4" w:space="0" w:color="auto"/>
              <w:bottom w:val="single" w:sz="4" w:space="0" w:color="auto"/>
              <w:right w:val="single" w:sz="4" w:space="0" w:color="auto"/>
            </w:tcBorders>
            <w:shd w:val="clear" w:color="auto" w:fill="auto"/>
            <w:noWrap/>
          </w:tcPr>
          <w:p w14:paraId="3BEBF683"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-0.911 (0.089)</w:t>
            </w:r>
          </w:p>
        </w:tc>
        <w:tc>
          <w:tcPr>
            <w:tcW w:w="1359" w:type="dxa"/>
            <w:tcBorders>
              <w:top w:val="single" w:sz="4" w:space="0" w:color="auto"/>
              <w:left w:val="single" w:sz="4" w:space="0" w:color="auto"/>
              <w:bottom w:val="single" w:sz="4" w:space="0" w:color="auto"/>
              <w:right w:val="single" w:sz="4" w:space="0" w:color="auto"/>
            </w:tcBorders>
            <w:shd w:val="clear" w:color="auto" w:fill="auto"/>
            <w:noWrap/>
          </w:tcPr>
          <w:p w14:paraId="665CE0FF"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0.218 (0.239)</w:t>
            </w:r>
          </w:p>
        </w:tc>
        <w:tc>
          <w:tcPr>
            <w:tcW w:w="1179" w:type="dxa"/>
            <w:tcBorders>
              <w:top w:val="single" w:sz="4" w:space="0" w:color="auto"/>
              <w:left w:val="single" w:sz="4" w:space="0" w:color="auto"/>
              <w:bottom w:val="single" w:sz="4" w:space="0" w:color="auto"/>
              <w:right w:val="single" w:sz="4" w:space="0" w:color="auto"/>
            </w:tcBorders>
            <w:shd w:val="clear" w:color="auto" w:fill="auto"/>
            <w:noWrap/>
          </w:tcPr>
          <w:p w14:paraId="14307593"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0.471 (0.200)</w:t>
            </w:r>
          </w:p>
        </w:tc>
      </w:tr>
      <w:tr w:rsidR="002610A2" w:rsidRPr="009B1C7A" w14:paraId="777B1C8E" w14:textId="77777777" w:rsidTr="0017162D">
        <w:trPr>
          <w:trHeight w:val="315"/>
        </w:trPr>
        <w:tc>
          <w:tcPr>
            <w:tcW w:w="1587" w:type="dxa"/>
            <w:tcBorders>
              <w:top w:val="single" w:sz="4" w:space="0" w:color="auto"/>
              <w:left w:val="single" w:sz="4" w:space="0" w:color="auto"/>
              <w:bottom w:val="single" w:sz="4" w:space="0" w:color="auto"/>
              <w:right w:val="single" w:sz="4" w:space="0" w:color="auto"/>
            </w:tcBorders>
            <w:shd w:val="clear" w:color="000000" w:fill="auto"/>
            <w:noWrap/>
          </w:tcPr>
          <w:p w14:paraId="0AA10F3B" w14:textId="77777777" w:rsidR="002610A2" w:rsidRPr="005E33AD" w:rsidRDefault="002610A2" w:rsidP="0017162D">
            <w:pPr>
              <w:rPr>
                <w:rFonts w:ascii="Times New Roman" w:eastAsia="Times New Roman" w:hAnsi="Times New Roman"/>
                <w:b/>
                <w:bCs/>
                <w:color w:val="00005E"/>
                <w:szCs w:val="24"/>
                <w:lang w:eastAsia="en-US"/>
              </w:rPr>
            </w:pPr>
            <w:r w:rsidRPr="005E33AD">
              <w:rPr>
                <w:rFonts w:ascii="Times New Roman" w:eastAsia="Times New Roman" w:hAnsi="Times New Roman"/>
                <w:b/>
                <w:bCs/>
                <w:color w:val="00005E"/>
                <w:szCs w:val="24"/>
                <w:lang w:eastAsia="en-US"/>
              </w:rPr>
              <w:t>Echinoids</w:t>
            </w:r>
          </w:p>
        </w:tc>
        <w:tc>
          <w:tcPr>
            <w:tcW w:w="952" w:type="dxa"/>
            <w:tcBorders>
              <w:top w:val="single" w:sz="4" w:space="0" w:color="auto"/>
              <w:left w:val="single" w:sz="4" w:space="0" w:color="auto"/>
              <w:bottom w:val="single" w:sz="4" w:space="0" w:color="auto"/>
              <w:right w:val="single" w:sz="4" w:space="0" w:color="auto"/>
            </w:tcBorders>
            <w:shd w:val="clear" w:color="auto" w:fill="auto"/>
            <w:noWrap/>
          </w:tcPr>
          <w:p w14:paraId="5FD20BC5"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-0.489 (29)</w:t>
            </w:r>
          </w:p>
        </w:tc>
        <w:tc>
          <w:tcPr>
            <w:tcW w:w="1462" w:type="dxa"/>
            <w:tcBorders>
              <w:top w:val="single" w:sz="4" w:space="0" w:color="auto"/>
              <w:left w:val="single" w:sz="4" w:space="0" w:color="auto"/>
              <w:bottom w:val="single" w:sz="4" w:space="0" w:color="auto"/>
              <w:right w:val="single" w:sz="4" w:space="0" w:color="auto"/>
            </w:tcBorders>
            <w:shd w:val="clear" w:color="auto" w:fill="auto"/>
            <w:noWrap/>
          </w:tcPr>
          <w:p w14:paraId="181A6D65"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-0.840 </w:t>
            </w:r>
          </w:p>
          <w:p w14:paraId="48E37396"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(6)</w:t>
            </w:r>
          </w:p>
        </w:tc>
        <w:tc>
          <w:tcPr>
            <w:tcW w:w="1501" w:type="dxa"/>
            <w:tcBorders>
              <w:top w:val="single" w:sz="4" w:space="0" w:color="auto"/>
              <w:left w:val="single" w:sz="4" w:space="0" w:color="auto"/>
              <w:bottom w:val="single" w:sz="4" w:space="0" w:color="auto"/>
              <w:right w:val="single" w:sz="4" w:space="0" w:color="auto"/>
            </w:tcBorders>
            <w:shd w:val="clear" w:color="auto" w:fill="auto"/>
            <w:noWrap/>
          </w:tcPr>
          <w:p w14:paraId="58D62EA9"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-0.894 </w:t>
            </w:r>
          </w:p>
          <w:p w14:paraId="2BC8FC30"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(4)</w:t>
            </w:r>
          </w:p>
        </w:tc>
        <w:tc>
          <w:tcPr>
            <w:tcW w:w="1192" w:type="dxa"/>
            <w:tcBorders>
              <w:top w:val="single" w:sz="4" w:space="0" w:color="auto"/>
              <w:left w:val="single" w:sz="4" w:space="0" w:color="auto"/>
              <w:bottom w:val="single" w:sz="4" w:space="0" w:color="auto"/>
              <w:right w:val="single" w:sz="4" w:space="0" w:color="auto"/>
            </w:tcBorders>
            <w:shd w:val="clear" w:color="auto" w:fill="auto"/>
            <w:noWrap/>
          </w:tcPr>
          <w:p w14:paraId="587F7B67"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 </w:t>
            </w:r>
          </w:p>
        </w:tc>
        <w:tc>
          <w:tcPr>
            <w:tcW w:w="1359" w:type="dxa"/>
            <w:tcBorders>
              <w:top w:val="single" w:sz="4" w:space="0" w:color="auto"/>
              <w:left w:val="single" w:sz="4" w:space="0" w:color="auto"/>
              <w:bottom w:val="single" w:sz="4" w:space="0" w:color="auto"/>
              <w:right w:val="single" w:sz="4" w:space="0" w:color="auto"/>
            </w:tcBorders>
            <w:shd w:val="clear" w:color="auto" w:fill="auto"/>
            <w:noWrap/>
          </w:tcPr>
          <w:p w14:paraId="2DAE0093"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-0473 (0.088)</w:t>
            </w:r>
          </w:p>
        </w:tc>
        <w:tc>
          <w:tcPr>
            <w:tcW w:w="1179" w:type="dxa"/>
            <w:tcBorders>
              <w:top w:val="single" w:sz="4" w:space="0" w:color="auto"/>
              <w:left w:val="single" w:sz="4" w:space="0" w:color="auto"/>
              <w:bottom w:val="single" w:sz="4" w:space="0" w:color="auto"/>
              <w:right w:val="single" w:sz="4" w:space="0" w:color="auto"/>
            </w:tcBorders>
            <w:shd w:val="clear" w:color="auto" w:fill="auto"/>
            <w:noWrap/>
          </w:tcPr>
          <w:p w14:paraId="0758DF4C"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x</w:t>
            </w:r>
          </w:p>
        </w:tc>
      </w:tr>
      <w:tr w:rsidR="002610A2" w:rsidRPr="009B1C7A" w14:paraId="1C0DB305" w14:textId="77777777" w:rsidTr="0017162D">
        <w:trPr>
          <w:trHeight w:val="315"/>
        </w:trPr>
        <w:tc>
          <w:tcPr>
            <w:tcW w:w="1587" w:type="dxa"/>
            <w:tcBorders>
              <w:top w:val="single" w:sz="4" w:space="0" w:color="auto"/>
              <w:left w:val="single" w:sz="4" w:space="0" w:color="auto"/>
              <w:bottom w:val="single" w:sz="4" w:space="0" w:color="auto"/>
              <w:right w:val="single" w:sz="4" w:space="0" w:color="auto"/>
            </w:tcBorders>
            <w:shd w:val="clear" w:color="000000" w:fill="auto"/>
            <w:noWrap/>
          </w:tcPr>
          <w:p w14:paraId="49036B65" w14:textId="77777777" w:rsidR="002610A2" w:rsidRPr="005E33AD" w:rsidRDefault="002610A2" w:rsidP="0017162D">
            <w:pPr>
              <w:rPr>
                <w:rFonts w:ascii="Times New Roman" w:eastAsia="Times New Roman" w:hAnsi="Times New Roman"/>
                <w:b/>
                <w:bCs/>
                <w:color w:val="00005E"/>
                <w:szCs w:val="24"/>
                <w:lang w:eastAsia="en-US"/>
              </w:rPr>
            </w:pPr>
            <w:r w:rsidRPr="005E33AD">
              <w:rPr>
                <w:rFonts w:ascii="Times New Roman" w:eastAsia="Times New Roman" w:hAnsi="Times New Roman"/>
                <w:b/>
                <w:bCs/>
                <w:color w:val="00005E"/>
                <w:szCs w:val="24"/>
                <w:lang w:eastAsia="en-US"/>
              </w:rPr>
              <w:t>Gastropods</w:t>
            </w:r>
          </w:p>
        </w:tc>
        <w:tc>
          <w:tcPr>
            <w:tcW w:w="952" w:type="dxa"/>
            <w:tcBorders>
              <w:top w:val="single" w:sz="4" w:space="0" w:color="auto"/>
              <w:left w:val="single" w:sz="4" w:space="0" w:color="auto"/>
              <w:bottom w:val="single" w:sz="4" w:space="0" w:color="auto"/>
              <w:right w:val="single" w:sz="4" w:space="0" w:color="auto"/>
            </w:tcBorders>
            <w:shd w:val="clear" w:color="auto" w:fill="auto"/>
            <w:noWrap/>
          </w:tcPr>
          <w:p w14:paraId="233BEC9E"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0.258 </w:t>
            </w:r>
          </w:p>
          <w:p w14:paraId="4CF12497"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(14)</w:t>
            </w:r>
          </w:p>
        </w:tc>
        <w:tc>
          <w:tcPr>
            <w:tcW w:w="1462" w:type="dxa"/>
            <w:tcBorders>
              <w:top w:val="single" w:sz="4" w:space="0" w:color="auto"/>
              <w:left w:val="single" w:sz="4" w:space="0" w:color="auto"/>
              <w:bottom w:val="single" w:sz="4" w:space="0" w:color="auto"/>
              <w:right w:val="single" w:sz="4" w:space="0" w:color="auto"/>
            </w:tcBorders>
            <w:shd w:val="clear" w:color="auto" w:fill="auto"/>
            <w:noWrap/>
          </w:tcPr>
          <w:p w14:paraId="5A15A1BA"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0.343</w:t>
            </w:r>
          </w:p>
          <w:p w14:paraId="0AEA337E"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(33)</w:t>
            </w:r>
          </w:p>
        </w:tc>
        <w:tc>
          <w:tcPr>
            <w:tcW w:w="1501" w:type="dxa"/>
            <w:tcBorders>
              <w:top w:val="single" w:sz="4" w:space="0" w:color="auto"/>
              <w:left w:val="single" w:sz="4" w:space="0" w:color="auto"/>
              <w:bottom w:val="single" w:sz="4" w:space="0" w:color="auto"/>
              <w:right w:val="single" w:sz="4" w:space="0" w:color="auto"/>
            </w:tcBorders>
            <w:shd w:val="clear" w:color="auto" w:fill="auto"/>
            <w:noWrap/>
          </w:tcPr>
          <w:p w14:paraId="55C610DC"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0.252</w:t>
            </w:r>
          </w:p>
          <w:p w14:paraId="2A81A895"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(31)</w:t>
            </w:r>
          </w:p>
        </w:tc>
        <w:tc>
          <w:tcPr>
            <w:tcW w:w="1192" w:type="dxa"/>
            <w:tcBorders>
              <w:top w:val="single" w:sz="4" w:space="0" w:color="auto"/>
              <w:left w:val="single" w:sz="4" w:space="0" w:color="auto"/>
              <w:bottom w:val="single" w:sz="4" w:space="0" w:color="auto"/>
              <w:right w:val="single" w:sz="4" w:space="0" w:color="auto"/>
            </w:tcBorders>
            <w:shd w:val="clear" w:color="auto" w:fill="auto"/>
            <w:noWrap/>
          </w:tcPr>
          <w:p w14:paraId="4B2D1BBE"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-0.421 (14)</w:t>
            </w:r>
          </w:p>
        </w:tc>
        <w:tc>
          <w:tcPr>
            <w:tcW w:w="1359" w:type="dxa"/>
            <w:tcBorders>
              <w:top w:val="single" w:sz="4" w:space="0" w:color="auto"/>
              <w:left w:val="single" w:sz="4" w:space="0" w:color="auto"/>
              <w:bottom w:val="single" w:sz="4" w:space="0" w:color="auto"/>
              <w:right w:val="single" w:sz="4" w:space="0" w:color="auto"/>
            </w:tcBorders>
            <w:shd w:val="clear" w:color="auto" w:fill="auto"/>
            <w:noWrap/>
          </w:tcPr>
          <w:p w14:paraId="1C8E2A08"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 </w:t>
            </w:r>
          </w:p>
        </w:tc>
        <w:tc>
          <w:tcPr>
            <w:tcW w:w="1179" w:type="dxa"/>
            <w:tcBorders>
              <w:top w:val="single" w:sz="4" w:space="0" w:color="auto"/>
              <w:left w:val="single" w:sz="4" w:space="0" w:color="auto"/>
              <w:bottom w:val="single" w:sz="4" w:space="0" w:color="auto"/>
              <w:right w:val="single" w:sz="4" w:space="0" w:color="auto"/>
            </w:tcBorders>
            <w:shd w:val="clear" w:color="auto" w:fill="auto"/>
            <w:noWrap/>
          </w:tcPr>
          <w:p w14:paraId="14EF3EDD"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0.506</w:t>
            </w:r>
          </w:p>
          <w:p w14:paraId="394B627A"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(0.201)</w:t>
            </w:r>
          </w:p>
        </w:tc>
      </w:tr>
      <w:tr w:rsidR="002610A2" w:rsidRPr="009B1C7A" w14:paraId="62119808" w14:textId="77777777" w:rsidTr="0017162D">
        <w:trPr>
          <w:trHeight w:val="315"/>
        </w:trPr>
        <w:tc>
          <w:tcPr>
            <w:tcW w:w="1587" w:type="dxa"/>
            <w:tcBorders>
              <w:top w:val="single" w:sz="4" w:space="0" w:color="auto"/>
              <w:left w:val="single" w:sz="8" w:space="0" w:color="000000"/>
              <w:bottom w:val="nil"/>
              <w:right w:val="single" w:sz="8" w:space="0" w:color="000000"/>
            </w:tcBorders>
            <w:shd w:val="clear" w:color="000000" w:fill="auto"/>
            <w:noWrap/>
          </w:tcPr>
          <w:p w14:paraId="54999258" w14:textId="77777777" w:rsidR="002610A2" w:rsidRPr="005E33AD" w:rsidRDefault="002610A2" w:rsidP="0017162D">
            <w:pPr>
              <w:rPr>
                <w:rFonts w:ascii="Times New Roman" w:eastAsia="Times New Roman" w:hAnsi="Times New Roman"/>
                <w:b/>
                <w:bCs/>
                <w:color w:val="00005E"/>
                <w:szCs w:val="24"/>
                <w:lang w:eastAsia="en-US"/>
              </w:rPr>
            </w:pPr>
            <w:r w:rsidRPr="005E33AD">
              <w:rPr>
                <w:rFonts w:ascii="Times New Roman" w:eastAsia="Times New Roman" w:hAnsi="Times New Roman"/>
                <w:b/>
                <w:bCs/>
                <w:color w:val="00005E"/>
                <w:szCs w:val="24"/>
                <w:lang w:eastAsia="en-US"/>
              </w:rPr>
              <w:t>Trilobites</w:t>
            </w:r>
          </w:p>
        </w:tc>
        <w:tc>
          <w:tcPr>
            <w:tcW w:w="952" w:type="dxa"/>
            <w:tcBorders>
              <w:top w:val="single" w:sz="4" w:space="0" w:color="auto"/>
              <w:left w:val="nil"/>
              <w:bottom w:val="nil"/>
              <w:right w:val="single" w:sz="8" w:space="0" w:color="808080"/>
            </w:tcBorders>
            <w:shd w:val="clear" w:color="auto" w:fill="auto"/>
            <w:noWrap/>
          </w:tcPr>
          <w:p w14:paraId="22901768"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0.579</w:t>
            </w:r>
          </w:p>
          <w:p w14:paraId="0CDEB7AB"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(6)</w:t>
            </w:r>
          </w:p>
        </w:tc>
        <w:tc>
          <w:tcPr>
            <w:tcW w:w="1462" w:type="dxa"/>
            <w:tcBorders>
              <w:top w:val="single" w:sz="4" w:space="0" w:color="auto"/>
              <w:left w:val="nil"/>
              <w:bottom w:val="nil"/>
              <w:right w:val="single" w:sz="8" w:space="0" w:color="808080"/>
            </w:tcBorders>
            <w:shd w:val="clear" w:color="auto" w:fill="auto"/>
            <w:noWrap/>
          </w:tcPr>
          <w:p w14:paraId="5738C827"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0.614 </w:t>
            </w:r>
          </w:p>
          <w:p w14:paraId="38636060"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(12)</w:t>
            </w:r>
          </w:p>
        </w:tc>
        <w:tc>
          <w:tcPr>
            <w:tcW w:w="1501" w:type="dxa"/>
            <w:tcBorders>
              <w:top w:val="single" w:sz="4" w:space="0" w:color="auto"/>
              <w:left w:val="nil"/>
              <w:bottom w:val="nil"/>
              <w:right w:val="single" w:sz="8" w:space="0" w:color="808080"/>
            </w:tcBorders>
            <w:shd w:val="clear" w:color="auto" w:fill="auto"/>
            <w:noWrap/>
          </w:tcPr>
          <w:p w14:paraId="57752568"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0.327 </w:t>
            </w:r>
          </w:p>
          <w:p w14:paraId="4428DB27"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(9)</w:t>
            </w:r>
          </w:p>
        </w:tc>
        <w:tc>
          <w:tcPr>
            <w:tcW w:w="1192" w:type="dxa"/>
            <w:tcBorders>
              <w:top w:val="single" w:sz="4" w:space="0" w:color="auto"/>
              <w:left w:val="nil"/>
              <w:bottom w:val="nil"/>
              <w:right w:val="single" w:sz="8" w:space="0" w:color="808080"/>
            </w:tcBorders>
            <w:shd w:val="clear" w:color="auto" w:fill="auto"/>
            <w:noWrap/>
          </w:tcPr>
          <w:p w14:paraId="6E6C2EDF"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x.</w:t>
            </w:r>
          </w:p>
        </w:tc>
        <w:tc>
          <w:tcPr>
            <w:tcW w:w="1359" w:type="dxa"/>
            <w:tcBorders>
              <w:top w:val="single" w:sz="4" w:space="0" w:color="auto"/>
              <w:left w:val="nil"/>
              <w:bottom w:val="nil"/>
              <w:right w:val="single" w:sz="8" w:space="0" w:color="808080"/>
            </w:tcBorders>
            <w:shd w:val="clear" w:color="auto" w:fill="auto"/>
            <w:noWrap/>
          </w:tcPr>
          <w:p w14:paraId="474F1AB2"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0.557</w:t>
            </w:r>
          </w:p>
          <w:p w14:paraId="40BFF7E7"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 (8)</w:t>
            </w:r>
          </w:p>
        </w:tc>
        <w:tc>
          <w:tcPr>
            <w:tcW w:w="1179" w:type="dxa"/>
            <w:tcBorders>
              <w:top w:val="single" w:sz="4" w:space="0" w:color="auto"/>
              <w:left w:val="nil"/>
              <w:bottom w:val="nil"/>
              <w:right w:val="nil"/>
            </w:tcBorders>
            <w:shd w:val="clear" w:color="auto" w:fill="auto"/>
            <w:noWrap/>
          </w:tcPr>
          <w:p w14:paraId="1F963F92" w14:textId="77777777" w:rsidR="002610A2" w:rsidRPr="005E33AD" w:rsidRDefault="002610A2" w:rsidP="0017162D">
            <w:pPr>
              <w:jc w:val="right"/>
              <w:rPr>
                <w:rFonts w:ascii="Times New Roman" w:eastAsia="Times New Roman" w:hAnsi="Times New Roman"/>
                <w:color w:val="000000"/>
                <w:szCs w:val="24"/>
                <w:lang w:eastAsia="en-US"/>
              </w:rPr>
            </w:pPr>
            <w:r w:rsidRPr="005E33AD">
              <w:rPr>
                <w:rFonts w:ascii="Times New Roman" w:eastAsia="Times New Roman" w:hAnsi="Times New Roman"/>
                <w:color w:val="000000"/>
                <w:szCs w:val="24"/>
                <w:lang w:eastAsia="en-US"/>
              </w:rPr>
              <w:t xml:space="preserve"> </w:t>
            </w:r>
          </w:p>
        </w:tc>
      </w:tr>
    </w:tbl>
    <w:p w14:paraId="44E24D8C" w14:textId="77777777" w:rsidR="002610A2" w:rsidRPr="00C7158D" w:rsidRDefault="002610A2" w:rsidP="003E7605">
      <w:pPr>
        <w:spacing w:before="100" w:beforeAutospacing="1" w:after="100" w:afterAutospacing="1" w:line="480" w:lineRule="auto"/>
        <w:rPr>
          <w:rFonts w:ascii="Times New Roman" w:hAnsi="Times New Roman"/>
          <w:szCs w:val="24"/>
        </w:rPr>
      </w:pPr>
    </w:p>
    <w:p w14:paraId="6AE2A418" w14:textId="77777777" w:rsidR="002610A2" w:rsidRDefault="002610A2">
      <w:pPr>
        <w:spacing w:before="100" w:beforeAutospacing="1" w:after="100" w:afterAutospacing="1"/>
        <w:rPr>
          <w:rFonts w:ascii="Times New Roman" w:hAnsi="Times New Roman"/>
          <w:szCs w:val="24"/>
        </w:rPr>
      </w:pPr>
      <w:r>
        <w:rPr>
          <w:rFonts w:ascii="Times New Roman" w:hAnsi="Times New Roman"/>
          <w:szCs w:val="24"/>
        </w:rPr>
        <w:br w:type="page"/>
      </w:r>
    </w:p>
    <w:p w14:paraId="34A1DC73" w14:textId="44398A0D" w:rsidR="00B80B12" w:rsidRDefault="00FF08E6" w:rsidP="002C113E">
      <w:pPr>
        <w:spacing w:line="480" w:lineRule="auto"/>
        <w:rPr>
          <w:rFonts w:ascii="Times New Roman" w:hAnsi="Times New Roman"/>
          <w:szCs w:val="24"/>
        </w:rPr>
      </w:pPr>
      <w:r w:rsidRPr="00C7158D">
        <w:rPr>
          <w:rFonts w:ascii="Times New Roman" w:hAnsi="Times New Roman"/>
          <w:szCs w:val="24"/>
        </w:rPr>
        <w:lastRenderedPageBreak/>
        <w:t xml:space="preserve">Table </w:t>
      </w:r>
      <w:r w:rsidR="001C3C2F">
        <w:rPr>
          <w:rFonts w:ascii="Times New Roman" w:hAnsi="Times New Roman"/>
          <w:szCs w:val="24"/>
        </w:rPr>
        <w:t>4</w:t>
      </w:r>
      <w:r w:rsidRPr="00C7158D">
        <w:rPr>
          <w:rFonts w:ascii="Times New Roman" w:hAnsi="Times New Roman"/>
          <w:szCs w:val="24"/>
        </w:rPr>
        <w:t>: Counts and summed ranks for each class. Counts are the total number of times a genus ranks in the top 10 in a bin; summed ranks are the sum per genus of 10 = rank #1 in the bin to 1 for rank #10 in the bin over all bins in which the genus occurs. Higher mean values for both metrics represent greater persistence at higher rank for the genera in the class; e.g. lower turnover at the top ranks. Taxa with tied rankings are given the average ranking (e.g., 2.5 for two tied for second), allowing for non-integer ranks.</w:t>
      </w:r>
    </w:p>
    <w:tbl>
      <w:tblPr>
        <w:tblW w:w="8401" w:type="dxa"/>
        <w:tblLook w:val="04A0" w:firstRow="1" w:lastRow="0" w:firstColumn="1" w:lastColumn="0" w:noHBand="0" w:noVBand="1"/>
      </w:tblPr>
      <w:tblGrid>
        <w:gridCol w:w="1400"/>
        <w:gridCol w:w="1400"/>
        <w:gridCol w:w="1400"/>
        <w:gridCol w:w="1400"/>
        <w:gridCol w:w="1400"/>
        <w:gridCol w:w="1401"/>
      </w:tblGrid>
      <w:tr w:rsidR="002610A2" w:rsidRPr="004D75F1" w14:paraId="1D58C7CB" w14:textId="77777777" w:rsidTr="0017162D">
        <w:trPr>
          <w:trHeight w:val="299"/>
        </w:trPr>
        <w:tc>
          <w:tcPr>
            <w:tcW w:w="1400" w:type="dxa"/>
            <w:tcBorders>
              <w:top w:val="nil"/>
              <w:left w:val="nil"/>
              <w:bottom w:val="nil"/>
              <w:right w:val="nil"/>
            </w:tcBorders>
            <w:shd w:val="clear" w:color="auto" w:fill="auto"/>
            <w:noWrap/>
            <w:vAlign w:val="bottom"/>
          </w:tcPr>
          <w:p w14:paraId="150E9553" w14:textId="77777777" w:rsidR="002610A2" w:rsidRPr="004D75F1" w:rsidRDefault="002610A2" w:rsidP="0017162D">
            <w:pPr>
              <w:rPr>
                <w:rFonts w:ascii="Times New Roman" w:eastAsia="Times New Roman" w:hAnsi="Times New Roman"/>
                <w:szCs w:val="24"/>
              </w:rPr>
            </w:pPr>
          </w:p>
        </w:tc>
        <w:tc>
          <w:tcPr>
            <w:tcW w:w="1400" w:type="dxa"/>
            <w:tcBorders>
              <w:top w:val="nil"/>
              <w:left w:val="nil"/>
              <w:bottom w:val="nil"/>
              <w:right w:val="nil"/>
            </w:tcBorders>
            <w:shd w:val="clear" w:color="auto" w:fill="auto"/>
            <w:noWrap/>
            <w:vAlign w:val="bottom"/>
          </w:tcPr>
          <w:p w14:paraId="6B83417B" w14:textId="77777777" w:rsidR="002610A2" w:rsidRPr="004D75F1" w:rsidRDefault="002610A2" w:rsidP="0017162D">
            <w:pPr>
              <w:rPr>
                <w:rFonts w:ascii="Times New Roman" w:eastAsia="Times New Roman" w:hAnsi="Times New Roman"/>
                <w:szCs w:val="24"/>
              </w:rPr>
            </w:pPr>
          </w:p>
        </w:tc>
        <w:tc>
          <w:tcPr>
            <w:tcW w:w="1400" w:type="dxa"/>
            <w:tcBorders>
              <w:top w:val="nil"/>
              <w:left w:val="nil"/>
              <w:bottom w:val="nil"/>
              <w:right w:val="nil"/>
            </w:tcBorders>
            <w:shd w:val="clear" w:color="auto" w:fill="auto"/>
            <w:noWrap/>
            <w:vAlign w:val="bottom"/>
          </w:tcPr>
          <w:p w14:paraId="2573EB98" w14:textId="77777777" w:rsidR="002610A2" w:rsidRPr="004D75F1" w:rsidRDefault="002610A2" w:rsidP="0017162D">
            <w:pPr>
              <w:rPr>
                <w:rFonts w:ascii="Times New Roman" w:eastAsia="Times New Roman" w:hAnsi="Times New Roman"/>
                <w:b/>
                <w:szCs w:val="24"/>
                <w:u w:val="single"/>
              </w:rPr>
            </w:pPr>
            <w:r w:rsidRPr="004D75F1">
              <w:rPr>
                <w:rFonts w:ascii="Times New Roman" w:eastAsia="Times New Roman" w:hAnsi="Times New Roman"/>
                <w:b/>
                <w:szCs w:val="24"/>
                <w:u w:val="single"/>
              </w:rPr>
              <w:t>Count</w:t>
            </w:r>
          </w:p>
        </w:tc>
        <w:tc>
          <w:tcPr>
            <w:tcW w:w="1400" w:type="dxa"/>
            <w:tcBorders>
              <w:top w:val="nil"/>
              <w:left w:val="nil"/>
              <w:bottom w:val="nil"/>
              <w:right w:val="nil"/>
            </w:tcBorders>
            <w:shd w:val="clear" w:color="auto" w:fill="auto"/>
            <w:noWrap/>
            <w:vAlign w:val="bottom"/>
          </w:tcPr>
          <w:p w14:paraId="6B21ECE0" w14:textId="77777777" w:rsidR="002610A2" w:rsidRPr="004D75F1" w:rsidRDefault="002610A2" w:rsidP="0017162D">
            <w:pPr>
              <w:rPr>
                <w:rFonts w:ascii="Times New Roman" w:eastAsia="Times New Roman" w:hAnsi="Times New Roman"/>
                <w:b/>
                <w:szCs w:val="24"/>
                <w:u w:val="single"/>
              </w:rPr>
            </w:pPr>
          </w:p>
        </w:tc>
        <w:tc>
          <w:tcPr>
            <w:tcW w:w="2801" w:type="dxa"/>
            <w:gridSpan w:val="2"/>
            <w:tcBorders>
              <w:top w:val="nil"/>
              <w:left w:val="nil"/>
              <w:bottom w:val="nil"/>
              <w:right w:val="nil"/>
            </w:tcBorders>
            <w:shd w:val="clear" w:color="auto" w:fill="auto"/>
            <w:noWrap/>
            <w:vAlign w:val="bottom"/>
          </w:tcPr>
          <w:p w14:paraId="0F89323B" w14:textId="77777777" w:rsidR="002610A2" w:rsidRPr="004D75F1" w:rsidRDefault="002610A2" w:rsidP="0017162D">
            <w:pPr>
              <w:rPr>
                <w:rFonts w:ascii="Times New Roman" w:eastAsia="Times New Roman" w:hAnsi="Times New Roman"/>
                <w:b/>
                <w:szCs w:val="24"/>
                <w:u w:val="single"/>
              </w:rPr>
            </w:pPr>
            <w:r w:rsidRPr="004D75F1">
              <w:rPr>
                <w:rFonts w:ascii="Times New Roman" w:eastAsia="Times New Roman" w:hAnsi="Times New Roman"/>
                <w:b/>
                <w:szCs w:val="24"/>
                <w:u w:val="single"/>
              </w:rPr>
              <w:t>Summed ranks</w:t>
            </w:r>
          </w:p>
        </w:tc>
      </w:tr>
      <w:tr w:rsidR="002610A2" w:rsidRPr="004D75F1" w14:paraId="432CB59B" w14:textId="77777777" w:rsidTr="0017162D">
        <w:trPr>
          <w:trHeight w:val="299"/>
        </w:trPr>
        <w:tc>
          <w:tcPr>
            <w:tcW w:w="1400" w:type="dxa"/>
            <w:tcBorders>
              <w:top w:val="nil"/>
              <w:left w:val="nil"/>
              <w:bottom w:val="nil"/>
              <w:right w:val="nil"/>
            </w:tcBorders>
            <w:shd w:val="clear" w:color="auto" w:fill="auto"/>
            <w:noWrap/>
            <w:vAlign w:val="bottom"/>
          </w:tcPr>
          <w:p w14:paraId="71F57FB9" w14:textId="77777777" w:rsidR="002610A2" w:rsidRPr="004D75F1" w:rsidRDefault="002610A2" w:rsidP="0017162D">
            <w:pPr>
              <w:rPr>
                <w:rFonts w:ascii="Times New Roman" w:eastAsia="Times New Roman" w:hAnsi="Times New Roman"/>
                <w:szCs w:val="24"/>
              </w:rPr>
            </w:pPr>
          </w:p>
        </w:tc>
        <w:tc>
          <w:tcPr>
            <w:tcW w:w="1400" w:type="dxa"/>
            <w:tcBorders>
              <w:top w:val="nil"/>
              <w:left w:val="nil"/>
              <w:bottom w:val="nil"/>
              <w:right w:val="nil"/>
            </w:tcBorders>
            <w:shd w:val="clear" w:color="auto" w:fill="auto"/>
            <w:noWrap/>
            <w:vAlign w:val="center"/>
          </w:tcPr>
          <w:p w14:paraId="7231D942" w14:textId="77777777" w:rsidR="002610A2" w:rsidRPr="004D75F1" w:rsidRDefault="002610A2" w:rsidP="0017162D">
            <w:pPr>
              <w:rPr>
                <w:rFonts w:ascii="Times New Roman" w:eastAsia="Times New Roman" w:hAnsi="Times New Roman"/>
                <w:b/>
                <w:szCs w:val="24"/>
              </w:rPr>
            </w:pPr>
            <w:r w:rsidRPr="004D75F1">
              <w:rPr>
                <w:rFonts w:ascii="Times New Roman" w:eastAsia="Times New Roman" w:hAnsi="Times New Roman"/>
                <w:b/>
                <w:szCs w:val="24"/>
              </w:rPr>
              <w:t>Genera</w:t>
            </w:r>
          </w:p>
        </w:tc>
        <w:tc>
          <w:tcPr>
            <w:tcW w:w="1400" w:type="dxa"/>
            <w:tcBorders>
              <w:top w:val="nil"/>
              <w:left w:val="nil"/>
              <w:bottom w:val="nil"/>
              <w:right w:val="nil"/>
            </w:tcBorders>
            <w:shd w:val="clear" w:color="auto" w:fill="auto"/>
            <w:noWrap/>
            <w:vAlign w:val="center"/>
          </w:tcPr>
          <w:p w14:paraId="7D68BF52" w14:textId="77777777" w:rsidR="002610A2" w:rsidRPr="004D75F1" w:rsidRDefault="002610A2" w:rsidP="0017162D">
            <w:pPr>
              <w:rPr>
                <w:rFonts w:ascii="Times New Roman" w:eastAsia="Times New Roman" w:hAnsi="Times New Roman"/>
                <w:b/>
                <w:szCs w:val="24"/>
              </w:rPr>
            </w:pPr>
            <w:r w:rsidRPr="004D75F1">
              <w:rPr>
                <w:rFonts w:ascii="Times New Roman" w:eastAsia="Times New Roman" w:hAnsi="Times New Roman"/>
                <w:b/>
                <w:szCs w:val="24"/>
              </w:rPr>
              <w:t xml:space="preserve"> Sum</w:t>
            </w:r>
          </w:p>
        </w:tc>
        <w:tc>
          <w:tcPr>
            <w:tcW w:w="1400" w:type="dxa"/>
            <w:tcBorders>
              <w:top w:val="nil"/>
              <w:left w:val="nil"/>
              <w:bottom w:val="nil"/>
              <w:right w:val="nil"/>
            </w:tcBorders>
            <w:shd w:val="clear" w:color="auto" w:fill="auto"/>
            <w:noWrap/>
            <w:vAlign w:val="center"/>
          </w:tcPr>
          <w:p w14:paraId="3680A0DB" w14:textId="77777777" w:rsidR="002610A2" w:rsidRPr="004D75F1" w:rsidRDefault="002610A2" w:rsidP="0017162D">
            <w:pPr>
              <w:rPr>
                <w:rFonts w:ascii="Times New Roman" w:eastAsia="Times New Roman" w:hAnsi="Times New Roman"/>
                <w:b/>
                <w:szCs w:val="24"/>
              </w:rPr>
            </w:pPr>
            <w:r w:rsidRPr="004D75F1">
              <w:rPr>
                <w:rFonts w:ascii="Times New Roman" w:eastAsia="Times New Roman" w:hAnsi="Times New Roman"/>
                <w:b/>
                <w:szCs w:val="24"/>
              </w:rPr>
              <w:t>Mean</w:t>
            </w:r>
          </w:p>
        </w:tc>
        <w:tc>
          <w:tcPr>
            <w:tcW w:w="1400" w:type="dxa"/>
            <w:tcBorders>
              <w:top w:val="nil"/>
              <w:left w:val="nil"/>
              <w:bottom w:val="nil"/>
              <w:right w:val="nil"/>
            </w:tcBorders>
            <w:shd w:val="clear" w:color="auto" w:fill="auto"/>
            <w:noWrap/>
            <w:vAlign w:val="center"/>
          </w:tcPr>
          <w:p w14:paraId="7FA7B2F8" w14:textId="77777777" w:rsidR="002610A2" w:rsidRPr="004D75F1" w:rsidRDefault="002610A2" w:rsidP="0017162D">
            <w:pPr>
              <w:rPr>
                <w:rFonts w:ascii="Times New Roman" w:eastAsia="Times New Roman" w:hAnsi="Times New Roman"/>
                <w:b/>
                <w:szCs w:val="24"/>
              </w:rPr>
            </w:pPr>
            <w:r w:rsidRPr="004D75F1">
              <w:rPr>
                <w:rFonts w:ascii="Times New Roman" w:eastAsia="Times New Roman" w:hAnsi="Times New Roman"/>
                <w:b/>
                <w:szCs w:val="24"/>
              </w:rPr>
              <w:t xml:space="preserve">Sum              </w:t>
            </w:r>
          </w:p>
        </w:tc>
        <w:tc>
          <w:tcPr>
            <w:tcW w:w="1401" w:type="dxa"/>
            <w:tcBorders>
              <w:top w:val="nil"/>
              <w:left w:val="nil"/>
              <w:bottom w:val="nil"/>
              <w:right w:val="nil"/>
            </w:tcBorders>
            <w:shd w:val="clear" w:color="auto" w:fill="auto"/>
            <w:noWrap/>
            <w:vAlign w:val="center"/>
          </w:tcPr>
          <w:p w14:paraId="5F89C3E3" w14:textId="77777777" w:rsidR="002610A2" w:rsidRPr="004D75F1" w:rsidRDefault="002610A2" w:rsidP="0017162D">
            <w:pPr>
              <w:rPr>
                <w:rFonts w:ascii="Times New Roman" w:eastAsia="Times New Roman" w:hAnsi="Times New Roman"/>
                <w:b/>
                <w:szCs w:val="24"/>
              </w:rPr>
            </w:pPr>
            <w:r w:rsidRPr="004D75F1">
              <w:rPr>
                <w:rFonts w:ascii="Times New Roman" w:eastAsia="Times New Roman" w:hAnsi="Times New Roman"/>
                <w:b/>
                <w:szCs w:val="24"/>
              </w:rPr>
              <w:t xml:space="preserve"> Mean</w:t>
            </w:r>
          </w:p>
        </w:tc>
      </w:tr>
      <w:tr w:rsidR="002610A2" w:rsidRPr="004D75F1" w14:paraId="79CCD27E" w14:textId="77777777" w:rsidTr="0017162D">
        <w:trPr>
          <w:trHeight w:val="299"/>
        </w:trPr>
        <w:tc>
          <w:tcPr>
            <w:tcW w:w="1400" w:type="dxa"/>
            <w:tcBorders>
              <w:top w:val="nil"/>
              <w:left w:val="nil"/>
              <w:bottom w:val="nil"/>
              <w:right w:val="nil"/>
            </w:tcBorders>
            <w:shd w:val="clear" w:color="auto" w:fill="BDD6EE"/>
            <w:noWrap/>
            <w:vAlign w:val="bottom"/>
          </w:tcPr>
          <w:p w14:paraId="253FC27E"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Bivalve</w:t>
            </w:r>
          </w:p>
        </w:tc>
        <w:tc>
          <w:tcPr>
            <w:tcW w:w="1400" w:type="dxa"/>
            <w:tcBorders>
              <w:top w:val="nil"/>
              <w:left w:val="nil"/>
              <w:bottom w:val="nil"/>
              <w:right w:val="nil"/>
            </w:tcBorders>
            <w:shd w:val="clear" w:color="auto" w:fill="auto"/>
            <w:noWrap/>
            <w:vAlign w:val="center"/>
          </w:tcPr>
          <w:p w14:paraId="1A1524AE"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220</w:t>
            </w:r>
          </w:p>
        </w:tc>
        <w:tc>
          <w:tcPr>
            <w:tcW w:w="1400" w:type="dxa"/>
            <w:tcBorders>
              <w:top w:val="nil"/>
              <w:left w:val="nil"/>
              <w:bottom w:val="nil"/>
              <w:right w:val="nil"/>
            </w:tcBorders>
            <w:shd w:val="clear" w:color="auto" w:fill="auto"/>
            <w:noWrap/>
            <w:vAlign w:val="center"/>
          </w:tcPr>
          <w:p w14:paraId="382CF6EF"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189382</w:t>
            </w:r>
          </w:p>
        </w:tc>
        <w:tc>
          <w:tcPr>
            <w:tcW w:w="1400" w:type="dxa"/>
            <w:tcBorders>
              <w:top w:val="nil"/>
              <w:left w:val="nil"/>
              <w:bottom w:val="nil"/>
              <w:right w:val="nil"/>
            </w:tcBorders>
            <w:shd w:val="clear" w:color="auto" w:fill="auto"/>
            <w:noWrap/>
            <w:vAlign w:val="center"/>
          </w:tcPr>
          <w:p w14:paraId="300A12DB"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860.8</w:t>
            </w:r>
          </w:p>
        </w:tc>
        <w:tc>
          <w:tcPr>
            <w:tcW w:w="1400" w:type="dxa"/>
            <w:tcBorders>
              <w:top w:val="nil"/>
              <w:left w:val="nil"/>
              <w:bottom w:val="nil"/>
              <w:right w:val="nil"/>
            </w:tcBorders>
            <w:shd w:val="clear" w:color="auto" w:fill="auto"/>
            <w:noWrap/>
            <w:vAlign w:val="center"/>
          </w:tcPr>
          <w:p w14:paraId="0D8221D8"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179977.5</w:t>
            </w:r>
          </w:p>
        </w:tc>
        <w:tc>
          <w:tcPr>
            <w:tcW w:w="1401" w:type="dxa"/>
            <w:tcBorders>
              <w:top w:val="nil"/>
              <w:left w:val="nil"/>
              <w:bottom w:val="nil"/>
              <w:right w:val="nil"/>
            </w:tcBorders>
            <w:shd w:val="clear" w:color="auto" w:fill="auto"/>
            <w:noWrap/>
            <w:vAlign w:val="center"/>
          </w:tcPr>
          <w:p w14:paraId="54591D7B"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818.1</w:t>
            </w:r>
          </w:p>
        </w:tc>
      </w:tr>
      <w:tr w:rsidR="002610A2" w:rsidRPr="004D75F1" w14:paraId="5D97C24E" w14:textId="77777777" w:rsidTr="0017162D">
        <w:trPr>
          <w:trHeight w:val="299"/>
        </w:trPr>
        <w:tc>
          <w:tcPr>
            <w:tcW w:w="1400" w:type="dxa"/>
            <w:tcBorders>
              <w:top w:val="nil"/>
              <w:left w:val="nil"/>
              <w:bottom w:val="nil"/>
              <w:right w:val="nil"/>
            </w:tcBorders>
            <w:shd w:val="clear" w:color="auto" w:fill="BDD6EE"/>
            <w:noWrap/>
            <w:vAlign w:val="bottom"/>
          </w:tcPr>
          <w:p w14:paraId="41B431AC"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Echinoid</w:t>
            </w:r>
          </w:p>
        </w:tc>
        <w:tc>
          <w:tcPr>
            <w:tcW w:w="1400" w:type="dxa"/>
            <w:tcBorders>
              <w:top w:val="nil"/>
              <w:left w:val="nil"/>
              <w:bottom w:val="nil"/>
              <w:right w:val="nil"/>
            </w:tcBorders>
            <w:shd w:val="clear" w:color="auto" w:fill="auto"/>
            <w:noWrap/>
            <w:vAlign w:val="center"/>
          </w:tcPr>
          <w:p w14:paraId="38E25DBD"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108</w:t>
            </w:r>
          </w:p>
        </w:tc>
        <w:tc>
          <w:tcPr>
            <w:tcW w:w="1400" w:type="dxa"/>
            <w:tcBorders>
              <w:top w:val="nil"/>
              <w:left w:val="nil"/>
              <w:bottom w:val="nil"/>
              <w:right w:val="nil"/>
            </w:tcBorders>
            <w:shd w:val="clear" w:color="auto" w:fill="auto"/>
            <w:noWrap/>
            <w:vAlign w:val="center"/>
          </w:tcPr>
          <w:p w14:paraId="5F32F5B9"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88897.5</w:t>
            </w:r>
          </w:p>
        </w:tc>
        <w:tc>
          <w:tcPr>
            <w:tcW w:w="1400" w:type="dxa"/>
            <w:tcBorders>
              <w:top w:val="nil"/>
              <w:left w:val="nil"/>
              <w:bottom w:val="nil"/>
              <w:right w:val="nil"/>
            </w:tcBorders>
            <w:shd w:val="clear" w:color="auto" w:fill="auto"/>
            <w:noWrap/>
            <w:vAlign w:val="center"/>
          </w:tcPr>
          <w:p w14:paraId="4109A0C9"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823.1</w:t>
            </w:r>
          </w:p>
        </w:tc>
        <w:tc>
          <w:tcPr>
            <w:tcW w:w="1400" w:type="dxa"/>
            <w:tcBorders>
              <w:top w:val="nil"/>
              <w:left w:val="nil"/>
              <w:bottom w:val="nil"/>
              <w:right w:val="nil"/>
            </w:tcBorders>
            <w:shd w:val="clear" w:color="auto" w:fill="auto"/>
            <w:noWrap/>
            <w:vAlign w:val="center"/>
          </w:tcPr>
          <w:p w14:paraId="296A0C0C"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198032</w:t>
            </w:r>
          </w:p>
        </w:tc>
        <w:tc>
          <w:tcPr>
            <w:tcW w:w="1401" w:type="dxa"/>
            <w:tcBorders>
              <w:top w:val="nil"/>
              <w:left w:val="nil"/>
              <w:bottom w:val="nil"/>
              <w:right w:val="nil"/>
            </w:tcBorders>
            <w:shd w:val="clear" w:color="auto" w:fill="auto"/>
            <w:noWrap/>
            <w:vAlign w:val="center"/>
          </w:tcPr>
          <w:p w14:paraId="645CF7B5"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728.1</w:t>
            </w:r>
          </w:p>
        </w:tc>
      </w:tr>
      <w:tr w:rsidR="002610A2" w:rsidRPr="004D75F1" w14:paraId="245462AD" w14:textId="77777777" w:rsidTr="0017162D">
        <w:trPr>
          <w:trHeight w:val="299"/>
        </w:trPr>
        <w:tc>
          <w:tcPr>
            <w:tcW w:w="1400" w:type="dxa"/>
            <w:tcBorders>
              <w:top w:val="nil"/>
              <w:left w:val="nil"/>
              <w:bottom w:val="nil"/>
              <w:right w:val="nil"/>
            </w:tcBorders>
            <w:shd w:val="clear" w:color="auto" w:fill="BDD6EE"/>
            <w:noWrap/>
            <w:vAlign w:val="bottom"/>
          </w:tcPr>
          <w:p w14:paraId="2206053A"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Gastropod</w:t>
            </w:r>
          </w:p>
        </w:tc>
        <w:tc>
          <w:tcPr>
            <w:tcW w:w="1400" w:type="dxa"/>
            <w:tcBorders>
              <w:top w:val="nil"/>
              <w:left w:val="nil"/>
              <w:bottom w:val="nil"/>
              <w:right w:val="nil"/>
            </w:tcBorders>
            <w:shd w:val="clear" w:color="auto" w:fill="auto"/>
            <w:noWrap/>
            <w:vAlign w:val="center"/>
          </w:tcPr>
          <w:p w14:paraId="5C034235"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272</w:t>
            </w:r>
          </w:p>
        </w:tc>
        <w:tc>
          <w:tcPr>
            <w:tcW w:w="1400" w:type="dxa"/>
            <w:tcBorders>
              <w:top w:val="nil"/>
              <w:left w:val="nil"/>
              <w:bottom w:val="nil"/>
              <w:right w:val="nil"/>
            </w:tcBorders>
            <w:shd w:val="clear" w:color="auto" w:fill="auto"/>
            <w:noWrap/>
            <w:vAlign w:val="center"/>
          </w:tcPr>
          <w:p w14:paraId="040FD7AE"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217764.5</w:t>
            </w:r>
          </w:p>
        </w:tc>
        <w:tc>
          <w:tcPr>
            <w:tcW w:w="1400" w:type="dxa"/>
            <w:tcBorders>
              <w:top w:val="nil"/>
              <w:left w:val="nil"/>
              <w:bottom w:val="nil"/>
              <w:right w:val="nil"/>
            </w:tcBorders>
            <w:shd w:val="clear" w:color="auto" w:fill="auto"/>
            <w:noWrap/>
            <w:vAlign w:val="center"/>
          </w:tcPr>
          <w:p w14:paraId="6ED1DB51"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800.6</w:t>
            </w:r>
          </w:p>
        </w:tc>
        <w:tc>
          <w:tcPr>
            <w:tcW w:w="1400" w:type="dxa"/>
            <w:tcBorders>
              <w:top w:val="nil"/>
              <w:left w:val="nil"/>
              <w:bottom w:val="nil"/>
              <w:right w:val="nil"/>
            </w:tcBorders>
            <w:shd w:val="clear" w:color="auto" w:fill="auto"/>
            <w:noWrap/>
            <w:vAlign w:val="center"/>
          </w:tcPr>
          <w:p w14:paraId="03D7999B"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216813</w:t>
            </w:r>
          </w:p>
        </w:tc>
        <w:tc>
          <w:tcPr>
            <w:tcW w:w="1401" w:type="dxa"/>
            <w:tcBorders>
              <w:top w:val="nil"/>
              <w:left w:val="nil"/>
              <w:bottom w:val="nil"/>
              <w:right w:val="nil"/>
            </w:tcBorders>
            <w:shd w:val="clear" w:color="auto" w:fill="auto"/>
            <w:noWrap/>
            <w:vAlign w:val="center"/>
          </w:tcPr>
          <w:p w14:paraId="012C876F"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715.6</w:t>
            </w:r>
          </w:p>
        </w:tc>
      </w:tr>
      <w:tr w:rsidR="002610A2" w:rsidRPr="004D75F1" w14:paraId="54C3F6C1" w14:textId="77777777" w:rsidTr="0017162D">
        <w:trPr>
          <w:trHeight w:val="299"/>
        </w:trPr>
        <w:tc>
          <w:tcPr>
            <w:tcW w:w="1400" w:type="dxa"/>
            <w:tcBorders>
              <w:top w:val="nil"/>
              <w:left w:val="nil"/>
              <w:bottom w:val="nil"/>
              <w:right w:val="nil"/>
            </w:tcBorders>
            <w:shd w:val="clear" w:color="auto" w:fill="BDD6EE"/>
            <w:noWrap/>
            <w:vAlign w:val="bottom"/>
          </w:tcPr>
          <w:p w14:paraId="545A46E9"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Brachiopod</w:t>
            </w:r>
          </w:p>
        </w:tc>
        <w:tc>
          <w:tcPr>
            <w:tcW w:w="1400" w:type="dxa"/>
            <w:tcBorders>
              <w:top w:val="nil"/>
              <w:left w:val="nil"/>
              <w:bottom w:val="nil"/>
              <w:right w:val="nil"/>
            </w:tcBorders>
            <w:shd w:val="clear" w:color="auto" w:fill="auto"/>
            <w:noWrap/>
            <w:vAlign w:val="center"/>
          </w:tcPr>
          <w:p w14:paraId="265F499A"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303</w:t>
            </w:r>
          </w:p>
        </w:tc>
        <w:tc>
          <w:tcPr>
            <w:tcW w:w="1400" w:type="dxa"/>
            <w:tcBorders>
              <w:top w:val="nil"/>
              <w:left w:val="nil"/>
              <w:bottom w:val="nil"/>
              <w:right w:val="nil"/>
            </w:tcBorders>
            <w:shd w:val="clear" w:color="auto" w:fill="auto"/>
            <w:noWrap/>
            <w:vAlign w:val="center"/>
          </w:tcPr>
          <w:p w14:paraId="309758C9"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216899.5</w:t>
            </w:r>
          </w:p>
        </w:tc>
        <w:tc>
          <w:tcPr>
            <w:tcW w:w="1400" w:type="dxa"/>
            <w:tcBorders>
              <w:top w:val="nil"/>
              <w:left w:val="nil"/>
              <w:bottom w:val="nil"/>
              <w:right w:val="nil"/>
            </w:tcBorders>
            <w:shd w:val="clear" w:color="auto" w:fill="auto"/>
            <w:noWrap/>
            <w:vAlign w:val="center"/>
          </w:tcPr>
          <w:p w14:paraId="3935E791"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715.8</w:t>
            </w:r>
          </w:p>
        </w:tc>
        <w:tc>
          <w:tcPr>
            <w:tcW w:w="1400" w:type="dxa"/>
            <w:tcBorders>
              <w:top w:val="nil"/>
              <w:left w:val="nil"/>
              <w:bottom w:val="nil"/>
              <w:right w:val="nil"/>
            </w:tcBorders>
            <w:shd w:val="clear" w:color="auto" w:fill="auto"/>
            <w:noWrap/>
            <w:vAlign w:val="center"/>
          </w:tcPr>
          <w:p w14:paraId="640189A1"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77164</w:t>
            </w:r>
          </w:p>
        </w:tc>
        <w:tc>
          <w:tcPr>
            <w:tcW w:w="1401" w:type="dxa"/>
            <w:tcBorders>
              <w:top w:val="nil"/>
              <w:left w:val="nil"/>
              <w:bottom w:val="nil"/>
              <w:right w:val="nil"/>
            </w:tcBorders>
            <w:shd w:val="clear" w:color="auto" w:fill="auto"/>
            <w:noWrap/>
            <w:vAlign w:val="center"/>
          </w:tcPr>
          <w:p w14:paraId="2A09CB2B"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714.5</w:t>
            </w:r>
          </w:p>
        </w:tc>
      </w:tr>
      <w:tr w:rsidR="002610A2" w:rsidRPr="004D75F1" w14:paraId="61B88AFD" w14:textId="77777777" w:rsidTr="0017162D">
        <w:trPr>
          <w:trHeight w:val="299"/>
        </w:trPr>
        <w:tc>
          <w:tcPr>
            <w:tcW w:w="1400" w:type="dxa"/>
            <w:tcBorders>
              <w:top w:val="nil"/>
              <w:left w:val="nil"/>
              <w:bottom w:val="nil"/>
              <w:right w:val="nil"/>
            </w:tcBorders>
            <w:shd w:val="clear" w:color="auto" w:fill="BDD6EE"/>
            <w:noWrap/>
            <w:vAlign w:val="bottom"/>
          </w:tcPr>
          <w:p w14:paraId="7CDE248C"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Trilobite</w:t>
            </w:r>
          </w:p>
        </w:tc>
        <w:tc>
          <w:tcPr>
            <w:tcW w:w="1400" w:type="dxa"/>
            <w:tcBorders>
              <w:top w:val="nil"/>
              <w:left w:val="nil"/>
              <w:bottom w:val="nil"/>
              <w:right w:val="nil"/>
            </w:tcBorders>
            <w:shd w:val="clear" w:color="auto" w:fill="auto"/>
            <w:noWrap/>
            <w:vAlign w:val="center"/>
          </w:tcPr>
          <w:p w14:paraId="712D1846"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156</w:t>
            </w:r>
          </w:p>
        </w:tc>
        <w:tc>
          <w:tcPr>
            <w:tcW w:w="1400" w:type="dxa"/>
            <w:tcBorders>
              <w:top w:val="nil"/>
              <w:left w:val="nil"/>
              <w:bottom w:val="nil"/>
              <w:right w:val="nil"/>
            </w:tcBorders>
            <w:shd w:val="clear" w:color="auto" w:fill="auto"/>
            <w:noWrap/>
            <w:vAlign w:val="center"/>
          </w:tcPr>
          <w:p w14:paraId="6A093ABA"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92390.5</w:t>
            </w:r>
          </w:p>
        </w:tc>
        <w:tc>
          <w:tcPr>
            <w:tcW w:w="1400" w:type="dxa"/>
            <w:tcBorders>
              <w:top w:val="nil"/>
              <w:left w:val="nil"/>
              <w:bottom w:val="nil"/>
              <w:right w:val="nil"/>
            </w:tcBorders>
            <w:shd w:val="clear" w:color="auto" w:fill="auto"/>
            <w:noWrap/>
            <w:vAlign w:val="center"/>
          </w:tcPr>
          <w:p w14:paraId="7F1ED0CD"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592.2</w:t>
            </w:r>
          </w:p>
        </w:tc>
        <w:tc>
          <w:tcPr>
            <w:tcW w:w="1400" w:type="dxa"/>
            <w:tcBorders>
              <w:top w:val="nil"/>
              <w:left w:val="nil"/>
              <w:bottom w:val="nil"/>
              <w:right w:val="nil"/>
            </w:tcBorders>
            <w:shd w:val="clear" w:color="auto" w:fill="auto"/>
            <w:noWrap/>
            <w:vAlign w:val="center"/>
          </w:tcPr>
          <w:p w14:paraId="5C3D4381"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252972.5</w:t>
            </w:r>
          </w:p>
        </w:tc>
        <w:tc>
          <w:tcPr>
            <w:tcW w:w="1401" w:type="dxa"/>
            <w:tcBorders>
              <w:top w:val="nil"/>
              <w:left w:val="nil"/>
              <w:bottom w:val="nil"/>
              <w:right w:val="nil"/>
            </w:tcBorders>
            <w:shd w:val="clear" w:color="auto" w:fill="auto"/>
            <w:noWrap/>
            <w:vAlign w:val="center"/>
          </w:tcPr>
          <w:p w14:paraId="35538F98"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678.2</w:t>
            </w:r>
          </w:p>
        </w:tc>
      </w:tr>
      <w:tr w:rsidR="002610A2" w:rsidRPr="004D75F1" w14:paraId="4B2E47E2" w14:textId="77777777" w:rsidTr="0017162D">
        <w:trPr>
          <w:trHeight w:val="299"/>
        </w:trPr>
        <w:tc>
          <w:tcPr>
            <w:tcW w:w="1400" w:type="dxa"/>
            <w:tcBorders>
              <w:top w:val="nil"/>
              <w:left w:val="nil"/>
              <w:bottom w:val="nil"/>
              <w:right w:val="nil"/>
            </w:tcBorders>
            <w:shd w:val="clear" w:color="auto" w:fill="BDD6EE"/>
            <w:noWrap/>
            <w:vAlign w:val="bottom"/>
          </w:tcPr>
          <w:p w14:paraId="7FB904C4"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Cephalopod</w:t>
            </w:r>
          </w:p>
        </w:tc>
        <w:tc>
          <w:tcPr>
            <w:tcW w:w="1400" w:type="dxa"/>
            <w:tcBorders>
              <w:top w:val="nil"/>
              <w:left w:val="nil"/>
              <w:bottom w:val="nil"/>
              <w:right w:val="nil"/>
            </w:tcBorders>
            <w:shd w:val="clear" w:color="auto" w:fill="auto"/>
            <w:noWrap/>
            <w:vAlign w:val="center"/>
          </w:tcPr>
          <w:p w14:paraId="77F8D2E1"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373</w:t>
            </w:r>
          </w:p>
        </w:tc>
        <w:tc>
          <w:tcPr>
            <w:tcW w:w="1400" w:type="dxa"/>
            <w:tcBorders>
              <w:top w:val="nil"/>
              <w:left w:val="nil"/>
              <w:bottom w:val="nil"/>
              <w:right w:val="nil"/>
            </w:tcBorders>
            <w:shd w:val="clear" w:color="auto" w:fill="auto"/>
            <w:noWrap/>
            <w:vAlign w:val="center"/>
          </w:tcPr>
          <w:p w14:paraId="1FBEEF5C"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220694</w:t>
            </w:r>
          </w:p>
        </w:tc>
        <w:tc>
          <w:tcPr>
            <w:tcW w:w="1400" w:type="dxa"/>
            <w:tcBorders>
              <w:top w:val="nil"/>
              <w:left w:val="nil"/>
              <w:bottom w:val="nil"/>
              <w:right w:val="nil"/>
            </w:tcBorders>
            <w:shd w:val="clear" w:color="auto" w:fill="auto"/>
            <w:noWrap/>
            <w:vAlign w:val="center"/>
          </w:tcPr>
          <w:p w14:paraId="7AF16C5E"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591.7</w:t>
            </w:r>
          </w:p>
        </w:tc>
        <w:tc>
          <w:tcPr>
            <w:tcW w:w="1400" w:type="dxa"/>
            <w:tcBorders>
              <w:top w:val="nil"/>
              <w:left w:val="nil"/>
              <w:bottom w:val="nil"/>
              <w:right w:val="nil"/>
            </w:tcBorders>
            <w:shd w:val="clear" w:color="auto" w:fill="auto"/>
            <w:noWrap/>
            <w:vAlign w:val="center"/>
          </w:tcPr>
          <w:p w14:paraId="1AD74B16"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101069</w:t>
            </w:r>
          </w:p>
        </w:tc>
        <w:tc>
          <w:tcPr>
            <w:tcW w:w="1401" w:type="dxa"/>
            <w:tcBorders>
              <w:top w:val="nil"/>
              <w:left w:val="nil"/>
              <w:bottom w:val="nil"/>
              <w:right w:val="nil"/>
            </w:tcBorders>
            <w:shd w:val="clear" w:color="auto" w:fill="auto"/>
            <w:noWrap/>
            <w:vAlign w:val="center"/>
          </w:tcPr>
          <w:p w14:paraId="50684510" w14:textId="77777777" w:rsidR="002610A2" w:rsidRPr="004D75F1" w:rsidRDefault="002610A2" w:rsidP="0017162D">
            <w:pPr>
              <w:rPr>
                <w:rFonts w:ascii="Times New Roman" w:eastAsia="Times New Roman" w:hAnsi="Times New Roman"/>
                <w:szCs w:val="24"/>
              </w:rPr>
            </w:pPr>
            <w:r w:rsidRPr="004D75F1">
              <w:rPr>
                <w:rFonts w:ascii="Times New Roman" w:eastAsia="Times New Roman" w:hAnsi="Times New Roman"/>
                <w:szCs w:val="24"/>
              </w:rPr>
              <w:t>647.9</w:t>
            </w:r>
          </w:p>
        </w:tc>
      </w:tr>
    </w:tbl>
    <w:p w14:paraId="6E71EF3C" w14:textId="77777777" w:rsidR="002610A2" w:rsidRPr="002C113E" w:rsidRDefault="002610A2" w:rsidP="002C113E">
      <w:pPr>
        <w:spacing w:line="480" w:lineRule="auto"/>
        <w:rPr>
          <w:rFonts w:ascii="Times New Roman" w:hAnsi="Times New Roman"/>
          <w:szCs w:val="24"/>
        </w:rPr>
      </w:pPr>
    </w:p>
    <w:sectPr w:rsidR="002610A2" w:rsidRPr="002C113E" w:rsidSect="00FF187D">
      <w:headerReference w:type="default" r:id="rId15"/>
      <w:footerReference w:type="even" r:id="rId16"/>
      <w:footerReference w:type="default" r:id="rId17"/>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C1A980" w14:textId="77777777" w:rsidR="00716CDA" w:rsidRDefault="00716CDA">
      <w:r>
        <w:separator/>
      </w:r>
    </w:p>
  </w:endnote>
  <w:endnote w:type="continuationSeparator" w:id="0">
    <w:p w14:paraId="0F5EBDBD" w14:textId="77777777" w:rsidR="00716CDA" w:rsidRDefault="00716C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swiss"/>
    <w:pitch w:val="variable"/>
    <w:sig w:usb0="00000000" w:usb1="5000A1FF" w:usb2="00000000" w:usb3="00000000" w:csb0="000001BF" w:csb1="00000000"/>
  </w:font>
  <w:font w:name="Courier New">
    <w:panose1 w:val="02070309020205020404"/>
    <w:charset w:val="00"/>
    <w:family w:val="modern"/>
    <w:pitch w:val="fixed"/>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5F2994" w14:textId="77777777" w:rsidR="00834742" w:rsidRDefault="00834742" w:rsidP="008A66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CAC3B2" w14:textId="77777777" w:rsidR="00834742" w:rsidRDefault="008347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DE945" w14:textId="7D165B45" w:rsidR="00834742" w:rsidRDefault="00834742" w:rsidP="008A66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CE31A6">
      <w:rPr>
        <w:rStyle w:val="PageNumber"/>
        <w:noProof/>
      </w:rPr>
      <w:t>29</w:t>
    </w:r>
    <w:r>
      <w:rPr>
        <w:rStyle w:val="PageNumber"/>
      </w:rPr>
      <w:fldChar w:fldCharType="end"/>
    </w:r>
  </w:p>
  <w:p w14:paraId="70FAE3EA" w14:textId="77777777" w:rsidR="00834742" w:rsidRDefault="00834742" w:rsidP="008A66AD">
    <w:pPr>
      <w:pStyle w:val="Footer"/>
      <w:tabs>
        <w:tab w:val="clear" w:pos="4320"/>
        <w:tab w:val="center" w:pos="468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CE4301" w14:textId="77777777" w:rsidR="00716CDA" w:rsidRDefault="00716CDA">
      <w:r>
        <w:separator/>
      </w:r>
    </w:p>
  </w:footnote>
  <w:footnote w:type="continuationSeparator" w:id="0">
    <w:p w14:paraId="261ACFE1" w14:textId="77777777" w:rsidR="00716CDA" w:rsidRDefault="00716CD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04994281"/>
      <w:docPartObj>
        <w:docPartGallery w:val="Page Numbers (Top of Page)"/>
        <w:docPartUnique/>
      </w:docPartObj>
    </w:sdtPr>
    <w:sdtEndPr>
      <w:rPr>
        <w:noProof/>
      </w:rPr>
    </w:sdtEndPr>
    <w:sdtContent>
      <w:p w14:paraId="35B8DBB4" w14:textId="1D91D274" w:rsidR="00834742" w:rsidRDefault="00834742">
        <w:pPr>
          <w:pStyle w:val="Header"/>
          <w:jc w:val="right"/>
        </w:pPr>
        <w:r>
          <w:fldChar w:fldCharType="begin"/>
        </w:r>
        <w:r>
          <w:instrText xml:space="preserve"> PAGE   \* MERGEFORMAT </w:instrText>
        </w:r>
        <w:r>
          <w:fldChar w:fldCharType="separate"/>
        </w:r>
        <w:r w:rsidR="00CE31A6">
          <w:rPr>
            <w:noProof/>
          </w:rPr>
          <w:t>29</w:t>
        </w:r>
        <w:r>
          <w:rPr>
            <w:noProof/>
          </w:rPr>
          <w:fldChar w:fldCharType="end"/>
        </w:r>
      </w:p>
    </w:sdtContent>
  </w:sdt>
  <w:p w14:paraId="0FD16408" w14:textId="77777777" w:rsidR="00834742" w:rsidRPr="001D7C89" w:rsidRDefault="00834742" w:rsidP="008A66AD">
    <w:pPr>
      <w:pStyle w:val="Header"/>
      <w:tabs>
        <w:tab w:val="clear" w:pos="8640"/>
        <w:tab w:val="right" w:pos="9270"/>
      </w:tabs>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D286C77"/>
    <w:multiLevelType w:val="hybridMultilevel"/>
    <w:tmpl w:val="30E2C85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e-DE" w:vendorID="64" w:dllVersion="4096" w:nlCheck="1" w:checkStyle="0"/>
  <w:activeWritingStyle w:appName="MSWord" w:lang="en-US" w:vendorID="64" w:dllVersion="4096" w:nlCheck="1" w:checkStyle="0"/>
  <w:activeWritingStyle w:appName="MSWord" w:lang="da-DK" w:vendorID="64" w:dllVersion="0" w:nlCheck="1" w:checkStyle="0"/>
  <w:activeWritingStyle w:appName="MSWord" w:lang="en-US" w:vendorID="64" w:dllVersion="6" w:nlCheck="1" w:checkStyle="1"/>
  <w:activeWritingStyle w:appName="MSWord" w:lang="en-US" w:vendorID="64" w:dllVersion="0" w:nlCheck="1" w:checkStyle="0"/>
  <w:activeWritingStyle w:appName="MSWord" w:lang="fr-FR" w:vendorID="64" w:dllVersion="4096" w:nlCheck="1" w:checkStyle="0"/>
  <w:activeWritingStyle w:appName="MSWord" w:lang="sv-SE" w:vendorID="64" w:dllVersion="0" w:nlCheck="1" w:checkStyle="0"/>
  <w:activeWritingStyle w:appName="MSWord" w:lang="en-US" w:vendorID="64" w:dllVersion="131078" w:nlCheck="1" w:checkStyle="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PaleobiologyWag&lt;/Style&gt;&lt;LeftDelim&gt;{&lt;/LeftDelim&gt;&lt;RightDelim&gt;}&lt;/RightDelim&gt;&lt;FontName&gt;Times New Roman&lt;/FontName&gt;&lt;FontSize&gt;12&lt;/FontSize&gt;&lt;ReflistTitle&gt;&lt;/ReflistTitle&gt;&lt;StartingRefnum&gt;1&lt;/StartingRefnum&gt;&lt;FirstLineIndent&gt;0&lt;/FirstLineIndent&gt;&lt;HangingIndent&gt;36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wz00v599a2zpv4etvzgv2e93052sszxwve5v&quot;&gt;plotnick&lt;record-ids&gt;&lt;item&gt;17946&lt;/item&gt;&lt;item&gt;18487&lt;/item&gt;&lt;item&gt;19056&lt;/item&gt;&lt;item&gt;19141&lt;/item&gt;&lt;item&gt;21301&lt;/item&gt;&lt;item&gt;24498&lt;/item&gt;&lt;item&gt;24647&lt;/item&gt;&lt;item&gt;24991&lt;/item&gt;&lt;item&gt;25001&lt;/item&gt;&lt;item&gt;25008&lt;/item&gt;&lt;item&gt;25080&lt;/item&gt;&lt;item&gt;25114&lt;/item&gt;&lt;item&gt;25241&lt;/item&gt;&lt;item&gt;25242&lt;/item&gt;&lt;/record-ids&gt;&lt;/item&gt;&lt;/Libraries&gt;"/>
  </w:docVars>
  <w:rsids>
    <w:rsidRoot w:val="00FF08E6"/>
    <w:rsid w:val="00013583"/>
    <w:rsid w:val="00033621"/>
    <w:rsid w:val="00046A41"/>
    <w:rsid w:val="000551C2"/>
    <w:rsid w:val="000571E6"/>
    <w:rsid w:val="00071ED7"/>
    <w:rsid w:val="00074C45"/>
    <w:rsid w:val="0007558A"/>
    <w:rsid w:val="000772ED"/>
    <w:rsid w:val="00084AD1"/>
    <w:rsid w:val="0009286B"/>
    <w:rsid w:val="00093474"/>
    <w:rsid w:val="00093FF4"/>
    <w:rsid w:val="00095F45"/>
    <w:rsid w:val="00096494"/>
    <w:rsid w:val="00097042"/>
    <w:rsid w:val="0009796C"/>
    <w:rsid w:val="000A4968"/>
    <w:rsid w:val="000B1076"/>
    <w:rsid w:val="000B2CDE"/>
    <w:rsid w:val="000B7D66"/>
    <w:rsid w:val="000C0F56"/>
    <w:rsid w:val="000C64AB"/>
    <w:rsid w:val="000D115E"/>
    <w:rsid w:val="000E3D79"/>
    <w:rsid w:val="0010035D"/>
    <w:rsid w:val="0010662D"/>
    <w:rsid w:val="00107EC8"/>
    <w:rsid w:val="001163F8"/>
    <w:rsid w:val="00120527"/>
    <w:rsid w:val="0012296F"/>
    <w:rsid w:val="001257A6"/>
    <w:rsid w:val="00130EE2"/>
    <w:rsid w:val="00133882"/>
    <w:rsid w:val="001508F3"/>
    <w:rsid w:val="00154CE0"/>
    <w:rsid w:val="00155892"/>
    <w:rsid w:val="00164025"/>
    <w:rsid w:val="0016651A"/>
    <w:rsid w:val="001717EA"/>
    <w:rsid w:val="001805DB"/>
    <w:rsid w:val="0018061F"/>
    <w:rsid w:val="00194B4A"/>
    <w:rsid w:val="001964B2"/>
    <w:rsid w:val="001B15EC"/>
    <w:rsid w:val="001B1E15"/>
    <w:rsid w:val="001C3C2F"/>
    <w:rsid w:val="001C5147"/>
    <w:rsid w:val="001D2B68"/>
    <w:rsid w:val="001D343B"/>
    <w:rsid w:val="001D7BE1"/>
    <w:rsid w:val="001E2232"/>
    <w:rsid w:val="001F2DDA"/>
    <w:rsid w:val="001F30C9"/>
    <w:rsid w:val="00202D83"/>
    <w:rsid w:val="0020498A"/>
    <w:rsid w:val="0021649A"/>
    <w:rsid w:val="00226994"/>
    <w:rsid w:val="002322B6"/>
    <w:rsid w:val="0024211B"/>
    <w:rsid w:val="002522D4"/>
    <w:rsid w:val="00254477"/>
    <w:rsid w:val="002610A2"/>
    <w:rsid w:val="00261146"/>
    <w:rsid w:val="00262CF0"/>
    <w:rsid w:val="00264355"/>
    <w:rsid w:val="002651EA"/>
    <w:rsid w:val="002658D1"/>
    <w:rsid w:val="00270930"/>
    <w:rsid w:val="00275371"/>
    <w:rsid w:val="00282365"/>
    <w:rsid w:val="0028765C"/>
    <w:rsid w:val="00292DF1"/>
    <w:rsid w:val="002A5CF4"/>
    <w:rsid w:val="002B7A71"/>
    <w:rsid w:val="002C113E"/>
    <w:rsid w:val="002D043D"/>
    <w:rsid w:val="002D0E3A"/>
    <w:rsid w:val="002D2F54"/>
    <w:rsid w:val="002E1D9B"/>
    <w:rsid w:val="002E2934"/>
    <w:rsid w:val="002F2B82"/>
    <w:rsid w:val="003025D1"/>
    <w:rsid w:val="00303F42"/>
    <w:rsid w:val="00307907"/>
    <w:rsid w:val="00307CA0"/>
    <w:rsid w:val="00313171"/>
    <w:rsid w:val="0031543C"/>
    <w:rsid w:val="00320798"/>
    <w:rsid w:val="00332299"/>
    <w:rsid w:val="00335A8C"/>
    <w:rsid w:val="00345E0D"/>
    <w:rsid w:val="003502D5"/>
    <w:rsid w:val="0035440A"/>
    <w:rsid w:val="0035580E"/>
    <w:rsid w:val="003658F4"/>
    <w:rsid w:val="00370160"/>
    <w:rsid w:val="003741E8"/>
    <w:rsid w:val="00377E87"/>
    <w:rsid w:val="00384D93"/>
    <w:rsid w:val="003907C9"/>
    <w:rsid w:val="003A0827"/>
    <w:rsid w:val="003A71D4"/>
    <w:rsid w:val="003B349C"/>
    <w:rsid w:val="003C1F68"/>
    <w:rsid w:val="003C3D18"/>
    <w:rsid w:val="003C60C8"/>
    <w:rsid w:val="003D165B"/>
    <w:rsid w:val="003D7F66"/>
    <w:rsid w:val="003E179F"/>
    <w:rsid w:val="003E476A"/>
    <w:rsid w:val="003E7605"/>
    <w:rsid w:val="003F3F2F"/>
    <w:rsid w:val="003F5C97"/>
    <w:rsid w:val="00406B4B"/>
    <w:rsid w:val="00421AF0"/>
    <w:rsid w:val="004312A8"/>
    <w:rsid w:val="00432559"/>
    <w:rsid w:val="00442B40"/>
    <w:rsid w:val="00447D78"/>
    <w:rsid w:val="004574CB"/>
    <w:rsid w:val="00474300"/>
    <w:rsid w:val="00475280"/>
    <w:rsid w:val="00477D1F"/>
    <w:rsid w:val="004802D2"/>
    <w:rsid w:val="00482A29"/>
    <w:rsid w:val="00483638"/>
    <w:rsid w:val="00497B45"/>
    <w:rsid w:val="004A5908"/>
    <w:rsid w:val="004B7533"/>
    <w:rsid w:val="004D04CB"/>
    <w:rsid w:val="004D09C7"/>
    <w:rsid w:val="004F3108"/>
    <w:rsid w:val="0050750F"/>
    <w:rsid w:val="00507C92"/>
    <w:rsid w:val="00512EFA"/>
    <w:rsid w:val="0051489A"/>
    <w:rsid w:val="00515E31"/>
    <w:rsid w:val="00517B85"/>
    <w:rsid w:val="0052541C"/>
    <w:rsid w:val="005351DE"/>
    <w:rsid w:val="00540C3E"/>
    <w:rsid w:val="00546C5B"/>
    <w:rsid w:val="00557B3C"/>
    <w:rsid w:val="005629AE"/>
    <w:rsid w:val="00571016"/>
    <w:rsid w:val="00577BF7"/>
    <w:rsid w:val="00583F15"/>
    <w:rsid w:val="00596C75"/>
    <w:rsid w:val="005A3000"/>
    <w:rsid w:val="005B0346"/>
    <w:rsid w:val="005B516E"/>
    <w:rsid w:val="005D3778"/>
    <w:rsid w:val="005D6EE9"/>
    <w:rsid w:val="005E027C"/>
    <w:rsid w:val="005E1A94"/>
    <w:rsid w:val="005E5744"/>
    <w:rsid w:val="005E5B74"/>
    <w:rsid w:val="005F02BE"/>
    <w:rsid w:val="005F057C"/>
    <w:rsid w:val="005F0937"/>
    <w:rsid w:val="005F0BA9"/>
    <w:rsid w:val="005F6E86"/>
    <w:rsid w:val="005F7FB4"/>
    <w:rsid w:val="00601206"/>
    <w:rsid w:val="00604F03"/>
    <w:rsid w:val="0061011F"/>
    <w:rsid w:val="00611930"/>
    <w:rsid w:val="0061251F"/>
    <w:rsid w:val="00614094"/>
    <w:rsid w:val="0061566E"/>
    <w:rsid w:val="00624025"/>
    <w:rsid w:val="00627959"/>
    <w:rsid w:val="00660173"/>
    <w:rsid w:val="00666AF9"/>
    <w:rsid w:val="0067003D"/>
    <w:rsid w:val="00684482"/>
    <w:rsid w:val="00685B4D"/>
    <w:rsid w:val="006957EF"/>
    <w:rsid w:val="006A1F65"/>
    <w:rsid w:val="006A5C5B"/>
    <w:rsid w:val="006B4F10"/>
    <w:rsid w:val="006D1EF4"/>
    <w:rsid w:val="006E1EF0"/>
    <w:rsid w:val="006F0EC2"/>
    <w:rsid w:val="006F70BE"/>
    <w:rsid w:val="007018E1"/>
    <w:rsid w:val="00706C9F"/>
    <w:rsid w:val="007121E9"/>
    <w:rsid w:val="00716CDA"/>
    <w:rsid w:val="00732252"/>
    <w:rsid w:val="0074386C"/>
    <w:rsid w:val="007566FD"/>
    <w:rsid w:val="00767B23"/>
    <w:rsid w:val="00780134"/>
    <w:rsid w:val="007810FF"/>
    <w:rsid w:val="00793F80"/>
    <w:rsid w:val="007A6DC0"/>
    <w:rsid w:val="007B2475"/>
    <w:rsid w:val="007C2058"/>
    <w:rsid w:val="007D0F5B"/>
    <w:rsid w:val="007D71CF"/>
    <w:rsid w:val="0080678E"/>
    <w:rsid w:val="008123C7"/>
    <w:rsid w:val="00815D07"/>
    <w:rsid w:val="0082324A"/>
    <w:rsid w:val="0083424D"/>
    <w:rsid w:val="00834742"/>
    <w:rsid w:val="00846755"/>
    <w:rsid w:val="008516DC"/>
    <w:rsid w:val="0085595A"/>
    <w:rsid w:val="008571A8"/>
    <w:rsid w:val="0086706C"/>
    <w:rsid w:val="008763FD"/>
    <w:rsid w:val="008854BA"/>
    <w:rsid w:val="00894CFB"/>
    <w:rsid w:val="00896135"/>
    <w:rsid w:val="008A0F56"/>
    <w:rsid w:val="008A66AD"/>
    <w:rsid w:val="008B1C4F"/>
    <w:rsid w:val="008B2A43"/>
    <w:rsid w:val="008B34B4"/>
    <w:rsid w:val="008B668A"/>
    <w:rsid w:val="008B7737"/>
    <w:rsid w:val="008D4888"/>
    <w:rsid w:val="008D6E9B"/>
    <w:rsid w:val="008E28E0"/>
    <w:rsid w:val="00900145"/>
    <w:rsid w:val="00910818"/>
    <w:rsid w:val="00910CED"/>
    <w:rsid w:val="0092164C"/>
    <w:rsid w:val="00924A3A"/>
    <w:rsid w:val="00941CF6"/>
    <w:rsid w:val="00944609"/>
    <w:rsid w:val="00950BFA"/>
    <w:rsid w:val="0095214D"/>
    <w:rsid w:val="00952B21"/>
    <w:rsid w:val="00955807"/>
    <w:rsid w:val="00955F57"/>
    <w:rsid w:val="00963948"/>
    <w:rsid w:val="00965C89"/>
    <w:rsid w:val="0098175C"/>
    <w:rsid w:val="00985B8A"/>
    <w:rsid w:val="009912E4"/>
    <w:rsid w:val="0099154A"/>
    <w:rsid w:val="00992A10"/>
    <w:rsid w:val="00995900"/>
    <w:rsid w:val="009A5AA1"/>
    <w:rsid w:val="009B0BC5"/>
    <w:rsid w:val="009B1EC9"/>
    <w:rsid w:val="009B793C"/>
    <w:rsid w:val="009C605E"/>
    <w:rsid w:val="009D7623"/>
    <w:rsid w:val="009E0B15"/>
    <w:rsid w:val="009F33CD"/>
    <w:rsid w:val="00A0288A"/>
    <w:rsid w:val="00A03FB3"/>
    <w:rsid w:val="00A04AA4"/>
    <w:rsid w:val="00A053ED"/>
    <w:rsid w:val="00A100E6"/>
    <w:rsid w:val="00A10C22"/>
    <w:rsid w:val="00A13F3B"/>
    <w:rsid w:val="00A323B1"/>
    <w:rsid w:val="00A33AD0"/>
    <w:rsid w:val="00A507F9"/>
    <w:rsid w:val="00A6407D"/>
    <w:rsid w:val="00A76493"/>
    <w:rsid w:val="00A828FB"/>
    <w:rsid w:val="00A84692"/>
    <w:rsid w:val="00A8482D"/>
    <w:rsid w:val="00A84899"/>
    <w:rsid w:val="00A8596A"/>
    <w:rsid w:val="00A92881"/>
    <w:rsid w:val="00A9540F"/>
    <w:rsid w:val="00A97A42"/>
    <w:rsid w:val="00AA28CD"/>
    <w:rsid w:val="00AB5C3A"/>
    <w:rsid w:val="00AD1AC4"/>
    <w:rsid w:val="00AE1885"/>
    <w:rsid w:val="00AE52C9"/>
    <w:rsid w:val="00B05FFA"/>
    <w:rsid w:val="00B1378C"/>
    <w:rsid w:val="00B1421B"/>
    <w:rsid w:val="00B16FC1"/>
    <w:rsid w:val="00B2483E"/>
    <w:rsid w:val="00B3128B"/>
    <w:rsid w:val="00B31458"/>
    <w:rsid w:val="00B3489F"/>
    <w:rsid w:val="00B35695"/>
    <w:rsid w:val="00B40F4C"/>
    <w:rsid w:val="00B466CB"/>
    <w:rsid w:val="00B5355E"/>
    <w:rsid w:val="00B61B7A"/>
    <w:rsid w:val="00B641BD"/>
    <w:rsid w:val="00B64C2F"/>
    <w:rsid w:val="00B660BB"/>
    <w:rsid w:val="00B80B12"/>
    <w:rsid w:val="00BA7B22"/>
    <w:rsid w:val="00BB0698"/>
    <w:rsid w:val="00BB6F57"/>
    <w:rsid w:val="00BC73B0"/>
    <w:rsid w:val="00BD0C20"/>
    <w:rsid w:val="00BD62FA"/>
    <w:rsid w:val="00BE0DA9"/>
    <w:rsid w:val="00BE2A63"/>
    <w:rsid w:val="00BE73C8"/>
    <w:rsid w:val="00BF28AB"/>
    <w:rsid w:val="00C01C6B"/>
    <w:rsid w:val="00C02AFA"/>
    <w:rsid w:val="00C068F3"/>
    <w:rsid w:val="00C20408"/>
    <w:rsid w:val="00C25EAE"/>
    <w:rsid w:val="00C27096"/>
    <w:rsid w:val="00C45C0F"/>
    <w:rsid w:val="00C706D1"/>
    <w:rsid w:val="00C721D6"/>
    <w:rsid w:val="00C84049"/>
    <w:rsid w:val="00C86E5B"/>
    <w:rsid w:val="00C91433"/>
    <w:rsid w:val="00C96371"/>
    <w:rsid w:val="00CA18DC"/>
    <w:rsid w:val="00CA7926"/>
    <w:rsid w:val="00CB109B"/>
    <w:rsid w:val="00CB221E"/>
    <w:rsid w:val="00CD1698"/>
    <w:rsid w:val="00CE1BB8"/>
    <w:rsid w:val="00CE1FD4"/>
    <w:rsid w:val="00CE31A6"/>
    <w:rsid w:val="00CF4441"/>
    <w:rsid w:val="00CF4D6E"/>
    <w:rsid w:val="00D24F4C"/>
    <w:rsid w:val="00D31EE8"/>
    <w:rsid w:val="00D33B50"/>
    <w:rsid w:val="00D34CE2"/>
    <w:rsid w:val="00D4045F"/>
    <w:rsid w:val="00D51E11"/>
    <w:rsid w:val="00D66C5D"/>
    <w:rsid w:val="00D67DAA"/>
    <w:rsid w:val="00D90FB3"/>
    <w:rsid w:val="00D92F6D"/>
    <w:rsid w:val="00DA0C3F"/>
    <w:rsid w:val="00DA1DAD"/>
    <w:rsid w:val="00DA296D"/>
    <w:rsid w:val="00DB48DB"/>
    <w:rsid w:val="00DC4C3D"/>
    <w:rsid w:val="00DF27CD"/>
    <w:rsid w:val="00E04259"/>
    <w:rsid w:val="00E137C3"/>
    <w:rsid w:val="00E20C6C"/>
    <w:rsid w:val="00E22D72"/>
    <w:rsid w:val="00E34F3D"/>
    <w:rsid w:val="00E442DE"/>
    <w:rsid w:val="00E51F37"/>
    <w:rsid w:val="00E562D8"/>
    <w:rsid w:val="00E673A3"/>
    <w:rsid w:val="00E70841"/>
    <w:rsid w:val="00E73F9E"/>
    <w:rsid w:val="00E82A99"/>
    <w:rsid w:val="00E87FAF"/>
    <w:rsid w:val="00E9074B"/>
    <w:rsid w:val="00EA1B96"/>
    <w:rsid w:val="00EA251E"/>
    <w:rsid w:val="00EA54AA"/>
    <w:rsid w:val="00EB3D63"/>
    <w:rsid w:val="00EC0597"/>
    <w:rsid w:val="00EC6DD6"/>
    <w:rsid w:val="00ED428B"/>
    <w:rsid w:val="00ED4F63"/>
    <w:rsid w:val="00ED61AF"/>
    <w:rsid w:val="00ED6EA4"/>
    <w:rsid w:val="00ED73DD"/>
    <w:rsid w:val="00EE5314"/>
    <w:rsid w:val="00EE54E8"/>
    <w:rsid w:val="00EE55F6"/>
    <w:rsid w:val="00EF1CE8"/>
    <w:rsid w:val="00EF4A1F"/>
    <w:rsid w:val="00F04D2E"/>
    <w:rsid w:val="00F13946"/>
    <w:rsid w:val="00F230EE"/>
    <w:rsid w:val="00F24141"/>
    <w:rsid w:val="00F35434"/>
    <w:rsid w:val="00F418E2"/>
    <w:rsid w:val="00F47C1B"/>
    <w:rsid w:val="00F50779"/>
    <w:rsid w:val="00F61285"/>
    <w:rsid w:val="00F64AF4"/>
    <w:rsid w:val="00F73803"/>
    <w:rsid w:val="00F73FE0"/>
    <w:rsid w:val="00F952AD"/>
    <w:rsid w:val="00F97946"/>
    <w:rsid w:val="00FB2C9B"/>
    <w:rsid w:val="00FD1625"/>
    <w:rsid w:val="00FD351E"/>
    <w:rsid w:val="00FD55C8"/>
    <w:rsid w:val="00FE12B7"/>
    <w:rsid w:val="00FE5CFB"/>
    <w:rsid w:val="00FE76B4"/>
    <w:rsid w:val="00FF08E6"/>
    <w:rsid w:val="00FF18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104FE"/>
  <w15:chartTrackingRefBased/>
  <w15:docId w15:val="{0EA67E9A-3512-4CB1-9D30-6F0C9C737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pPr>
        <w:spacing w:before="100" w:beforeAutospacing="1" w:after="100" w:afterAutospacing="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8E6"/>
    <w:pPr>
      <w:spacing w:before="0" w:beforeAutospacing="0" w:after="0" w:afterAutospacing="0"/>
    </w:pPr>
    <w:rPr>
      <w:rFonts w:ascii="Cambria" w:eastAsia="MS Mincho" w:hAnsi="Cambria"/>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
    <w:name w:val="EndNote Bibliography"/>
    <w:basedOn w:val="Normal"/>
    <w:rsid w:val="00FF08E6"/>
    <w:pPr>
      <w:spacing w:line="480" w:lineRule="auto"/>
    </w:pPr>
    <w:rPr>
      <w:rFonts w:ascii="Times New Roman" w:hAnsi="Times New Roman"/>
    </w:rPr>
  </w:style>
  <w:style w:type="character" w:styleId="CommentReference">
    <w:name w:val="annotation reference"/>
    <w:uiPriority w:val="99"/>
    <w:semiHidden/>
    <w:rsid w:val="00FF08E6"/>
    <w:rPr>
      <w:sz w:val="18"/>
      <w:szCs w:val="18"/>
    </w:rPr>
  </w:style>
  <w:style w:type="paragraph" w:styleId="CommentText">
    <w:name w:val="annotation text"/>
    <w:basedOn w:val="Normal"/>
    <w:link w:val="CommentTextChar"/>
    <w:uiPriority w:val="99"/>
    <w:semiHidden/>
    <w:unhideWhenUsed/>
    <w:rsid w:val="00FF08E6"/>
    <w:rPr>
      <w:szCs w:val="24"/>
    </w:rPr>
  </w:style>
  <w:style w:type="character" w:customStyle="1" w:styleId="CommentTextChar">
    <w:name w:val="Comment Text Char"/>
    <w:link w:val="CommentText"/>
    <w:uiPriority w:val="99"/>
    <w:semiHidden/>
    <w:rsid w:val="00FF08E6"/>
    <w:rPr>
      <w:rFonts w:ascii="Cambria" w:eastAsia="MS Mincho" w:hAnsi="Cambria"/>
      <w:lang w:eastAsia="ja-JP"/>
    </w:rPr>
  </w:style>
  <w:style w:type="paragraph" w:styleId="CommentSubject">
    <w:name w:val="annotation subject"/>
    <w:basedOn w:val="CommentText"/>
    <w:next w:val="CommentText"/>
    <w:link w:val="CommentSubjectChar"/>
    <w:uiPriority w:val="99"/>
    <w:semiHidden/>
    <w:unhideWhenUsed/>
    <w:rsid w:val="00FF08E6"/>
    <w:rPr>
      <w:b/>
      <w:bCs/>
      <w:sz w:val="20"/>
      <w:szCs w:val="20"/>
    </w:rPr>
  </w:style>
  <w:style w:type="character" w:customStyle="1" w:styleId="CommentSubjectChar">
    <w:name w:val="Comment Subject Char"/>
    <w:link w:val="CommentSubject"/>
    <w:uiPriority w:val="99"/>
    <w:semiHidden/>
    <w:rsid w:val="00FF08E6"/>
    <w:rPr>
      <w:rFonts w:ascii="Cambria" w:eastAsia="MS Mincho" w:hAnsi="Cambria"/>
      <w:b/>
      <w:bCs/>
      <w:sz w:val="20"/>
      <w:szCs w:val="20"/>
      <w:lang w:eastAsia="ja-JP"/>
    </w:rPr>
  </w:style>
  <w:style w:type="paragraph" w:styleId="BalloonText">
    <w:name w:val="Balloon Text"/>
    <w:basedOn w:val="Normal"/>
    <w:link w:val="BalloonTextChar"/>
    <w:uiPriority w:val="99"/>
    <w:semiHidden/>
    <w:unhideWhenUsed/>
    <w:rsid w:val="00FF08E6"/>
    <w:rPr>
      <w:rFonts w:ascii="Lucida Grande" w:hAnsi="Lucida Grande" w:cs="Lucida Grande"/>
      <w:sz w:val="18"/>
      <w:szCs w:val="18"/>
    </w:rPr>
  </w:style>
  <w:style w:type="character" w:customStyle="1" w:styleId="BalloonTextChar">
    <w:name w:val="Balloon Text Char"/>
    <w:link w:val="BalloonText"/>
    <w:uiPriority w:val="99"/>
    <w:semiHidden/>
    <w:rsid w:val="00FF08E6"/>
    <w:rPr>
      <w:rFonts w:ascii="Lucida Grande" w:eastAsia="MS Mincho" w:hAnsi="Lucida Grande" w:cs="Lucida Grande"/>
      <w:sz w:val="18"/>
      <w:szCs w:val="18"/>
      <w:lang w:eastAsia="ja-JP"/>
    </w:rPr>
  </w:style>
  <w:style w:type="paragraph" w:customStyle="1" w:styleId="EndNoteBibliographyTitle">
    <w:name w:val="EndNote Bibliography Title"/>
    <w:basedOn w:val="Normal"/>
    <w:rsid w:val="00FF08E6"/>
    <w:pPr>
      <w:jc w:val="center"/>
    </w:pPr>
    <w:rPr>
      <w:rFonts w:ascii="Times New Roman" w:hAnsi="Times New Roman"/>
    </w:rPr>
  </w:style>
  <w:style w:type="paragraph" w:styleId="ListParagraph">
    <w:name w:val="List Paragraph"/>
    <w:basedOn w:val="Normal"/>
    <w:uiPriority w:val="34"/>
    <w:qFormat/>
    <w:rsid w:val="00FF08E6"/>
    <w:pPr>
      <w:ind w:left="720"/>
      <w:contextualSpacing/>
    </w:pPr>
  </w:style>
  <w:style w:type="paragraph" w:styleId="HTMLPreformatted">
    <w:name w:val="HTML Preformatted"/>
    <w:basedOn w:val="Normal"/>
    <w:link w:val="HTMLPreformattedChar"/>
    <w:uiPriority w:val="99"/>
    <w:semiHidden/>
    <w:unhideWhenUsed/>
    <w:rsid w:val="00FF08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lang w:eastAsia="en-US"/>
    </w:rPr>
  </w:style>
  <w:style w:type="character" w:customStyle="1" w:styleId="HTMLPreformattedChar">
    <w:name w:val="HTML Preformatted Char"/>
    <w:link w:val="HTMLPreformatted"/>
    <w:uiPriority w:val="99"/>
    <w:semiHidden/>
    <w:rsid w:val="00FF08E6"/>
    <w:rPr>
      <w:rFonts w:ascii="Courier New" w:eastAsia="Times New Roman" w:hAnsi="Courier New" w:cs="Courier New"/>
      <w:sz w:val="20"/>
      <w:szCs w:val="20"/>
    </w:rPr>
  </w:style>
  <w:style w:type="paragraph" w:styleId="Header">
    <w:name w:val="header"/>
    <w:basedOn w:val="Normal"/>
    <w:link w:val="HeaderChar"/>
    <w:uiPriority w:val="99"/>
    <w:unhideWhenUsed/>
    <w:rsid w:val="00FF08E6"/>
    <w:pPr>
      <w:tabs>
        <w:tab w:val="center" w:pos="4320"/>
        <w:tab w:val="right" w:pos="8640"/>
      </w:tabs>
    </w:pPr>
  </w:style>
  <w:style w:type="character" w:customStyle="1" w:styleId="HeaderChar">
    <w:name w:val="Header Char"/>
    <w:link w:val="Header"/>
    <w:uiPriority w:val="99"/>
    <w:rsid w:val="00FF08E6"/>
    <w:rPr>
      <w:rFonts w:ascii="Cambria" w:eastAsia="MS Mincho" w:hAnsi="Cambria"/>
      <w:szCs w:val="20"/>
      <w:lang w:eastAsia="ja-JP"/>
    </w:rPr>
  </w:style>
  <w:style w:type="paragraph" w:styleId="Footer">
    <w:name w:val="footer"/>
    <w:basedOn w:val="Normal"/>
    <w:link w:val="FooterChar"/>
    <w:uiPriority w:val="99"/>
    <w:unhideWhenUsed/>
    <w:rsid w:val="00FF08E6"/>
    <w:pPr>
      <w:tabs>
        <w:tab w:val="center" w:pos="4320"/>
        <w:tab w:val="right" w:pos="8640"/>
      </w:tabs>
    </w:pPr>
  </w:style>
  <w:style w:type="character" w:customStyle="1" w:styleId="FooterChar">
    <w:name w:val="Footer Char"/>
    <w:link w:val="Footer"/>
    <w:uiPriority w:val="99"/>
    <w:rsid w:val="00FF08E6"/>
    <w:rPr>
      <w:rFonts w:ascii="Cambria" w:eastAsia="MS Mincho" w:hAnsi="Cambria"/>
      <w:szCs w:val="20"/>
      <w:lang w:eastAsia="ja-JP"/>
    </w:rPr>
  </w:style>
  <w:style w:type="character" w:styleId="PageNumber">
    <w:name w:val="page number"/>
    <w:basedOn w:val="DefaultParagraphFont"/>
    <w:uiPriority w:val="99"/>
    <w:semiHidden/>
    <w:unhideWhenUsed/>
    <w:rsid w:val="00FF08E6"/>
  </w:style>
  <w:style w:type="character" w:styleId="LineNumber">
    <w:name w:val="line number"/>
    <w:basedOn w:val="DefaultParagraphFont"/>
    <w:uiPriority w:val="99"/>
    <w:semiHidden/>
    <w:unhideWhenUsed/>
    <w:rsid w:val="00FF08E6"/>
  </w:style>
  <w:style w:type="character" w:styleId="Hyperlink">
    <w:name w:val="Hyperlink"/>
    <w:uiPriority w:val="99"/>
    <w:rsid w:val="00FF08E6"/>
    <w:rPr>
      <w:rFonts w:cs="Times New Roman"/>
      <w:color w:val="0000FF"/>
      <w:u w:val="single"/>
    </w:rPr>
  </w:style>
  <w:style w:type="paragraph" w:styleId="Revision">
    <w:name w:val="Revision"/>
    <w:hidden/>
    <w:uiPriority w:val="99"/>
    <w:semiHidden/>
    <w:rsid w:val="00FF08E6"/>
    <w:pPr>
      <w:spacing w:before="0" w:beforeAutospacing="0" w:after="0" w:afterAutospacing="0"/>
    </w:pPr>
    <w:rPr>
      <w:rFonts w:ascii="Cambria" w:eastAsia="MS Mincho" w:hAnsi="Cambria"/>
      <w:szCs w:val="20"/>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531953">
      <w:bodyDiv w:val="1"/>
      <w:marLeft w:val="0"/>
      <w:marRight w:val="0"/>
      <w:marTop w:val="0"/>
      <w:marBottom w:val="0"/>
      <w:divBdr>
        <w:top w:val="none" w:sz="0" w:space="0" w:color="auto"/>
        <w:left w:val="none" w:sz="0" w:space="0" w:color="auto"/>
        <w:bottom w:val="none" w:sz="0" w:space="0" w:color="auto"/>
        <w:right w:val="none" w:sz="0" w:space="0" w:color="auto"/>
      </w:divBdr>
    </w:div>
    <w:div w:id="323046663">
      <w:bodyDiv w:val="1"/>
      <w:marLeft w:val="0"/>
      <w:marRight w:val="0"/>
      <w:marTop w:val="0"/>
      <w:marBottom w:val="0"/>
      <w:divBdr>
        <w:top w:val="none" w:sz="0" w:space="0" w:color="auto"/>
        <w:left w:val="none" w:sz="0" w:space="0" w:color="auto"/>
        <w:bottom w:val="none" w:sz="0" w:space="0" w:color="auto"/>
        <w:right w:val="none" w:sz="0" w:space="0" w:color="auto"/>
      </w:divBdr>
    </w:div>
    <w:div w:id="503280708">
      <w:bodyDiv w:val="1"/>
      <w:marLeft w:val="0"/>
      <w:marRight w:val="0"/>
      <w:marTop w:val="0"/>
      <w:marBottom w:val="0"/>
      <w:divBdr>
        <w:top w:val="none" w:sz="0" w:space="0" w:color="auto"/>
        <w:left w:val="none" w:sz="0" w:space="0" w:color="auto"/>
        <w:bottom w:val="none" w:sz="0" w:space="0" w:color="auto"/>
        <w:right w:val="none" w:sz="0" w:space="0" w:color="auto"/>
      </w:divBdr>
    </w:div>
    <w:div w:id="786699996">
      <w:bodyDiv w:val="1"/>
      <w:marLeft w:val="0"/>
      <w:marRight w:val="0"/>
      <w:marTop w:val="0"/>
      <w:marBottom w:val="0"/>
      <w:divBdr>
        <w:top w:val="none" w:sz="0" w:space="0" w:color="auto"/>
        <w:left w:val="none" w:sz="0" w:space="0" w:color="auto"/>
        <w:bottom w:val="none" w:sz="0" w:space="0" w:color="auto"/>
        <w:right w:val="none" w:sz="0" w:space="0" w:color="auto"/>
      </w:divBdr>
    </w:div>
    <w:div w:id="1135636137">
      <w:bodyDiv w:val="1"/>
      <w:marLeft w:val="0"/>
      <w:marRight w:val="0"/>
      <w:marTop w:val="0"/>
      <w:marBottom w:val="0"/>
      <w:divBdr>
        <w:top w:val="none" w:sz="0" w:space="0" w:color="auto"/>
        <w:left w:val="none" w:sz="0" w:space="0" w:color="auto"/>
        <w:bottom w:val="none" w:sz="0" w:space="0" w:color="auto"/>
        <w:right w:val="none" w:sz="0" w:space="0" w:color="auto"/>
      </w:divBdr>
    </w:div>
    <w:div w:id="1197936557">
      <w:bodyDiv w:val="1"/>
      <w:marLeft w:val="0"/>
      <w:marRight w:val="0"/>
      <w:marTop w:val="0"/>
      <w:marBottom w:val="0"/>
      <w:divBdr>
        <w:top w:val="none" w:sz="0" w:space="0" w:color="auto"/>
        <w:left w:val="none" w:sz="0" w:space="0" w:color="auto"/>
        <w:bottom w:val="none" w:sz="0" w:space="0" w:color="auto"/>
        <w:right w:val="none" w:sz="0" w:space="0" w:color="auto"/>
      </w:divBdr>
    </w:div>
    <w:div w:id="1460609494">
      <w:bodyDiv w:val="1"/>
      <w:marLeft w:val="0"/>
      <w:marRight w:val="0"/>
      <w:marTop w:val="0"/>
      <w:marBottom w:val="0"/>
      <w:divBdr>
        <w:top w:val="none" w:sz="0" w:space="0" w:color="auto"/>
        <w:left w:val="none" w:sz="0" w:space="0" w:color="auto"/>
        <w:bottom w:val="none" w:sz="0" w:space="0" w:color="auto"/>
        <w:right w:val="none" w:sz="0" w:space="0" w:color="auto"/>
      </w:divBdr>
    </w:div>
    <w:div w:id="1522471219">
      <w:bodyDiv w:val="1"/>
      <w:marLeft w:val="0"/>
      <w:marRight w:val="0"/>
      <w:marTop w:val="0"/>
      <w:marBottom w:val="0"/>
      <w:divBdr>
        <w:top w:val="none" w:sz="0" w:space="0" w:color="auto"/>
        <w:left w:val="none" w:sz="0" w:space="0" w:color="auto"/>
        <w:bottom w:val="none" w:sz="0" w:space="0" w:color="auto"/>
        <w:right w:val="none" w:sz="0" w:space="0" w:color="auto"/>
      </w:divBdr>
    </w:div>
    <w:div w:id="1819956154">
      <w:bodyDiv w:val="1"/>
      <w:marLeft w:val="0"/>
      <w:marRight w:val="0"/>
      <w:marTop w:val="0"/>
      <w:marBottom w:val="0"/>
      <w:divBdr>
        <w:top w:val="none" w:sz="0" w:space="0" w:color="auto"/>
        <w:left w:val="none" w:sz="0" w:space="0" w:color="auto"/>
        <w:bottom w:val="none" w:sz="0" w:space="0" w:color="auto"/>
        <w:right w:val="none" w:sz="0" w:space="0" w:color="auto"/>
      </w:divBdr>
    </w:div>
    <w:div w:id="194650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otnick@uic.edu" TargetMode="External"/><Relationship Id="rId13" Type="http://schemas.openxmlformats.org/officeDocument/2006/relationships/image" Target="media/image4.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5061/dryad.8gd1653" TargetMode="External"/><Relationship Id="rId14" Type="http://schemas.openxmlformats.org/officeDocument/2006/relationships/image" Target="media/image5.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FA0F6B-508E-4DC2-8869-72FE7C1F4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27037</Words>
  <Characters>154111</Characters>
  <Application>Microsoft Office Word</Application>
  <DocSecurity>0</DocSecurity>
  <Lines>1284</Lines>
  <Paragraphs>361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Plotnick, Roy E</dc:creator>
  <cp:keywords/>
  <dc:description/>
  <cp:lastModifiedBy>Macatangay, Joy A</cp:lastModifiedBy>
  <cp:revision>2</cp:revision>
  <cp:lastPrinted>2018-02-02T18:34:00Z</cp:lastPrinted>
  <dcterms:created xsi:type="dcterms:W3CDTF">2018-10-26T19:14:00Z</dcterms:created>
  <dcterms:modified xsi:type="dcterms:W3CDTF">2018-10-26T19:14:00Z</dcterms:modified>
</cp:coreProperties>
</file>