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B9DD4" w14:textId="77777777" w:rsidR="00E47EA1" w:rsidRPr="00650B69" w:rsidRDefault="00E47EA1" w:rsidP="00E47EA1">
      <w:pPr>
        <w:pStyle w:val="BATitle"/>
      </w:pPr>
      <w:r w:rsidRPr="00650B69">
        <w:t>Vibrational circular dichroism sheds new light on the competitive effects of crowding and β-</w:t>
      </w:r>
      <w:proofErr w:type="spellStart"/>
      <w:r w:rsidRPr="00650B69">
        <w:t>synuclein</w:t>
      </w:r>
      <w:proofErr w:type="spellEnd"/>
      <w:r w:rsidRPr="00650B69">
        <w:t xml:space="preserve"> on the fibrillation process of α-</w:t>
      </w:r>
      <w:proofErr w:type="spellStart"/>
      <w:r w:rsidRPr="00650B69">
        <w:t>synuclein</w:t>
      </w:r>
      <w:proofErr w:type="spellEnd"/>
    </w:p>
    <w:p w14:paraId="1AD2C7ED" w14:textId="77777777" w:rsidR="0073725D" w:rsidRPr="00650B69" w:rsidRDefault="0073725D" w:rsidP="0073725D">
      <w:pPr>
        <w:spacing w:line="480" w:lineRule="auto"/>
        <w:rPr>
          <w:rFonts w:ascii="Times New Roman" w:hAnsi="Times New Roman"/>
          <w:lang w:val="nl-BE"/>
        </w:rPr>
      </w:pPr>
      <w:r w:rsidRPr="00650B69">
        <w:rPr>
          <w:rFonts w:ascii="Arno Pro" w:hAnsi="Arno Pro"/>
          <w:kern w:val="26"/>
          <w:lang w:val="nl-BE"/>
        </w:rPr>
        <w:t>Evelien Van de Vondel</w:t>
      </w:r>
      <w:r w:rsidRPr="00650B69">
        <w:rPr>
          <w:rFonts w:ascii="Arno Pro" w:hAnsi="Arno Pro"/>
          <w:kern w:val="26"/>
          <w:vertAlign w:val="superscript"/>
          <w:lang w:val="nl-BE"/>
        </w:rPr>
        <w:t>1</w:t>
      </w:r>
      <w:r w:rsidRPr="00650B69">
        <w:rPr>
          <w:rFonts w:ascii="Arno Pro" w:hAnsi="Arno Pro"/>
          <w:kern w:val="26"/>
          <w:lang w:val="nl-BE"/>
        </w:rPr>
        <w:t>, Pieter Baatsen</w:t>
      </w:r>
      <w:r w:rsidRPr="00650B69">
        <w:rPr>
          <w:rFonts w:ascii="Arno Pro" w:hAnsi="Arno Pro"/>
          <w:kern w:val="26"/>
          <w:vertAlign w:val="superscript"/>
          <w:lang w:val="nl-BE"/>
        </w:rPr>
        <w:t>2</w:t>
      </w:r>
      <w:r w:rsidRPr="00650B69">
        <w:rPr>
          <w:rFonts w:ascii="Arno Pro" w:hAnsi="Arno Pro"/>
          <w:kern w:val="26"/>
          <w:lang w:val="nl-BE"/>
        </w:rPr>
        <w:t>, Roos Van Elzen</w:t>
      </w:r>
      <w:r w:rsidRPr="00650B69">
        <w:rPr>
          <w:rFonts w:ascii="Arno Pro" w:hAnsi="Arno Pro"/>
          <w:kern w:val="26"/>
          <w:vertAlign w:val="superscript"/>
          <w:lang w:val="nl-BE"/>
        </w:rPr>
        <w:t>3</w:t>
      </w:r>
      <w:r w:rsidRPr="00650B69">
        <w:rPr>
          <w:rFonts w:ascii="Arno Pro" w:hAnsi="Arno Pro"/>
          <w:kern w:val="26"/>
          <w:lang w:val="nl-BE"/>
        </w:rPr>
        <w:t>, Anne-Marie Lambeir</w:t>
      </w:r>
      <w:r w:rsidRPr="00650B69">
        <w:rPr>
          <w:rFonts w:ascii="Arno Pro" w:hAnsi="Arno Pro"/>
          <w:kern w:val="26"/>
          <w:vertAlign w:val="superscript"/>
          <w:lang w:val="nl-BE"/>
        </w:rPr>
        <w:t>3</w:t>
      </w:r>
      <w:r w:rsidRPr="00650B69">
        <w:rPr>
          <w:rFonts w:ascii="Arno Pro" w:hAnsi="Arno Pro"/>
          <w:kern w:val="26"/>
          <w:lang w:val="nl-BE"/>
        </w:rPr>
        <w:t>, Timothy A. Keiderling</w:t>
      </w:r>
      <w:r w:rsidRPr="00650B69">
        <w:rPr>
          <w:rFonts w:ascii="Arno Pro" w:hAnsi="Arno Pro"/>
          <w:kern w:val="26"/>
          <w:vertAlign w:val="superscript"/>
          <w:lang w:val="nl-BE"/>
        </w:rPr>
        <w:t>4</w:t>
      </w:r>
      <w:r w:rsidRPr="00650B69">
        <w:rPr>
          <w:rFonts w:ascii="Arno Pro" w:hAnsi="Arno Pro"/>
          <w:kern w:val="26"/>
          <w:lang w:val="nl-BE"/>
        </w:rPr>
        <w:t>, Wouter Herrebout</w:t>
      </w:r>
      <w:r w:rsidRPr="00650B69">
        <w:rPr>
          <w:rFonts w:ascii="Arno Pro" w:hAnsi="Arno Pro"/>
          <w:kern w:val="26"/>
          <w:vertAlign w:val="superscript"/>
          <w:lang w:val="nl-BE"/>
        </w:rPr>
        <w:t>1</w:t>
      </w:r>
      <w:r w:rsidRPr="00650B69">
        <w:rPr>
          <w:rFonts w:ascii="Arno Pro" w:hAnsi="Arno Pro"/>
          <w:kern w:val="26"/>
          <w:lang w:val="nl-BE"/>
        </w:rPr>
        <w:t>*, Christian Johannessen</w:t>
      </w:r>
      <w:r w:rsidRPr="00650B69">
        <w:rPr>
          <w:rFonts w:ascii="Arno Pro" w:hAnsi="Arno Pro"/>
          <w:kern w:val="26"/>
          <w:vertAlign w:val="superscript"/>
          <w:lang w:val="nl-BE"/>
        </w:rPr>
        <w:t>1</w:t>
      </w:r>
      <w:r w:rsidRPr="00650B69">
        <w:rPr>
          <w:rFonts w:ascii="Times New Roman" w:hAnsi="Times New Roman"/>
          <w:lang w:val="nl-BE"/>
        </w:rPr>
        <w:t>*</w:t>
      </w:r>
    </w:p>
    <w:p w14:paraId="234C96E2" w14:textId="77777777" w:rsidR="00636745" w:rsidRPr="00650B69" w:rsidRDefault="00636745" w:rsidP="00636745">
      <w:pPr>
        <w:pStyle w:val="BCAuthorAddress"/>
      </w:pPr>
      <w:r w:rsidRPr="00650B69">
        <w:rPr>
          <w:vertAlign w:val="superscript"/>
        </w:rPr>
        <w:t>1</w:t>
      </w:r>
      <w:r w:rsidRPr="00650B69">
        <w:t>Molecular Spectroscopy Group, Department of Chemistry, University of Antwerp, Belgium</w:t>
      </w:r>
    </w:p>
    <w:p w14:paraId="4C451007" w14:textId="77777777" w:rsidR="00636745" w:rsidRPr="00650B69" w:rsidRDefault="00636745" w:rsidP="00636745">
      <w:pPr>
        <w:pStyle w:val="BCAuthorAddress"/>
      </w:pPr>
      <w:r w:rsidRPr="00650B69">
        <w:rPr>
          <w:vertAlign w:val="superscript"/>
        </w:rPr>
        <w:t>2</w:t>
      </w:r>
      <w:r w:rsidRPr="00650B69">
        <w:t>VIB-KU Leuven Center for Brain &amp; Disease Research, Belgium and VIB-KU Leuven Bio Imaging Core</w:t>
      </w:r>
    </w:p>
    <w:p w14:paraId="1084B1AA" w14:textId="77777777" w:rsidR="00636745" w:rsidRPr="00650B69" w:rsidRDefault="00636745" w:rsidP="00636745">
      <w:pPr>
        <w:pStyle w:val="BCAuthorAddress"/>
      </w:pPr>
      <w:r w:rsidRPr="00650B69">
        <w:rPr>
          <w:vertAlign w:val="superscript"/>
        </w:rPr>
        <w:t>3</w:t>
      </w:r>
      <w:r w:rsidRPr="00650B69">
        <w:t>Laboratory of Medical Biochemistry, Department of Pharmacy, University of Antwerp, Belgium</w:t>
      </w:r>
    </w:p>
    <w:p w14:paraId="4DA0876C" w14:textId="77777777" w:rsidR="00636745" w:rsidRPr="00650B69" w:rsidRDefault="00636745" w:rsidP="00636745">
      <w:pPr>
        <w:pStyle w:val="BCAuthorAddress"/>
      </w:pPr>
      <w:r w:rsidRPr="00650B69">
        <w:rPr>
          <w:vertAlign w:val="superscript"/>
        </w:rPr>
        <w:t>4</w:t>
      </w:r>
      <w:r w:rsidRPr="00650B69">
        <w:t>Department of Chemistry, University of Illinois at Chicago, Chicago, USA</w:t>
      </w:r>
    </w:p>
    <w:p w14:paraId="22780AB6" w14:textId="77777777" w:rsidR="00A66EDD" w:rsidRPr="00650B69" w:rsidRDefault="00A66EDD" w:rsidP="007F6792">
      <w:pPr>
        <w:pStyle w:val="StyleBIEmailAddress95pt"/>
        <w:sectPr w:rsidR="00A66EDD" w:rsidRPr="00650B69" w:rsidSect="00984F9E">
          <w:footerReference w:type="even" r:id="rId8"/>
          <w:footerReference w:type="default" r:id="rId9"/>
          <w:type w:val="continuous"/>
          <w:pgSz w:w="12240" w:h="15840" w:code="1"/>
          <w:pgMar w:top="720" w:right="1094" w:bottom="720" w:left="1094" w:header="720" w:footer="720" w:gutter="0"/>
          <w:cols w:space="720"/>
          <w:titlePg/>
        </w:sectPr>
      </w:pPr>
    </w:p>
    <w:p w14:paraId="723F9EBD" w14:textId="77777777" w:rsidR="00552A07" w:rsidRPr="00650B69" w:rsidRDefault="00636745" w:rsidP="00636745">
      <w:pPr>
        <w:pStyle w:val="BDAbstract"/>
      </w:pPr>
      <w:r w:rsidRPr="00650B69">
        <w:t xml:space="preserve">The effects of crowding, using the crowding agent </w:t>
      </w:r>
      <w:proofErr w:type="spellStart"/>
      <w:r w:rsidRPr="00650B69">
        <w:t>Ficoll</w:t>
      </w:r>
      <w:proofErr w:type="spellEnd"/>
      <w:r w:rsidRPr="00650B69">
        <w:t xml:space="preserve"> 70, and the presence of beta-</w:t>
      </w:r>
      <w:proofErr w:type="spellStart"/>
      <w:r w:rsidRPr="00650B69">
        <w:t>synuclein</w:t>
      </w:r>
      <w:proofErr w:type="spellEnd"/>
      <w:r w:rsidRPr="00650B69">
        <w:t xml:space="preserve"> on the fibrillation process of alpha-</w:t>
      </w:r>
      <w:proofErr w:type="spellStart"/>
      <w:r w:rsidRPr="00650B69">
        <w:t>synuclein</w:t>
      </w:r>
      <w:proofErr w:type="spellEnd"/>
      <w:r w:rsidRPr="00650B69">
        <w:t xml:space="preserve"> were studied by spectroscopic techniques, transmission electron microscopy and </w:t>
      </w:r>
      <w:proofErr w:type="spellStart"/>
      <w:r w:rsidRPr="00650B69">
        <w:t>ThT</w:t>
      </w:r>
      <w:proofErr w:type="spellEnd"/>
      <w:r w:rsidRPr="00650B69">
        <w:t>-assays. This combined approach, where all techniques were applied to the same original sample, generated an unprecedented understanding of the effects of these modifying agents on the morphological properties of the fibrils. Separately, crowding gives rise to shorter mutually aligned fibrils while beta-</w:t>
      </w:r>
      <w:proofErr w:type="spellStart"/>
      <w:r w:rsidRPr="00650B69">
        <w:t>synuclein</w:t>
      </w:r>
      <w:proofErr w:type="spellEnd"/>
      <w:r w:rsidRPr="00650B69">
        <w:t xml:space="preserve"> leads to branched, short fibrils. The combination of both effects leads to short, branched, mutually aligned fibrils. Moreover, it is shown that the non-destructive technique of vibrational circular dichroism is extremely sensitive towards the length and the higher order morphology of the fibrils. </w:t>
      </w:r>
    </w:p>
    <w:p w14:paraId="0DB9A276" w14:textId="77777777" w:rsidR="004E35E0" w:rsidRPr="00650B69" w:rsidRDefault="004E35E0" w:rsidP="002D218C">
      <w:pPr>
        <w:pStyle w:val="TAMainText"/>
        <w:sectPr w:rsidR="004E35E0" w:rsidRPr="00650B69" w:rsidSect="004E35E0">
          <w:type w:val="continuous"/>
          <w:pgSz w:w="12240" w:h="15840"/>
          <w:pgMar w:top="720" w:right="1094" w:bottom="720" w:left="1094" w:header="720" w:footer="720" w:gutter="0"/>
          <w:cols w:space="461"/>
        </w:sectPr>
      </w:pPr>
    </w:p>
    <w:p w14:paraId="259A4EA1" w14:textId="77777777" w:rsidR="00F57B9B" w:rsidRPr="00650B69" w:rsidRDefault="00F57B9B" w:rsidP="002D218C">
      <w:pPr>
        <w:pStyle w:val="TAMainText"/>
      </w:pPr>
      <w:r w:rsidRPr="00650B69">
        <w:t>INTRODUCTION</w:t>
      </w:r>
    </w:p>
    <w:p w14:paraId="2BC72E16" w14:textId="77777777" w:rsidR="00760E42" w:rsidRPr="00650B69" w:rsidRDefault="00760E42" w:rsidP="002D218C">
      <w:pPr>
        <w:pStyle w:val="TAMainText"/>
      </w:pPr>
      <w:r w:rsidRPr="00650B69">
        <w:t>Aggregates having alpha-</w:t>
      </w:r>
      <w:proofErr w:type="spellStart"/>
      <w:r w:rsidRPr="00650B69">
        <w:t>synuclein</w:t>
      </w:r>
      <w:proofErr w:type="spellEnd"/>
      <w:r w:rsidRPr="00650B69">
        <w:t xml:space="preserve"> (</w:t>
      </w:r>
      <w:proofErr w:type="spellStart"/>
      <w:r w:rsidRPr="00650B69">
        <w:t>asyn</w:t>
      </w:r>
      <w:proofErr w:type="spellEnd"/>
      <w:r w:rsidRPr="00650B69">
        <w:t>) as a key component occur in a number of neurodegenerative diseases, including Parkinson’s disease.</w:t>
      </w:r>
      <w:r w:rsidR="00B65654" w:rsidRPr="00650B69">
        <w:fldChar w:fldCharType="begin" w:fldLock="1"/>
      </w:r>
      <w:r w:rsidR="002B33FF" w:rsidRPr="00650B69">
        <w:instrText>ADDIN CSL_CITATION {"citationItems":[{"id":"ITEM-1","itemData":{"DOI":"10.1016/j.molbrainres.2004.09.001","ISBN":"0169-328X","ISSN":"0169328X","PMID":"15790525","abstract":"Biochemcal and genetic evidence point towards ??-synuclein aggregation as having a pivotal role in the onset and progression of several neurodegenerative disorders, including Parkinson's disease, multiple system atrophy and Lewy body dementia. We review recent data on how ??-synuclein aggregates may impact on cellular homeostatic mechanisms including cellular transport and degradation and transcriptional regulation. ??-Synuclein aggregates can exist as several molecular species and their different features are discussed in the context of the methodologies used for their study and the many chemical and physical factors that influence their formation. ?? 2004 Elsevier B.V. All rights reserved.","author":[{"dropping-particle":"","family":"Lundvig","given":"Ditte","non-dropping-particle":"","parse-names":false,"suffix":""},{"dropping-particle":"","family":"Lindersson","given":"Evo","non-dropping-particle":"","parse-names":false,"suffix":""},{"dropping-particle":"","family":"Jensen","given":"Poul Henning","non-dropping-particle":"","parse-names":false,"suffix":""}],"container-title":"Molecular Brain Research","id":"ITEM-1","issue":"1","issued":{"date-parts":[["2005"]]},"page":"3-17","title":"Pathogenic effects of alpha-synuclein aggregation","type":"article-journal","volume":"134"},"uris":["http://www.mendeley.com/documents/?uuid=dd3ff350-c39d-44f9-8c7b-8c3dd102c916"]},{"id":"ITEM-2","itemData":{"DOI":"10.1038/3311","ISBN":"1078-8956","ISSN":"1078-8956","PMID":"9809558","abstract":"Two mutations in the gene encoding alpha-synuclein have been linked to early-onset Parkinson's disease (PD). alpha-Synuclein is a component of Lewy bodies, the fibrous cytoplasmic inclusions characteristic of nigral dopaminergic neurons in the PD brain. This connection between genetics and pathology suggests that the alpha-synuclein mutations may promote PD pathogenesis by accelerating Lewy body formation. To test this, we studied alpha-synuclein folding and aggregation in vitro, in the absence of other Lewy body-associated molecules. We demonstrate here that both mutant forms of alpha-synuclein (A53T and A30P) are, like wild-type alpha-synuclein (WT), disordered in dilute solution. However, at higher concentrations, Lewy body-like fibrils and discrete spherical assemblies are formed; most rapidly by A53T. Thus, mutation-induced acceleration of alpha-synuclein fibril formation may contribute to the early onset of familial PD.","author":[{"dropping-particle":"","family":"Conway","given":"K. A.","non-dropping-particle":"","parse-names":false,"suffix":""},{"dropping-particle":"","family":"Harper","given":"J. D.","non-dropping-particle":"","parse-names":false,"suffix":""},{"dropping-particle":"","family":"Lansbury","given":"P. T.","non-dropping-particle":"","parse-names":false,"suffix":""}],"container-title":"Nature medicine","id":"ITEM-2","issue":"11","issued":{"date-parts":[["1998"]]},"page":"1318-1320","title":"Accelerated in vitro fibril formation by a mutant alpha-synuclein linked to early-onset Parkinson disease.","type":"article-journal","volume":"4"},"uris":["http://www.mendeley.com/documents/?uuid=dba724d6-c31f-4a63-9f03-bc19b832510c"]}],"mendeley":{"formattedCitation":"&lt;sup&gt;1,2&lt;/sup&gt;","plainTextFormattedCitation":"1,2","previouslyFormattedCitation":"&lt;sup&gt;1,2&lt;/sup&gt;"},"properties":{"noteIndex":0},"schema":"https://github.com/citation-style-language/schema/raw/master/csl-citation.json"}</w:instrText>
      </w:r>
      <w:r w:rsidR="00B65654" w:rsidRPr="00650B69">
        <w:fldChar w:fldCharType="separate"/>
      </w:r>
      <w:r w:rsidR="00B65654" w:rsidRPr="00650B69">
        <w:rPr>
          <w:noProof/>
          <w:vertAlign w:val="superscript"/>
        </w:rPr>
        <w:t>1,2</w:t>
      </w:r>
      <w:r w:rsidR="00B65654" w:rsidRPr="00650B69">
        <w:fldChar w:fldCharType="end"/>
      </w:r>
      <w:r w:rsidRPr="00650B69">
        <w:t xml:space="preserve"> In vitro, monomeric </w:t>
      </w:r>
      <w:proofErr w:type="spellStart"/>
      <w:r w:rsidRPr="00650B69">
        <w:t>asyn</w:t>
      </w:r>
      <w:proofErr w:type="spellEnd"/>
      <w:r w:rsidRPr="00650B69">
        <w:t xml:space="preserve"> is found to be intrinsically disordered</w:t>
      </w:r>
      <w:r w:rsidR="00B65654" w:rsidRPr="00650B69">
        <w:fldChar w:fldCharType="begin" w:fldLock="1"/>
      </w:r>
      <w:r w:rsidR="002B33FF" w:rsidRPr="00650B69">
        <w:instrText>ADDIN CSL_CITATION {"citationItems":[{"id":"ITEM-1","itemData":{"DOI":"10.1002/anie.201308272\\r10.4161/idp.26255","ISBN":"2169-0693 (Print)","ISSN":"2169-0707","PMID":"24634806","abstract":"alpha-synuclein, a presynaptic protein of poorly defined function, constitutes the main component of Parkinson disease-associated Lewy bodies. Extensive biophysical investigations have provided evidence that isolated alpha-synuclein is an intrinsically disordered protein (IDP) in vitro. Subsequently serving as a model IDP in numerous studies, alpha-synuclein has aided in the development of many technologies used to characterize IDPs and arguably represents the most thoroughly analyzed IDP to date. Recent reports, however, have challenged the disordered nature of alpha-synuclein inside cells and have instead proposed a physiologically relevant helical tetramer. Despite alpha-synuclein's rich biophysical history, a single coherent picture has not yet emerged concerning its in vivo structure, dynamics, and physiological role(s). We present herein a review of the biophysical discoveries, developments, and models pertinent to the characterization of alpha-synuclein's structure and analysis of the native tetramer controversy.","author":[{"dropping-particle":"","family":"Alderson","given":"T. Reid","non-dropping-particle":"","parse-names":false,"suffix":""},{"dropping-particle":"","family":"Markley","given":"John L.","non-dropping-particle":"","parse-names":false,"suffix":""}],"container-title":"Intrinsically Disordered Proteins","id":"ITEM-1","issue":"1","issued":{"date-parts":[["2013"]]},"page":"18-39","title":"Biophysical characterization of alpha-synuclein and its controversial structure","type":"article-journal","volume":"1"},"uris":["http://www.mendeley.com/documents/?uuid=92de6fea-72e4-4287-9878-d1a514452ac0"]}],"mendeley":{"formattedCitation":"&lt;sup&gt;3&lt;/sup&gt;","plainTextFormattedCitation":"3","previouslyFormattedCitation":"&lt;sup&gt;3&lt;/sup&gt;"},"properties":{"noteIndex":0},"schema":"https://github.com/citation-style-language/schema/raw/master/csl-citation.json"}</w:instrText>
      </w:r>
      <w:r w:rsidR="00B65654" w:rsidRPr="00650B69">
        <w:fldChar w:fldCharType="separate"/>
      </w:r>
      <w:r w:rsidR="00B65654" w:rsidRPr="00650B69">
        <w:rPr>
          <w:noProof/>
          <w:vertAlign w:val="superscript"/>
        </w:rPr>
        <w:t>3</w:t>
      </w:r>
      <w:r w:rsidR="00B65654" w:rsidRPr="00650B69">
        <w:fldChar w:fldCharType="end"/>
      </w:r>
      <w:r w:rsidRPr="00650B69">
        <w:t>, but it can undergo structural change in defined conditions to a form with a high beta-sheet structural content, inducing the formation of fibrils.</w:t>
      </w:r>
      <w:r w:rsidR="00B65654" w:rsidRPr="00650B69">
        <w:fldChar w:fldCharType="begin" w:fldLock="1"/>
      </w:r>
      <w:r w:rsidR="002B33FF" w:rsidRPr="00650B69">
        <w:instrText>ADDIN CSL_CITATION {"citationItems":[{"id":"ITEM-1","itemData":{"DOI":"10.1016/j.bbadis.2011.10.002","ISBN":"0925-4439","ISSN":"09254439","PMID":"22024360","abstract":"Substantial evidence links ??-synuclein, a small highly conserved presynaptic protein with unknown function, to both familial and sporadic Parkinson's disease (PD). ??-Synuclein has been identified as the major component of Lewy bodies and Lewy neurites, the characteristic proteinaceous deposits that are the hallmarks of PD. ??-Synuclein is a typical intrinsically disordered protein, but can adopt a number of different conformational states depending on conditions and cofactors. These include the helical membrane-bound form, a partially-folded state that is a key intermediate in aggregation and fibrillation, various oligomeric species, and fibrillar and amorphous aggregates. The molecular basis of PD appears to be tightly coupled to the aggregation of ??-synuclein and the factors that affect its conformation. This review examines the different aggregation states of ??-synuclein, the molecular mechanism of its aggregation, and the influence of environmental and genetic factors on this process. ?? 2011 Elsevier B.V.","author":[{"dropping-particle":"","family":"Breydo","given":"Leonid","non-dropping-particle":"","parse-names":false,"suffix":""},{"dropping-particle":"","family":"Wu","given":"Jessica W.","non-dropping-particle":"","parse-names":false,"suffix":""},{"dropping-particle":"","family":"Uversky","given":"Vladimir N.","non-dropping-particle":"","parse-names":false,"suffix":""}],"container-title":"Biochimica et Biophysica Acta","id":"ITEM-1","issued":{"date-parts":[["2012"]]},"page":"261-285","publisher":"Elsevier B.V.","title":"Alpha-synuclein misfolding and Parkinson's disease","type":"article-journal","volume":"1822"},"uris":["http://www.mendeley.com/documents/?uuid=b3556dd2-54ce-4d2e-9670-f85eb29876cd"]}],"mendeley":{"formattedCitation":"&lt;sup&gt;4&lt;/sup&gt;","plainTextFormattedCitation":"4","previouslyFormattedCitation":"&lt;sup&gt;4&lt;/sup&gt;"},"properties":{"noteIndex":0},"schema":"https://github.com/citation-style-language/schema/raw/master/csl-citation.json"}</w:instrText>
      </w:r>
      <w:r w:rsidR="00B65654" w:rsidRPr="00650B69">
        <w:fldChar w:fldCharType="separate"/>
      </w:r>
      <w:r w:rsidR="00B65654" w:rsidRPr="00650B69">
        <w:rPr>
          <w:noProof/>
          <w:vertAlign w:val="superscript"/>
        </w:rPr>
        <w:t>4</w:t>
      </w:r>
      <w:r w:rsidR="00B65654" w:rsidRPr="00650B69">
        <w:fldChar w:fldCharType="end"/>
      </w:r>
      <w:r w:rsidRPr="00650B69">
        <w:t xml:space="preserve"> The formation of these fibrils, and possible inhibitors or promotors of that process, are of high interest, as interference with this process could prevent the formation of aggregates, hence obstructing the onset of disease.</w:t>
      </w:r>
      <w:r w:rsidRPr="00650B69">
        <w:fldChar w:fldCharType="begin" w:fldLock="1"/>
      </w:r>
      <w:r w:rsidR="002B33FF" w:rsidRPr="00650B69">
        <w:instrText>ADDIN CSL_CITATION {"citationItems":[{"id":"ITEM-1","itemData":{"DOI":"10.1111/j.1471-4159.2007.04764.x","ISBN":"0022-3042 (Print)\\r0022-3042 (Linking)","ISSN":"00223042","PMID":"17623039","abstract":"Aggregation of alpha-synuclein, an abundant and conserved pre-synaptic brain protein, is implicated as a critical factor in several neurodegenerative diseases. These diseases, known as synucleinopathies, include Parkinson's disease, dementia with Lewy bodies (LBs), diffuse LB disease, the LB variant of Alzheimer's disease, multiple system atrophy, and neurodegeneration with brain iron accumulation type I. Although the precise nature of in vivoalpha-synuclein function remains elusive, considerable knowledge has been accumulated about its structural properties and conformational behavior. alpha-Synuclein is a typical natively unfolded protein. It is characterized by the lack of rigid, well-defined, 3-D structure and possesses remarkable conformational plasticity. The structure of this protein depends dramatically on its environment and it accommodates a number of unrelated conformations. This paper provides an overview of the biochemistry, biophysics, and neuropathology of alpha-synuclein aggregation.","author":[{"dropping-particle":"","family":"Uversky","given":"Vladimir N.","non-dropping-particle":"","parse-names":false,"suffix":""}],"container-title":"Journal of Neurochemistry","id":"ITEM-1","issue":"1","issued":{"date-parts":[["2007"]]},"page":"17-37","title":"Neuropathology, biochemistry, and biophysics of alpha-synuclein aggregation","type":"article-journal","volume":"103"},"uris":["http://www.mendeley.com/documents/?uuid=43966338-042d-494b-9f39-48dd6929850c"]}],"mendeley":{"formattedCitation":"&lt;sup&gt;5&lt;/sup&gt;","plainTextFormattedCitation":"5","previouslyFormattedCitation":"&lt;sup&gt;5&lt;/sup&gt;"},"properties":{"noteIndex":0},"schema":"https://github.com/citation-style-language/schema/raw/master/csl-citation.json"}</w:instrText>
      </w:r>
      <w:r w:rsidRPr="00650B69">
        <w:fldChar w:fldCharType="separate"/>
      </w:r>
      <w:r w:rsidR="00B65654" w:rsidRPr="00650B69">
        <w:rPr>
          <w:noProof/>
          <w:vertAlign w:val="superscript"/>
        </w:rPr>
        <w:t>5</w:t>
      </w:r>
      <w:r w:rsidRPr="00650B69">
        <w:fldChar w:fldCharType="end"/>
      </w:r>
      <w:r w:rsidRPr="00650B69">
        <w:t xml:space="preserve"> </w:t>
      </w:r>
    </w:p>
    <w:p w14:paraId="133FD34B" w14:textId="77777777" w:rsidR="00760E42" w:rsidRPr="00650B69" w:rsidRDefault="00760E42" w:rsidP="002D218C">
      <w:pPr>
        <w:pStyle w:val="TAMainText"/>
      </w:pPr>
      <w:r w:rsidRPr="00650B69">
        <w:t>One of the promotors of the fibrillation process is the crowding effect.</w:t>
      </w:r>
      <w:r w:rsidRPr="00650B69">
        <w:fldChar w:fldCharType="begin" w:fldLock="1"/>
      </w:r>
      <w:r w:rsidR="002B33FF" w:rsidRPr="00650B69">
        <w:instrText>ADDIN CSL_CITATION {"citationItems":[{"id":"ITEM-1","itemData":{"DOI":"10.1002/jmr.699","ISSN":"0952-3499","PMID":"15362105","abstract":"Macromolecular crowding is expected to have several significant effects on protein aggregation; the major effects will be those due to excluded volume and increased viscosity. In this report we summarize data demonstrating that macromolecular crowding may lead to a dramatic acceleration in the rate of protein aggregation and formation of amyloid fibrils, using the protein alpha-synuclein. The aggregation of alpha-synuclein has been implicated as a critical factor in development of Parkinson's disease. Various types of polymers, from neutral polyethylene glycols and polysaccharides (Ficolls, dextrans) to inert proteins, are shown to accelerate alpha-synuclein fibrillation. The stimulation of fibrillation increases with increasing length of polymer, as well as increasing polymer concentration. At lower polymer concentrations (typically up to approximately 100 mg/ml) the major effect is ascribed to excluded volume, whereas at higher polymer concentrations evidence of opposing viscosity effects become apparent. Pesticides and metals, which are linked to increased risk of Parkinson's disease by epidemiological studies, are shown to accelerate alpha-synuclein fibrillation under conditions of molecular crowding.","author":[{"dropping-particle":"","family":"Munishkina","given":"Larissa A.","non-dropping-particle":"","parse-names":false,"suffix":""},{"dropping-particle":"","family":"Cooper","given":"Elisa M.","non-dropping-particle":"","parse-names":false,"suffix":""},{"dropping-particle":"","family":"Uversky","given":"Vladimir N.","non-dropping-particle":"","parse-names":false,"suffix":""},{"dropping-particle":"","family":"Fink","given":"Anthony L.","non-dropping-particle":"","parse-names":false,"suffix":""}],"container-title":"Journal of molecular recognition : JMR","id":"ITEM-1","issued":{"date-parts":[["2004"]]},"page":"456-464","title":"The effect of macromolecular crowding on protein aggregation and amyloid fibril formation.","type":"article-journal","volume":"17"},"uris":["http://www.mendeley.com/documents/?uuid=4740c7b1-1780-4c75-8562-36b68894c690"]}],"mendeley":{"formattedCitation":"&lt;sup&gt;6&lt;/sup&gt;","plainTextFormattedCitation":"6","previouslyFormattedCitation":"&lt;sup&gt;6&lt;/sup&gt;"},"properties":{"noteIndex":0},"schema":"https://github.com/citation-style-language/schema/raw/master/csl-citation.json"}</w:instrText>
      </w:r>
      <w:r w:rsidRPr="00650B69">
        <w:fldChar w:fldCharType="separate"/>
      </w:r>
      <w:r w:rsidR="00B65654" w:rsidRPr="00650B69">
        <w:rPr>
          <w:noProof/>
          <w:vertAlign w:val="superscript"/>
        </w:rPr>
        <w:t>6</w:t>
      </w:r>
      <w:r w:rsidRPr="00650B69">
        <w:fldChar w:fldCharType="end"/>
      </w:r>
      <w:r w:rsidRPr="00650B69">
        <w:t xml:space="preserve"> The theory of crowding states that the space, occupied by macromolecules, is mutually impenetrable. As the overall concentration of macromolecules in the cell can amount to ~400 mg mL</w:t>
      </w:r>
      <w:r w:rsidR="001D2733" w:rsidRPr="00650B69">
        <w:rPr>
          <w:vertAlign w:val="superscript"/>
        </w:rPr>
        <w:t xml:space="preserve">-1 </w:t>
      </w:r>
      <w:r w:rsidRPr="00650B69">
        <w:t>, this so-called excluded volume induces nonspecific steric repulsion, hence rendering a part of the intracellular volume unavailable for other macromolecules.</w:t>
      </w:r>
      <w:r w:rsidRPr="00650B69">
        <w:fldChar w:fldCharType="begin" w:fldLock="1"/>
      </w:r>
      <w:r w:rsidR="002B33FF" w:rsidRPr="00650B69">
        <w:instrText>ADDIN CSL_CITATION {"citationItems":[{"id":"ITEM-1","itemData":{"DOI":"10.1016/S0968-0004(01)01938-7","ISBN":"0968-0004 (Print)\\r0968-0004 (Linking)","ISSN":"09680004","PMID":"11590012","abstract":"Biological macromolecules evolve and function within intracellular environments that are crowded with other macromolecules. Crowding results in surprisingly large quantitative effects on both the rates and the equilibria of interactions involving macromolecules, but such interactions are commonly studied outside the cell in uncrowded buffers. The addition of high concentrations of natural and synthetic macromolecules to such buffers enables crowding to be mimicked in vitro, and should be encouraged as a routine variable to study. The stimulation of protein aggregation by crowding might account for the existence of molecular chaperones that combat this effect. Positive results of crowding include enhancing the collapse of polypeptide chains into functional proteins, the assembly of oligomeric structures and the efficiency of action of some molecular chaperones and metabolic pathways.","author":[{"dropping-particle":"","family":"Ellis","given":"R. John","non-dropping-particle":"","parse-names":false,"suffix":""}],"container-title":"Trends in Biochemical Sciences","id":"ITEM-1","issue":"10","issued":{"date-parts":[["2001"]]},"page":"597-604","title":"Macromolecular crowding: Obvious but underappreciated","type":"article-journal","volume":"26"},"uris":["http://www.mendeley.com/documents/?uuid=a0f6c393-0193-4d17-9721-0b2f93193906"]}],"mendeley":{"formattedCitation":"&lt;sup&gt;7&lt;/sup&gt;","plainTextFormattedCitation":"7","previouslyFormattedCitation":"&lt;sup&gt;7&lt;/sup&gt;"},"properties":{"noteIndex":0},"schema":"https://github.com/citation-style-language/schema/raw/master/csl-citation.json"}</w:instrText>
      </w:r>
      <w:r w:rsidRPr="00650B69">
        <w:fldChar w:fldCharType="separate"/>
      </w:r>
      <w:r w:rsidR="00B65654" w:rsidRPr="00650B69">
        <w:rPr>
          <w:noProof/>
          <w:vertAlign w:val="superscript"/>
        </w:rPr>
        <w:t>7</w:t>
      </w:r>
      <w:r w:rsidRPr="00650B69">
        <w:fldChar w:fldCharType="end"/>
      </w:r>
      <w:r w:rsidRPr="00650B69">
        <w:t xml:space="preserve"> Studies in the past have shown that the presence of crowding agents, macromolecules used to mimic the crowded environment of the cell, accelerates the fibrillation process.</w:t>
      </w:r>
      <w:r w:rsidRPr="00650B69">
        <w:fldChar w:fldCharType="begin" w:fldLock="1"/>
      </w:r>
      <w:r w:rsidR="002B33FF" w:rsidRPr="00650B69">
        <w:instrText>ADDIN CSL_CITATION {"citationItems":[{"id":"ITEM-1","itemData":{"DOI":"10.1002/cphc.201601097","ISSN":"14397641","PMID":"27860069","abstract":"The intracellular milieu contains upwards of 400 g of macromolecules per litre. This crowding is thought to have a larger influence on intrinsically disordered proteins, whose chains are expanded, than on compact globular proteins. Classic theories of macromolecular crowding predict that increasing excluded volume effects will lead disordered proteins to compaction, and a great deal of data, from both simulation and experiments support this idea. We used nuclear magnetic resonance, circular dichroism and fluorescence spectroscopies to characterize the structure and fibrillation of α-synuclein, an intrinsically disordered protein implicated in Parkinson's disease, using Ficoll70™, its monomer Sucrose and Bovine Serum Albumin as crowding agents. Surprisingly, volume exclusion induced by high concentrations of macromolecules may not be the main reason for the compaction of α-synuclein. These results indicate that all aspects crowding must be considered to understand protein conformation under crowded conditions.","author":[{"dropping-particle":"","family":"Bai","given":"Jia","non-dropping-particle":"","parse-names":false,"suffix":""},{"dropping-particle":"","family":"Liu","given":"Maili","non-dropping-particle":"","parse-names":false,"suffix":""},{"dropping-particle":"","family":"Pielak","given":"Gary J.","non-dropping-particle":"","parse-names":false,"suffix":""},{"dropping-particle":"","family":"Li","given":"Conggang","non-dropping-particle":"","parse-names":false,"suffix":""}],"container-title":"ChemPhysChem","id":"ITEM-1","issued":{"date-parts":[["2017"]]},"page":"55-58","title":"Macromolecular and small molecular crowding have similar effects on alpha-synuclein structure","type":"article-journal","volume":"18"},"uris":["http://www.mendeley.com/documents/?uuid=7b445996-b290-4ffd-a78f-766bfe5b788e"]},{"id":"ITEM-2","itemData":{"DOI":"10.1016/S0014-5793(02)02446-8","ISBN":"0014-5793 (Print)\\r0014-5793 (Linking)","ISSN":"00145793","PMID":"11943202","abstract":"Parkinson's disease is the second most common age-related neurodegenerative disease, resulting from loss of dopaminergic neurons in the substantia nigra. The aggregation and fibrillation of α-synuclein has been implicated as a causative factor in the disease, and the process of fibril formation has been intensively studied in vitro with dilute protein solutions. However, the intracellular environment of proteins is crowded with other macromolecules, whose concentration can reach 400 g/l. To address this discrepancy, the effect of molecular crowding on α-synuclein fibrillation has being studied. The addition of high concentrations of different polymers (proteins, polysaccharides and polyethylene glycols) dramatically accelerated α-synuclein fibrillation in vitro. The magnitude of the accelerating effect depended on the nature of the polymer, its length and concentration. Our results suggest that the major factor responsible for the accelerated fibrillation under crowded conditions is the excluded volume. © 2001 Federation of European Biochemical Societies. All rights reserved.","author":[{"dropping-particle":"","family":"Uversky","given":"Vladimir N.","non-dropping-particle":"","parse-names":false,"suffix":""},{"dropping-particle":"","family":"M. Cooper","given":"Elisa","non-dropping-particle":"","parse-names":false,"suffix":""},{"dropping-particle":"","family":"Bower","given":"Kiowa S.","non-dropping-particle":"","parse-names":false,"suffix":""},{"dropping-particle":"","family":"Li","given":"Jie","non-dropping-particle":"","parse-names":false,"suffix":""},{"dropping-particle":"","family":"Fink","given":"Anthony L.","non-dropping-particle":"","parse-names":false,"suffix":""}],"container-title":"FEBS Letters","id":"ITEM-2","issued":{"date-parts":[["2001"]]},"page":"99-103","title":"Accelerated alpha-synuclein fibrillation in crowded milieu","type":"article-journal","volume":"515"},"uris":["http://www.mendeley.com/documents/?uuid=dc97c51b-c25a-49c5-b27f-641ab4835d33"]},{"id":"ITEM-3","itemData":{"DOI":"10.1002/jmr.699","ISSN":"0952-3499","PMID":"15362105","abstract":"Macromolecular crowding is expected to have several significant effects on protein aggregation; the major effects will be those due to excluded volume and increased viscosity. In this report we summarize data demonstrating that macromolecular crowding may lead to a dramatic acceleration in the rate of protein aggregation and formation of amyloid fibrils, using the protein alpha-synuclein. The aggregation of alpha-synuclein has been implicated as a critical factor in development of Parkinson's disease. Various types of polymers, from neutral polyethylene glycols and polysaccharides (Ficolls, dextrans) to inert proteins, are shown to accelerate alpha-synuclein fibrillation. The stimulation of fibrillation increases with increasing length of polymer, as well as increasing polymer concentration. At lower polymer concentrations (typically up to approximately 100 mg/ml) the major effect is ascribed to excluded volume, whereas at higher polymer concentrations evidence of opposing viscosity effects become apparent. Pesticides and metals, which are linked to increased risk of Parkinson's disease by epidemiological studies, are shown to accelerate alpha-synuclein fibrillation under conditions of molecular crowding.","author":[{"dropping-particle":"","family":"Munishkina","given":"Larissa A.","non-dropping-particle":"","parse-names":false,"suffix":""},{"dropping-particle":"","family":"Cooper","given":"Elisa M.","non-dropping-particle":"","parse-names":false,"suffix":""},{"dropping-particle":"","family":"Uversky","given":"Vladimir N.","non-dropping-particle":"","parse-names":false,"suffix":""},{"dropping-particle":"","family":"Fink","given":"Anthony L.","non-dropping-particle":"","parse-names":false,"suffix":""}],"container-title":"Journal of molecular recognition : JMR","id":"ITEM-3","issued":{"date-parts":[["2004"]]},"page":"456-464","title":"The effect of macromolecular crowding on protein aggregation and amyloid fibril formation.","type":"article-journal","volume":"17"},"uris":["http://www.mendeley.com/documents/?uuid=4740c7b1-1780-4c75-8562-36b68894c690"]},{"id":"ITEM-4","itemData":{"DOI":"10.1021/ar050073t","author":[{"dropping-particle":"","family":"Fink","given":"Anthony L.","non-dropping-particle":"","parse-names":false,"suffix":""}],"container-title":"Accounts of chemical research","id":"ITEM-4","issue":"9","issued":{"date-parts":[["2006"]]},"page":"628-634","title":"The aggregation and fibrillation of alpha-synuclein","type":"article-journal","volume":"39"},"uris":["http://www.mendeley.com/documents/?uuid=fa4cc1a9-2262-42a8-a265-cb82fa6bdc7a"]}],"mendeley":{"formattedCitation":"&lt;sup&gt;6,8–10&lt;/sup&gt;","plainTextFormattedCitation":"6,8–10","previouslyFormattedCitation":"&lt;sup&gt;6,8–10&lt;/sup&gt;"},"properties":{"noteIndex":0},"schema":"https://github.com/citation-style-language/schema/raw/master/csl-citation.json"}</w:instrText>
      </w:r>
      <w:r w:rsidRPr="00650B69">
        <w:fldChar w:fldCharType="separate"/>
      </w:r>
      <w:r w:rsidR="00B65654" w:rsidRPr="00650B69">
        <w:rPr>
          <w:noProof/>
          <w:vertAlign w:val="superscript"/>
        </w:rPr>
        <w:t>6,8–10</w:t>
      </w:r>
      <w:r w:rsidRPr="00650B69">
        <w:fldChar w:fldCharType="end"/>
      </w:r>
      <w:r w:rsidRPr="00650B69">
        <w:t xml:space="preserve"> Moreover, the resulting fibrils are suggested to aggregate in clumps, rather than long, singular fibrils.</w:t>
      </w:r>
      <w:r w:rsidRPr="00650B69">
        <w:fldChar w:fldCharType="begin" w:fldLock="1"/>
      </w:r>
      <w:r w:rsidR="002B33FF" w:rsidRPr="00650B69">
        <w:instrText>ADDIN CSL_CITATION {"citationItems":[{"id":"ITEM-1","itemData":{"DOI":"10.1002/jmr.699","ISSN":"0952-3499","PMID":"15362105","abstract":"Macromolecular crowding is expected to have several significant effects on protein aggregation; the major effects will be those due to excluded volume and increased viscosity. In this report we summarize data demonstrating that macromolecular crowding may lead to a dramatic acceleration in the rate of protein aggregation and formation of amyloid fibrils, using the protein alpha-synuclein. The aggregation of alpha-synuclein has been implicated as a critical factor in development of Parkinson's disease. Various types of polymers, from neutral polyethylene glycols and polysaccharides (Ficolls, dextrans) to inert proteins, are shown to accelerate alpha-synuclein fibrillation. The stimulation of fibrillation increases with increasing length of polymer, as well as increasing polymer concentration. At lower polymer concentrations (typically up to approximately 100 mg/ml) the major effect is ascribed to excluded volume, whereas at higher polymer concentrations evidence of opposing viscosity effects become apparent. Pesticides and metals, which are linked to increased risk of Parkinson's disease by epidemiological studies, are shown to accelerate alpha-synuclein fibrillation under conditions of molecular crowding.","author":[{"dropping-particle":"","family":"Munishkina","given":"Larissa A.","non-dropping-particle":"","parse-names":false,"suffix":""},{"dropping-particle":"","family":"Cooper","given":"Elisa M.","non-dropping-particle":"","parse-names":false,"suffix":""},{"dropping-particle":"","family":"Uversky","given":"Vladimir N.","non-dropping-particle":"","parse-names":false,"suffix":""},{"dropping-particle":"","family":"Fink","given":"Anthony L.","non-dropping-particle":"","parse-names":false,"suffix":""}],"container-title":"Journal of molecular recognition : JMR","id":"ITEM-1","issued":{"date-parts":[["2004"]]},"page":"456-464","title":"The effect of macromolecular crowding on protein aggregation and amyloid fibril formation.","type":"article-journal","volume":"17"},"uris":["http://www.mendeley.com/documents/?uuid=4740c7b1-1780-4c75-8562-36b68894c690"]}],"mendeley":{"formattedCitation":"&lt;sup&gt;6&lt;/sup&gt;","plainTextFormattedCitation":"6","previouslyFormattedCitation":"&lt;sup&gt;6&lt;/sup&gt;"},"properties":{"noteIndex":0},"schema":"https://github.com/citation-style-language/schema/raw/master/csl-citation.json"}</w:instrText>
      </w:r>
      <w:r w:rsidRPr="00650B69">
        <w:fldChar w:fldCharType="separate"/>
      </w:r>
      <w:r w:rsidR="00B65654" w:rsidRPr="00650B69">
        <w:rPr>
          <w:noProof/>
          <w:vertAlign w:val="superscript"/>
        </w:rPr>
        <w:t>6</w:t>
      </w:r>
      <w:r w:rsidRPr="00650B69">
        <w:fldChar w:fldCharType="end"/>
      </w:r>
    </w:p>
    <w:p w14:paraId="12999ACC" w14:textId="4BD1B818" w:rsidR="00760E42" w:rsidRPr="00650B69" w:rsidRDefault="00760E42" w:rsidP="002D218C">
      <w:pPr>
        <w:pStyle w:val="TAMainText"/>
      </w:pPr>
      <w:r w:rsidRPr="00650B69">
        <w:t xml:space="preserve">A possible inhibitor of the fibrillation process of </w:t>
      </w:r>
      <w:proofErr w:type="spellStart"/>
      <w:r w:rsidRPr="00650B69">
        <w:t>asyn</w:t>
      </w:r>
      <w:proofErr w:type="spellEnd"/>
      <w:r w:rsidRPr="00650B69">
        <w:t xml:space="preserve"> is the presence of beta-</w:t>
      </w:r>
      <w:proofErr w:type="spellStart"/>
      <w:r w:rsidRPr="00650B69">
        <w:t>synuclein</w:t>
      </w:r>
      <w:proofErr w:type="spellEnd"/>
      <w:r w:rsidRPr="00650B69">
        <w:t>. Beta-</w:t>
      </w:r>
      <w:proofErr w:type="spellStart"/>
      <w:r w:rsidRPr="00650B69">
        <w:t>synuclein</w:t>
      </w:r>
      <w:proofErr w:type="spellEnd"/>
      <w:r w:rsidRPr="00650B69">
        <w:t xml:space="preserve"> (</w:t>
      </w:r>
      <w:proofErr w:type="spellStart"/>
      <w:r w:rsidRPr="00650B69">
        <w:t>bsyn</w:t>
      </w:r>
      <w:proofErr w:type="spellEnd"/>
      <w:r w:rsidRPr="00650B69">
        <w:t>) ha</w:t>
      </w:r>
      <w:r w:rsidR="00AB5CA8" w:rsidRPr="00650B69">
        <w:t xml:space="preserve">s </w:t>
      </w:r>
      <w:r w:rsidRPr="00650B69">
        <w:t>been shown to prolong the lag phase, and affects the speed of the nucleation phase, of fibrillation.</w:t>
      </w:r>
      <w:r w:rsidRPr="00650B69">
        <w:fldChar w:fldCharType="begin" w:fldLock="1"/>
      </w:r>
      <w:r w:rsidR="002B33FF" w:rsidRPr="00650B69">
        <w:instrText>ADDIN CSL_CITATION {"citationItems":[{"id":"ITEM-1","itemData":{"DOI":"10.1074/jbc.M109541200","ISBN":"1197011978","ISSN":"00219258","PMID":"11812782","abstract":"The pathological hallmark of Parkinson's disease is the presence of intracellular inclusions, Lewy bodies, and Lewy neurites, in the dopaminergic neurons of the substantia nigra and several other brain regions. Filamentous alpha-synuclein is the major component of these deposits and its aggregation is believed to play an important role in Parkinson's disease and several other neurodegenerative diseases. Two homologous proteins, beta- and gamma-synucleins, are also abundant in the brain. The synucleins are natively unfolded proteins. beta-Synuclein, which lacks 11 central hydrophobic residues compared with its homologs, exhibited the properties of a random coil, whereas alpha- and gamma-synucleins were slightly more compact and structured. gamma-Synuclein, unlike its homologs, formed a soluble oligomer at relatively low concentrations, which appears to be an off-fibrillation pathway species. Here we show that, although they have similar biophysical properties to alpha-synuclein, beta- And gamma-synucleins inhibit alpha-synuclein fibril formation. Complete inhibition of alpha-synuclein fibrillation was observed at 4:1 molar excess of beta- and gamma-synucleins. No significant incorporation of beta-synuclein into the fibrils was detected. The lack of fibrils formed by beta-synuclein is most readily explained by the absence of a stretch of hydrophobic residues from the middle region of the protein. A model for the inhibition is proposed.","author":[{"dropping-particle":"","family":"Uversky","given":"Vladimir N.","non-dropping-particle":"","parse-names":false,"suffix":""},{"dropping-particle":"","family":"Li","given":"Jie","non-dropping-particle":"","parse-names":false,"suffix":""},{"dropping-particle":"","family":"Souillac","given":"Pierre","non-dropping-particle":"","parse-names":false,"suffix":""},{"dropping-particle":"","family":"Millett","given":"Ian S.","non-dropping-particle":"","parse-names":false,"suffix":""},{"dropping-particle":"","family":"Doniach","given":"Sebastian","non-dropping-particle":"","parse-names":false,"suffix":""},{"dropping-particle":"","family":"Jakes","given":"Ross","non-dropping-particle":"","parse-names":false,"suffix":""},{"dropping-particle":"","family":"Goedert","given":"Michel","non-dropping-particle":"","parse-names":false,"suffix":""},{"dropping-particle":"","family":"Fink","given":"Anthony L.","non-dropping-particle":"","parse-names":false,"suffix":""}],"container-title":"Journal of Biological Chemistry","id":"ITEM-1","issue":"14","issued":{"date-parts":[["2002"]]},"page":"11970-11978","title":"Biophysical properties of the synucleins and their propensities to fibrillate: Inhibition of alpha-synuclein assembly by beta- and gamma-synucleins","type":"article-journal","volume":"277"},"uris":["http://www.mendeley.com/documents/?uuid=5bf86800-7e67-4468-8e8e-a35a66161a2d"]}],"mendeley":{"formattedCitation":"&lt;sup&gt;11&lt;/sup&gt;","plainTextFormattedCitation":"11","previouslyFormattedCitation":"&lt;sup&gt;11&lt;/sup&gt;"},"properties":{"noteIndex":0},"schema":"https://github.com/citation-style-language/schema/raw/master/csl-citation.json"}</w:instrText>
      </w:r>
      <w:r w:rsidRPr="00650B69">
        <w:fldChar w:fldCharType="separate"/>
      </w:r>
      <w:r w:rsidR="00B65654" w:rsidRPr="00650B69">
        <w:rPr>
          <w:noProof/>
          <w:vertAlign w:val="superscript"/>
        </w:rPr>
        <w:t>11</w:t>
      </w:r>
      <w:r w:rsidRPr="00650B69">
        <w:fldChar w:fldCharType="end"/>
      </w:r>
      <w:r w:rsidRPr="00650B69">
        <w:t xml:space="preserve"> Because it is lacking the stretch of hydrophobic residues that are found in the middle region of the </w:t>
      </w:r>
      <w:proofErr w:type="spellStart"/>
      <w:r w:rsidRPr="00650B69">
        <w:t>asyn</w:t>
      </w:r>
      <w:proofErr w:type="spellEnd"/>
      <w:r w:rsidRPr="00650B69">
        <w:t xml:space="preserve"> protein, </w:t>
      </w:r>
      <w:proofErr w:type="spellStart"/>
      <w:r w:rsidRPr="00650B69">
        <w:t>bsyn</w:t>
      </w:r>
      <w:proofErr w:type="spellEnd"/>
      <w:r w:rsidRPr="00650B69">
        <w:t xml:space="preserve"> was not incorporated into the fibrils. </w:t>
      </w:r>
      <w:r w:rsidRPr="00650B69">
        <w:fldChar w:fldCharType="begin" w:fldLock="1"/>
      </w:r>
      <w:r w:rsidR="002B33FF" w:rsidRPr="00650B69">
        <w:instrText>ADDIN CSL_CITATION {"citationItems":[{"id":"ITEM-1","itemData":{"DOI":"10.1074/jbc.M109541200","ISBN":"1197011978","ISSN":"00219258","PMID":"11812782","abstract":"The pathological hallmark of Parkinson's disease is the presence of intracellular inclusions, Lewy bodies, and Lewy neurites, in the dopaminergic neurons of the substantia nigra and several other brain regions. Filamentous alpha-synuclein is the major component of these deposits and its aggregation is believed to play an important role in Parkinson's disease and several other neurodegenerative diseases. Two homologous proteins, beta- and gamma-synucleins, are also abundant in the brain. The synucleins are natively unfolded proteins. beta-Synuclein, which lacks 11 central hydrophobic residues compared with its homologs, exhibited the properties of a random coil, whereas alpha- and gamma-synucleins were slightly more compact and structured. gamma-Synuclein, unlike its homologs, formed a soluble oligomer at relatively low concentrations, which appears to be an off-fibrillation pathway species. Here we show that, although they have similar biophysical properties to alpha-synuclein, beta- And gamma-synucleins inhibit alpha-synuclein fibril formation. Complete inhibition of alpha-synuclein fibrillation was observed at 4:1 molar excess of beta- and gamma-synucleins. No significant incorporation of beta-synuclein into the fibrils was detected. The lack of fibrils formed by beta-synuclein is most readily explained by the absence of a stretch of hydrophobic residues from the middle region of the protein. A model for the inhibition is proposed.","author":[{"dropping-particle":"","family":"Uversky","given":"Vladimir N.","non-dropping-particle":"","parse-names":false,"suffix":""},{"dropping-particle":"","family":"Li","given":"Jie","non-dropping-particle":"","parse-names":false,"suffix":""},{"dropping-particle":"","family":"Souillac","given":"Pierre","non-dropping-particle":"","parse-names":false,"suffix":""},{"dropping-particle":"","family":"Millett","given":"Ian S.","non-dropping-particle":"","parse-names":false,"suffix":""},{"dropping-particle":"","family":"Doniach","given":"Sebastian","non-dropping-particle":"","parse-names":false,"suffix":""},{"dropping-particle":"","family":"Jakes","given":"Ross","non-dropping-particle":"","parse-names":false,"suffix":""},{"dropping-particle":"","family":"Goedert","given":"Michel","non-dropping-particle":"","parse-names":false,"suffix":""},{"dropping-particle":"","family":"Fink","given":"Anthony L.","non-dropping-particle":"","parse-names":false,"suffix":""}],"container-title":"Journal of Biological Chemistry","id":"ITEM-1","issue":"14","issued":{"date-parts":[["2002"]]},"page":"11970-11978","title":"Biophysical properties of the synucleins and their propensities to fibrillate: Inhibition of alpha-synuclein assembly by beta- and gamma-synucleins","type":"article-journal","volume":"277"},"uris":["http://www.mendeley.com/documents/?uuid=5bf86800-7e67-4468-8e8e-a35a66161a2d"]}],"mendeley":{"formattedCitation":"&lt;sup&gt;11&lt;/sup&gt;","plainTextFormattedCitation":"11","previouslyFormattedCitation":"&lt;sup&gt;11&lt;/sup&gt;"},"properties":{"noteIndex":0},"schema":"https://github.com/citation-style-language/schema/raw/master/csl-citation.json"}</w:instrText>
      </w:r>
      <w:r w:rsidRPr="00650B69">
        <w:fldChar w:fldCharType="separate"/>
      </w:r>
      <w:r w:rsidR="00B65654" w:rsidRPr="00650B69">
        <w:rPr>
          <w:noProof/>
          <w:vertAlign w:val="superscript"/>
        </w:rPr>
        <w:t>11</w:t>
      </w:r>
      <w:r w:rsidRPr="00650B69">
        <w:fldChar w:fldCharType="end"/>
      </w:r>
      <w:r w:rsidRPr="00650B69">
        <w:t xml:space="preserve"> It is of vital interest to determine the combined effect of a crowded environment, mimicked by the presence of </w:t>
      </w:r>
      <w:proofErr w:type="spellStart"/>
      <w:r w:rsidRPr="00650B69">
        <w:t>Ficoll</w:t>
      </w:r>
      <w:proofErr w:type="spellEnd"/>
      <w:r w:rsidRPr="00650B69">
        <w:t xml:space="preserve"> 70 (F70) and </w:t>
      </w:r>
      <w:proofErr w:type="spellStart"/>
      <w:r w:rsidRPr="00650B69">
        <w:t>bsyn</w:t>
      </w:r>
      <w:proofErr w:type="spellEnd"/>
      <w:r w:rsidRPr="00650B69">
        <w:t xml:space="preserve"> on the fibrillation process of </w:t>
      </w:r>
      <w:proofErr w:type="spellStart"/>
      <w:r w:rsidRPr="00650B69">
        <w:t>asyn</w:t>
      </w:r>
      <w:proofErr w:type="spellEnd"/>
      <w:r w:rsidRPr="00650B69">
        <w:t>, as both effects will occur simultaneously in cellular environments.</w:t>
      </w:r>
      <w:r w:rsidRPr="00650B69">
        <w:fldChar w:fldCharType="begin" w:fldLock="1"/>
      </w:r>
      <w:r w:rsidR="002B33FF" w:rsidRPr="00650B69">
        <w:instrText>ADDIN CSL_CITATION {"citationItems":[{"id":"ITEM-1","itemData":{"DOI":"10.1074/jbc.M005514200","ISSN":"0021-9258","abstract":"Parkinson's disease (PD) is a neurodegenerative disorder that is pathologically characterized by the presence of intracytoplasmic Lewy bodies. Recently, two point mutations in alpha-synuclein were found to be associated with familial PD, but as of yet no mutations have been described in the homologous genes beta- and gamma-synuclein. alpha- Synuclein forms the major fibrillar component of Lewy bodies, but these do not stain for beta- or gamma-synuclein. This result is very surprising, given the extent of sequence conservation and the high similarity in expression and subcellular localization, in particular between alpha- and beta-synuclein. Here we compare in vitro fibrillogenesis of all three purified synucleins. We show that fresh solutions of alpha-, beta-, and gamma- synuclein show the same natively unfolded structure. While over time alpha-synuclein forms the previously described fibrils, no fibrils could be detected for beta- and gamma-synuclein under the same conditions. Most importantly, beta- and gamma-synuclein could not be cross-seeded with alpha-synuclein fibrils. However, under conditions that drastically accelerate aggregation, gamma-synuclein can form fibrils with a lag phase roughly three times longer than alpha-synuclein. These results indicate that beta- and gamma-synuclein are intrinsically less fibrillogenic than alpha-synuclein and cannot form mixed fibrils with alpha-synuclein, which may explain why they do not appear in the pathological hallmarks of PD, although they are closely related to alpha-synuclein and are also abundant in brain.","author":[{"dropping-particle":"","family":"Biere","given":"A. L.","non-dropping-particle":"","parse-names":false,"suffix":""},{"dropping-particle":"","family":"Wood","given":"S. J.","non-dropping-particle":"","parse-names":false,"suffix":""},{"dropping-particle":"","family":"Wypych","given":"J.","non-dropping-particle":"","parse-names":false,"suffix":""},{"dropping-particle":"","family":"Steavenson","given":"S.","non-dropping-particle":"","parse-names":false,"suffix":""},{"dropping-particle":"","family":"Jiang","given":"Y.","non-dropping-particle":"","parse-names":false,"suffix":""},{"dropping-particle":"","family":"Anafi","given":"D.","non-dropping-particle":"","parse-names":false,"suffix":""},{"dropping-particle":"","family":"Jacobsen","given":"F. W.","non-dropping-particle":"","parse-names":false,"suffix":""},{"dropping-particle":"","family":"Jarosinski","given":"M. A.","non-dropping-particle":"","parse-names":false,"suffix":""},{"dropping-particle":"","family":"Wu","given":"G. M.","non-dropping-particle":"","parse-names":false,"suffix":""},{"dropping-particle":"","family":"Louis","given":"J. C.","non-dropping-particle":"","parse-names":false,"suffix":""},{"dropping-particle":"","family":"Martin","given":"F.","non-dropping-particle":"","parse-names":false,"suffix":""},{"dropping-particle":"","family":"Narhi","given":"L. O.","non-dropping-particle":"","parse-names":false,"suffix":""},{"dropping-particle":"","family":"Citron","given":"M.","non-dropping-particle":"","parse-names":false,"suffix":""}],"container-title":"The Journal of Biological Chemistry","id":"ITEM-1","issue":"44","issued":{"date-parts":[["2000"]]},"page":"34574-34579","title":"Parkinson's disease-associated alpha-synuclein is more fibrillogenic than beta- and gamma-synuclein and cannot cross-seed its homologs","type":"article-journal","volume":"275"},"uris":["http://www.mendeley.com/documents/?uuid=59c9da99-7787-4a77-9ec7-2b54be63f32a"]},{"id":"ITEM-2","itemData":{"DOI":"10.1016/S0014-5793(02)02446-8","ISBN":"0014-5793 (Print)\\r0014-5793 (Linking)","ISSN":"00145793","PMID":"11943202","abstract":"Parkinson's disease is the second most common age-related neurodegenerative disease, resulting from loss of dopaminergic neurons in the substantia nigra. The aggregation and fibrillation of α-synuclein has been implicated as a causative factor in the disease, and the process of fibril formation has been intensively studied in vitro with dilute protein solutions. However, the intracellular environment of proteins is crowded with other macromolecules, whose concentration can reach 400 g/l. To address this discrepancy, the effect of molecular crowding on α-synuclein fibrillation has being studied. The addition of high concentrations of different polymers (proteins, polysaccharides and polyethylene glycols) dramatically accelerated α-synuclein fibrillation in vitro. The magnitude of the accelerating effect depended on the nature of the polymer, its length and concentration. Our results suggest that the major factor responsible for the accelerated fibrillation under crowded conditions is the excluded volume. © 2001 Federation of European Biochemical Societies. All rights reserved.","author":[{"dropping-particle":"","family":"Uversky","given":"Vladimir N.","non-dropping-particle":"","parse-names":false,"suffix":""},{"dropping-particle":"","family":"M. Cooper","given":"Elisa","non-dropping-particle":"","parse-names":false,"suffix":""},{"dropping-particle":"","family":"Bower","given":"Kiowa S.","non-dropping-particle":"","parse-names":false,"suffix":""},{"dropping-particle":"","family":"Li","given":"Jie","non-dropping-particle":"","parse-names":false,"suffix":""},{"dropping-particle":"","family":"Fink","given":"Anthony L.","non-dropping-particle":"","parse-names":false,"suffix":""}],"container-title":"FEBS Letters","id":"ITEM-2","issued":{"date-parts":[["2001"]]},"page":"99-103","title":"Accelerated alpha-synuclein fibrillation in crowded milieu","type":"article-journal","volume":"515"},"uris":["http://www.mendeley.com/documents/?uuid=dc97c51b-c25a-49c5-b27f-641ab4835d33"]}],"mendeley":{"formattedCitation":"&lt;sup&gt;9,12&lt;/sup&gt;","plainTextFormattedCitation":"9,12","previouslyFormattedCitation":"&lt;sup&gt;9,12&lt;/sup&gt;"},"properties":{"noteIndex":0},"schema":"https://github.com/citation-style-language/schema/raw/master/csl-citation.json"}</w:instrText>
      </w:r>
      <w:r w:rsidRPr="00650B69">
        <w:fldChar w:fldCharType="separate"/>
      </w:r>
      <w:r w:rsidR="00B65654" w:rsidRPr="00650B69">
        <w:rPr>
          <w:noProof/>
          <w:vertAlign w:val="superscript"/>
        </w:rPr>
        <w:t>9,12</w:t>
      </w:r>
      <w:r w:rsidRPr="00650B69">
        <w:fldChar w:fldCharType="end"/>
      </w:r>
      <w:r w:rsidRPr="00650B69">
        <w:t xml:space="preserve"> In order to examine this combined effect, the fibrillation process in different experimental conditions was studied. A survey of the performed experiments can be found in</w:t>
      </w:r>
      <w:r w:rsidR="00445BB7" w:rsidRPr="00650B69">
        <w:t xml:space="preserve"> Table 1.</w:t>
      </w:r>
    </w:p>
    <w:p w14:paraId="29D44094" w14:textId="77777777" w:rsidR="006956E9" w:rsidRPr="00650B69" w:rsidRDefault="006956E9" w:rsidP="002D218C">
      <w:pPr>
        <w:pStyle w:val="TAMainText"/>
      </w:pPr>
      <w:r w:rsidRPr="00650B69">
        <w:t>Table 1. A survey of the performed experiments in this study.</w:t>
      </w:r>
    </w:p>
    <w:tbl>
      <w:tblPr>
        <w:tblStyle w:val="TableGrid"/>
        <w:tblW w:w="0" w:type="auto"/>
        <w:tblLook w:val="04A0" w:firstRow="1" w:lastRow="0" w:firstColumn="1" w:lastColumn="0" w:noHBand="0" w:noVBand="1"/>
      </w:tblPr>
      <w:tblGrid>
        <w:gridCol w:w="1638"/>
        <w:gridCol w:w="3373"/>
      </w:tblGrid>
      <w:tr w:rsidR="00967839" w:rsidRPr="00650B69" w14:paraId="572719DC" w14:textId="77777777" w:rsidTr="002D218C">
        <w:tc>
          <w:tcPr>
            <w:tcW w:w="1638" w:type="dxa"/>
          </w:tcPr>
          <w:p w14:paraId="4EBE37A5" w14:textId="77777777" w:rsidR="00967839" w:rsidRPr="00650B69" w:rsidRDefault="00967839" w:rsidP="002D218C">
            <w:pPr>
              <w:pStyle w:val="TAMainText"/>
              <w:rPr>
                <w:rFonts w:eastAsia="Times New Roman"/>
                <w:lang w:val="en-US"/>
              </w:rPr>
            </w:pPr>
            <w:r w:rsidRPr="00650B69">
              <w:rPr>
                <w:rFonts w:eastAsia="Times New Roman"/>
                <w:lang w:val="en-US"/>
              </w:rPr>
              <w:t>Sample name</w:t>
            </w:r>
          </w:p>
        </w:tc>
        <w:tc>
          <w:tcPr>
            <w:tcW w:w="3373" w:type="dxa"/>
          </w:tcPr>
          <w:p w14:paraId="72699286" w14:textId="77777777" w:rsidR="00967839" w:rsidRPr="00650B69" w:rsidRDefault="00967839" w:rsidP="002D218C">
            <w:pPr>
              <w:pStyle w:val="TAMainText"/>
              <w:rPr>
                <w:rFonts w:eastAsia="Times New Roman"/>
                <w:lang w:val="en-US"/>
              </w:rPr>
            </w:pPr>
            <w:r w:rsidRPr="00650B69">
              <w:rPr>
                <w:rFonts w:eastAsia="Times New Roman"/>
                <w:lang w:val="en-US"/>
              </w:rPr>
              <w:t>Contents solution</w:t>
            </w:r>
          </w:p>
        </w:tc>
      </w:tr>
      <w:tr w:rsidR="00967839" w:rsidRPr="00650B69" w14:paraId="495E686E" w14:textId="77777777" w:rsidTr="002D218C">
        <w:tc>
          <w:tcPr>
            <w:tcW w:w="1638" w:type="dxa"/>
          </w:tcPr>
          <w:p w14:paraId="1217FE71"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p>
        </w:tc>
        <w:tc>
          <w:tcPr>
            <w:tcW w:w="3373" w:type="dxa"/>
          </w:tcPr>
          <w:p w14:paraId="3D88EFA5" w14:textId="77777777" w:rsidR="00967839" w:rsidRPr="00650B69" w:rsidRDefault="00967839" w:rsidP="002D218C">
            <w:pPr>
              <w:pStyle w:val="TAMainText"/>
              <w:rPr>
                <w:rFonts w:eastAsia="Times New Roman"/>
                <w:lang w:val="en-US"/>
              </w:rPr>
            </w:pPr>
            <w:r w:rsidRPr="00650B69">
              <w:rPr>
                <w:rFonts w:eastAsia="Times New Roman"/>
                <w:lang w:val="en-US"/>
              </w:rPr>
              <w:t>alpha-</w:t>
            </w:r>
            <w:proofErr w:type="spellStart"/>
            <w:r w:rsidRPr="00650B69">
              <w:rPr>
                <w:rFonts w:eastAsia="Times New Roman"/>
                <w:lang w:val="en-US"/>
              </w:rPr>
              <w:t>synuclein</w:t>
            </w:r>
            <w:proofErr w:type="spellEnd"/>
            <w:r w:rsidRPr="00650B69">
              <w:rPr>
                <w:rFonts w:eastAsia="Times New Roman"/>
                <w:lang w:val="en-US"/>
              </w:rPr>
              <w:t xml:space="preserve"> (</w:t>
            </w:r>
            <w:proofErr w:type="spellStart"/>
            <w:r w:rsidRPr="00650B69">
              <w:rPr>
                <w:rFonts w:eastAsia="Times New Roman"/>
                <w:lang w:val="en-US"/>
              </w:rPr>
              <w:t>asyn</w:t>
            </w:r>
            <w:proofErr w:type="spellEnd"/>
            <w:r w:rsidRPr="00650B69">
              <w:rPr>
                <w:rFonts w:eastAsia="Times New Roman"/>
                <w:lang w:val="en-US"/>
              </w:rPr>
              <w:t xml:space="preserve">) </w:t>
            </w:r>
          </w:p>
        </w:tc>
      </w:tr>
      <w:tr w:rsidR="00967839" w:rsidRPr="00650B69" w14:paraId="64B861F7" w14:textId="77777777" w:rsidTr="002D218C">
        <w:tc>
          <w:tcPr>
            <w:tcW w:w="1638" w:type="dxa"/>
          </w:tcPr>
          <w:p w14:paraId="45D9157C" w14:textId="77777777" w:rsidR="00967839" w:rsidRPr="00650B69" w:rsidRDefault="00967839" w:rsidP="002D218C">
            <w:pPr>
              <w:pStyle w:val="TAMainText"/>
              <w:rPr>
                <w:rFonts w:eastAsia="Times New Roman"/>
                <w:lang w:val="en-US"/>
              </w:rPr>
            </w:pPr>
            <w:r w:rsidRPr="00650B69">
              <w:rPr>
                <w:rFonts w:eastAsia="Times New Roman"/>
                <w:lang w:val="en-US"/>
              </w:rPr>
              <w:t>F70asyn150</w:t>
            </w:r>
          </w:p>
        </w:tc>
        <w:tc>
          <w:tcPr>
            <w:tcW w:w="3373" w:type="dxa"/>
          </w:tcPr>
          <w:p w14:paraId="341A0180"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r w:rsidRPr="00650B69">
              <w:rPr>
                <w:rFonts w:eastAsia="Times New Roman"/>
                <w:lang w:val="en-US"/>
              </w:rPr>
              <w:t xml:space="preserve"> and 150 mg mL</w:t>
            </w:r>
            <w:r w:rsidRPr="00650B69">
              <w:rPr>
                <w:rFonts w:eastAsia="Times New Roman"/>
                <w:vertAlign w:val="superscript"/>
                <w:lang w:val="en-US"/>
              </w:rPr>
              <w:t>-1</w:t>
            </w:r>
            <w:r w:rsidRPr="00650B69">
              <w:rPr>
                <w:rFonts w:eastAsia="Times New Roman"/>
                <w:lang w:val="en-US"/>
              </w:rPr>
              <w:t xml:space="preserve"> </w:t>
            </w:r>
            <w:proofErr w:type="spellStart"/>
            <w:r w:rsidRPr="00650B69">
              <w:rPr>
                <w:rFonts w:eastAsia="Times New Roman"/>
                <w:lang w:val="en-US"/>
              </w:rPr>
              <w:t>Ficoll</w:t>
            </w:r>
            <w:proofErr w:type="spellEnd"/>
            <w:r w:rsidRPr="00650B69">
              <w:rPr>
                <w:rFonts w:eastAsia="Times New Roman"/>
                <w:lang w:val="en-US"/>
              </w:rPr>
              <w:t xml:space="preserve"> 70 (F70)</w:t>
            </w:r>
          </w:p>
        </w:tc>
      </w:tr>
      <w:tr w:rsidR="00967839" w:rsidRPr="00650B69" w14:paraId="633E152C" w14:textId="77777777" w:rsidTr="002D218C">
        <w:tc>
          <w:tcPr>
            <w:tcW w:w="1638" w:type="dxa"/>
          </w:tcPr>
          <w:p w14:paraId="1093321A" w14:textId="77777777" w:rsidR="00967839" w:rsidRPr="00650B69" w:rsidRDefault="00967839" w:rsidP="002D218C">
            <w:pPr>
              <w:pStyle w:val="TAMainText"/>
              <w:rPr>
                <w:rFonts w:eastAsia="Times New Roman"/>
                <w:lang w:val="en-US"/>
              </w:rPr>
            </w:pPr>
            <w:r w:rsidRPr="00650B69">
              <w:rPr>
                <w:rFonts w:eastAsia="Times New Roman"/>
                <w:lang w:val="en-US"/>
              </w:rPr>
              <w:t>F70asyn300</w:t>
            </w:r>
          </w:p>
        </w:tc>
        <w:tc>
          <w:tcPr>
            <w:tcW w:w="3373" w:type="dxa"/>
          </w:tcPr>
          <w:p w14:paraId="79F5BC19"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r w:rsidRPr="00650B69">
              <w:rPr>
                <w:rFonts w:eastAsia="Times New Roman"/>
                <w:lang w:val="en-US"/>
              </w:rPr>
              <w:t xml:space="preserve"> and 300 mg mL</w:t>
            </w:r>
            <w:r w:rsidRPr="00650B69">
              <w:rPr>
                <w:rFonts w:eastAsia="Times New Roman"/>
                <w:vertAlign w:val="superscript"/>
                <w:lang w:val="en-US"/>
              </w:rPr>
              <w:t xml:space="preserve">-1 </w:t>
            </w:r>
            <w:proofErr w:type="spellStart"/>
            <w:r w:rsidRPr="00650B69">
              <w:rPr>
                <w:rFonts w:eastAsia="Times New Roman"/>
                <w:lang w:val="en-US"/>
              </w:rPr>
              <w:t>Ficoll</w:t>
            </w:r>
            <w:proofErr w:type="spellEnd"/>
            <w:r w:rsidRPr="00650B69">
              <w:rPr>
                <w:rFonts w:eastAsia="Times New Roman"/>
                <w:lang w:val="en-US"/>
              </w:rPr>
              <w:t xml:space="preserve"> 70 (F70)</w:t>
            </w:r>
          </w:p>
        </w:tc>
      </w:tr>
      <w:tr w:rsidR="00967839" w:rsidRPr="00650B69" w14:paraId="19FF40AF" w14:textId="77777777" w:rsidTr="002D218C">
        <w:tc>
          <w:tcPr>
            <w:tcW w:w="1638" w:type="dxa"/>
          </w:tcPr>
          <w:p w14:paraId="5FBF3032"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asynbsyn</w:t>
            </w:r>
            <w:proofErr w:type="spellEnd"/>
          </w:p>
        </w:tc>
        <w:tc>
          <w:tcPr>
            <w:tcW w:w="3373" w:type="dxa"/>
          </w:tcPr>
          <w:p w14:paraId="44A8C7A1"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r w:rsidRPr="00650B69">
              <w:rPr>
                <w:rFonts w:eastAsia="Times New Roman"/>
                <w:lang w:val="en-US"/>
              </w:rPr>
              <w:t xml:space="preserve"> and beta-</w:t>
            </w:r>
            <w:proofErr w:type="spellStart"/>
            <w:r w:rsidRPr="00650B69">
              <w:rPr>
                <w:rFonts w:eastAsia="Times New Roman"/>
                <w:lang w:val="en-US"/>
              </w:rPr>
              <w:t>synuclein</w:t>
            </w:r>
            <w:proofErr w:type="spellEnd"/>
            <w:r w:rsidRPr="00650B69">
              <w:rPr>
                <w:rFonts w:eastAsia="Times New Roman"/>
                <w:lang w:val="en-US"/>
              </w:rPr>
              <w:t xml:space="preserve"> (</w:t>
            </w:r>
            <w:proofErr w:type="spellStart"/>
            <w:r w:rsidRPr="00650B69">
              <w:rPr>
                <w:rFonts w:eastAsia="Times New Roman"/>
                <w:lang w:val="en-US"/>
              </w:rPr>
              <w:t>bsyn</w:t>
            </w:r>
            <w:proofErr w:type="spellEnd"/>
            <w:r w:rsidRPr="00650B69">
              <w:rPr>
                <w:rFonts w:eastAsia="Times New Roman"/>
                <w:lang w:val="en-US"/>
              </w:rPr>
              <w:t>) (1:1 ratio)</w:t>
            </w:r>
          </w:p>
        </w:tc>
      </w:tr>
      <w:tr w:rsidR="00967839" w:rsidRPr="00650B69" w14:paraId="0E13C9BF" w14:textId="77777777" w:rsidTr="002D218C">
        <w:tc>
          <w:tcPr>
            <w:tcW w:w="1638" w:type="dxa"/>
          </w:tcPr>
          <w:p w14:paraId="70614134" w14:textId="77777777" w:rsidR="00967839" w:rsidRPr="00650B69" w:rsidRDefault="00967839" w:rsidP="002D218C">
            <w:pPr>
              <w:pStyle w:val="TAMainText"/>
              <w:rPr>
                <w:rFonts w:eastAsia="Times New Roman"/>
                <w:lang w:val="en-US"/>
              </w:rPr>
            </w:pPr>
            <w:r w:rsidRPr="00650B69">
              <w:rPr>
                <w:rFonts w:eastAsia="Times New Roman"/>
                <w:lang w:val="en-US"/>
              </w:rPr>
              <w:t>F70asynbsyn150</w:t>
            </w:r>
          </w:p>
        </w:tc>
        <w:tc>
          <w:tcPr>
            <w:tcW w:w="3373" w:type="dxa"/>
          </w:tcPr>
          <w:p w14:paraId="5E0F5A9B"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r w:rsidRPr="00650B69">
              <w:rPr>
                <w:rFonts w:eastAsia="Times New Roman"/>
                <w:lang w:val="en-US"/>
              </w:rPr>
              <w:t xml:space="preserve">, </w:t>
            </w:r>
            <w:proofErr w:type="spellStart"/>
            <w:r w:rsidRPr="00650B69">
              <w:rPr>
                <w:rFonts w:eastAsia="Times New Roman"/>
                <w:lang w:val="en-US"/>
              </w:rPr>
              <w:t>bsyn</w:t>
            </w:r>
            <w:proofErr w:type="spellEnd"/>
            <w:r w:rsidRPr="00650B69">
              <w:rPr>
                <w:rFonts w:eastAsia="Times New Roman"/>
                <w:lang w:val="en-US"/>
              </w:rPr>
              <w:t xml:space="preserve"> (1:1 ratio) and 150 mg mL</w:t>
            </w:r>
            <w:r w:rsidRPr="00650B69">
              <w:rPr>
                <w:rFonts w:eastAsia="Times New Roman"/>
                <w:vertAlign w:val="superscript"/>
                <w:lang w:val="en-US"/>
              </w:rPr>
              <w:t>-1</w:t>
            </w:r>
            <w:r w:rsidRPr="00650B69">
              <w:rPr>
                <w:rFonts w:eastAsia="Times New Roman"/>
                <w:lang w:val="en-US"/>
              </w:rPr>
              <w:t xml:space="preserve"> </w:t>
            </w:r>
            <w:proofErr w:type="spellStart"/>
            <w:r w:rsidRPr="00650B69">
              <w:rPr>
                <w:rFonts w:eastAsia="Times New Roman"/>
                <w:lang w:val="en-US"/>
              </w:rPr>
              <w:t>Ficoll</w:t>
            </w:r>
            <w:proofErr w:type="spellEnd"/>
            <w:r w:rsidRPr="00650B69">
              <w:rPr>
                <w:rFonts w:eastAsia="Times New Roman"/>
                <w:lang w:val="en-US"/>
              </w:rPr>
              <w:t xml:space="preserve"> 70 (F70)</w:t>
            </w:r>
          </w:p>
        </w:tc>
      </w:tr>
      <w:tr w:rsidR="00967839" w:rsidRPr="00650B69" w14:paraId="46FED413" w14:textId="77777777" w:rsidTr="002D218C">
        <w:tc>
          <w:tcPr>
            <w:tcW w:w="1638" w:type="dxa"/>
          </w:tcPr>
          <w:p w14:paraId="282F6B45" w14:textId="77777777" w:rsidR="00967839" w:rsidRPr="00650B69" w:rsidRDefault="00967839" w:rsidP="002D218C">
            <w:pPr>
              <w:pStyle w:val="TAMainText"/>
              <w:rPr>
                <w:rFonts w:eastAsia="Times New Roman"/>
                <w:lang w:val="en-US"/>
              </w:rPr>
            </w:pPr>
            <w:r w:rsidRPr="00650B69">
              <w:rPr>
                <w:rFonts w:eastAsia="Times New Roman"/>
                <w:lang w:val="en-US"/>
              </w:rPr>
              <w:t>F70asynbsyn300</w:t>
            </w:r>
          </w:p>
        </w:tc>
        <w:tc>
          <w:tcPr>
            <w:tcW w:w="3373" w:type="dxa"/>
          </w:tcPr>
          <w:p w14:paraId="3E330976" w14:textId="77777777" w:rsidR="00967839" w:rsidRPr="00650B69" w:rsidRDefault="00967839" w:rsidP="002D218C">
            <w:pPr>
              <w:pStyle w:val="TAMainText"/>
              <w:rPr>
                <w:rFonts w:eastAsia="Times New Roman"/>
                <w:lang w:val="en-US"/>
              </w:rPr>
            </w:pPr>
            <w:proofErr w:type="spellStart"/>
            <w:r w:rsidRPr="00650B69">
              <w:rPr>
                <w:rFonts w:eastAsia="Times New Roman"/>
                <w:lang w:val="en-US"/>
              </w:rPr>
              <w:t>asyn</w:t>
            </w:r>
            <w:proofErr w:type="spellEnd"/>
            <w:r w:rsidRPr="00650B69">
              <w:rPr>
                <w:rFonts w:eastAsia="Times New Roman"/>
                <w:lang w:val="en-US"/>
              </w:rPr>
              <w:t xml:space="preserve">, </w:t>
            </w:r>
            <w:proofErr w:type="spellStart"/>
            <w:r w:rsidRPr="00650B69">
              <w:rPr>
                <w:rFonts w:eastAsia="Times New Roman"/>
                <w:lang w:val="en-US"/>
              </w:rPr>
              <w:t>bsyn</w:t>
            </w:r>
            <w:proofErr w:type="spellEnd"/>
            <w:r w:rsidRPr="00650B69">
              <w:rPr>
                <w:rFonts w:eastAsia="Times New Roman"/>
                <w:lang w:val="en-US"/>
              </w:rPr>
              <w:t xml:space="preserve"> (1:1 ratio) and 300 mg mL</w:t>
            </w:r>
            <w:r w:rsidRPr="00650B69">
              <w:rPr>
                <w:rFonts w:eastAsia="Times New Roman"/>
                <w:vertAlign w:val="superscript"/>
                <w:lang w:val="en-US"/>
              </w:rPr>
              <w:t xml:space="preserve">-1 </w:t>
            </w:r>
            <w:proofErr w:type="spellStart"/>
            <w:r w:rsidRPr="00650B69">
              <w:rPr>
                <w:rFonts w:eastAsia="Times New Roman"/>
                <w:lang w:val="en-US"/>
              </w:rPr>
              <w:t>Ficoll</w:t>
            </w:r>
            <w:proofErr w:type="spellEnd"/>
            <w:r w:rsidRPr="00650B69">
              <w:rPr>
                <w:rFonts w:eastAsia="Times New Roman"/>
                <w:lang w:val="en-US"/>
              </w:rPr>
              <w:t xml:space="preserve"> 70 (F70)</w:t>
            </w:r>
          </w:p>
        </w:tc>
      </w:tr>
    </w:tbl>
    <w:p w14:paraId="391ABF6F" w14:textId="77777777" w:rsidR="00B65654" w:rsidRPr="00650B69" w:rsidRDefault="00B65654" w:rsidP="002D218C">
      <w:pPr>
        <w:pStyle w:val="TAMainText"/>
      </w:pPr>
    </w:p>
    <w:p w14:paraId="522ED9B1" w14:textId="77777777" w:rsidR="00B65654" w:rsidRPr="00650B69" w:rsidRDefault="00B65654" w:rsidP="002D218C">
      <w:pPr>
        <w:pStyle w:val="TAMainText"/>
      </w:pPr>
      <w:r w:rsidRPr="00650B69">
        <w:lastRenderedPageBreak/>
        <w:t xml:space="preserve">The effect of these different conditions on the kinetics of the fibrillation study was monitored using a </w:t>
      </w:r>
      <w:proofErr w:type="spellStart"/>
      <w:r w:rsidRPr="00650B69">
        <w:t>Thioflavin</w:t>
      </w:r>
      <w:proofErr w:type="spellEnd"/>
      <w:r w:rsidRPr="00650B69">
        <w:t xml:space="preserve"> T-assay (</w:t>
      </w:r>
      <w:proofErr w:type="spellStart"/>
      <w:r w:rsidRPr="00650B69">
        <w:t>ThT</w:t>
      </w:r>
      <w:proofErr w:type="spellEnd"/>
      <w:r w:rsidRPr="00650B69">
        <w:t xml:space="preserve">-assay). Because of its enhanced fluorescence upon binding to amyloid fibrils, </w:t>
      </w:r>
      <w:proofErr w:type="spellStart"/>
      <w:r w:rsidRPr="00650B69">
        <w:t>ThT</w:t>
      </w:r>
      <w:proofErr w:type="spellEnd"/>
      <w:r w:rsidRPr="00650B69">
        <w:t xml:space="preserve"> is often used to monitor the formation of beta-fibrils. </w:t>
      </w:r>
      <w:r w:rsidRPr="00650B69">
        <w:fldChar w:fldCharType="begin" w:fldLock="1"/>
      </w:r>
      <w:r w:rsidR="002B33FF" w:rsidRPr="00650B69">
        <w:instrText>ADDIN CSL_CITATION {"citationItems":[{"id":"ITEM-1","itemData":{"DOI":"10.1016/j.jsb.2005.06.006","ISBN":"1047-8477 (Print) 1047-8477 (Linking)","ISSN":"10478477","PMID":"16125973","abstract":"Thioflavin T is a benzothiazole dye that exhibits enhanced fluorescence upon binding to amyloid fibrils and is commonly used to diagnose amyloid fibrils, both ex vivo and in vitro. In aqueous solutions, thioflavin T was found to exist as micelles at concentrations commonly used to monitor fibrils by fluorescence assay (</w:instrText>
      </w:r>
      <w:r w:rsidR="002B33FF" w:rsidRPr="00650B69">
        <w:rPr>
          <w:rFonts w:ascii="Cambria Math" w:hAnsi="Cambria Math" w:cs="Cambria Math"/>
        </w:rPr>
        <w:instrText>∼</w:instrText>
      </w:r>
      <w:r w:rsidR="002B33FF" w:rsidRPr="00650B69">
        <w:instrText xml:space="preserve">10-20 </w:instrText>
      </w:r>
      <w:r w:rsidR="002B33FF" w:rsidRPr="00650B69">
        <w:rPr>
          <w:rFonts w:ascii="Constantia" w:hAnsi="Constantia" w:cs="Constantia"/>
        </w:rPr>
        <w:instrText>μ</w:instrText>
      </w:r>
      <w:r w:rsidR="002B33FF" w:rsidRPr="00650B69">
        <w:instrText>M). Specific conductivity changes were measured at varying concentration of thioflavin T and the critical micellar concentration was calculated to be 4.0 ± 0.5 μM. Interestingly, changes in the fluorescence excitation and emission of thioflavin T were also dependent on the micelle formation. The thioflavin T micelles of 3 nm diameter were directly visualized using atomic force microscopy, and bound thioflavin T micelles were observed along the fibril length for representative fibrils. Increasing concentration of thioflavin T above the critical micellar concentration shows increased numbers of micelles bound along the length of the amyloid fibrils. Thioflavin T micelles were disrupted at low pH as observed by atomic force microscopy and fluorescence enhancement upon binding of thioflavin T to amyloid fibrils also reduced by several-fold upon decreasing the pH to below 3. This suggests that positive charge on the thioflavin T molecule has a role in its micelle formation that then bind the amyloid fibrils. Our data suggests that the micelles of thioflavin T bind amyloid fibrils leading to enhancement of fluorescence emission. © 2005 Elsevier Inc. All rights reserved.","author":[{"dropping-particle":"","family":"Khurana","given":"Ritu","non-dropping-particle":"","parse-names":false,"suffix":""},{"dropping-particle":"","family":"Coleman","given":"Chris","non-dropping-particle":"","parse-names":false,"suffix":""},{"dropping-particle":"","family":"Ionescu-Zanetti","given":"Cristian","non-dropping-particle":"","parse-names":false,"suffix":""},{"dropping-particle":"","family":"Carter","given":"Sue A.","non-dropping-particle":"","parse-names":false,"suffix":""},{"dropping-particle":"","family":"Krishna","given":"Vinay","non-dropping-particle":"","parse-names":false,"suffix":""},{"dropping-particle":"","family":"Grover","given":"Rajesh K.","non-dropping-particle":"","parse-names":false,"suffix":""},{"dropping-particle":"","family":"Roy","given":"Raja","non-dropping-particle":"","parse-names":false,"suffix":""},{"dropping-particle":"","family":"Singh","given":"Shashi","non-dropping-particle":"","parse-names":false,"suffix":""}],"container-title":"Journal of Structural Biology","id":"ITEM-1","issued":{"date-parts":[["2005"]]},"page":"229-238","title":"Mechanism of thioflavin T binding to amyloid fibrils","type":"article-journal","volume":"151"},"uris":["http://www.mendeley.com/documents/?uuid=a57e1eb0-92b1-4fe7-a83b-f006152c6bfa"]}],"mendeley":{"formattedCitation":"&lt;sup&gt;13&lt;/sup&gt;","plainTextFormattedCitation":"13","previouslyFormattedCitation":"&lt;sup&gt;13&lt;/sup&gt;"},"properties":{"noteIndex":0},"schema":"https://github.com/citation-style-language/schema/raw/master/csl-citation.json"}</w:instrText>
      </w:r>
      <w:r w:rsidRPr="00650B69">
        <w:fldChar w:fldCharType="separate"/>
      </w:r>
      <w:r w:rsidRPr="00650B69">
        <w:rPr>
          <w:noProof/>
          <w:vertAlign w:val="superscript"/>
        </w:rPr>
        <w:t>13</w:t>
      </w:r>
      <w:r w:rsidRPr="00650B69">
        <w:fldChar w:fldCharType="end"/>
      </w:r>
      <w:r w:rsidRPr="00650B69">
        <w:t xml:space="preserve"> The results, plotting the amount of fluorescence versus time, can be fitted to the Finke-</w:t>
      </w:r>
      <w:proofErr w:type="spellStart"/>
      <w:r w:rsidRPr="00650B69">
        <w:t>Watzky</w:t>
      </w:r>
      <w:proofErr w:type="spellEnd"/>
      <w:r w:rsidRPr="00650B69">
        <w:t xml:space="preserve"> equation</w:t>
      </w:r>
      <w:r w:rsidRPr="00650B69">
        <w:fldChar w:fldCharType="begin" w:fldLock="1"/>
      </w:r>
      <w:r w:rsidR="002B33FF" w:rsidRPr="00650B69">
        <w:instrText>ADDIN CSL_CITATION {"citationItems":[{"id":"ITEM-1","itemData":{"DOI":"10.1016/j.bpj.2009.12.4290","ISBN":"1542-0086 (Electronic)\\n0006-3495 (Linking)","ISSN":"15420086","PMID":"20371330","abstract":"The kinetics of aggregation of a-synuclein are usually studied by turbidity or Thio-T fluorescence. Here we follow the disappearance of monomers and the formation of early oligomers using fluorescence correlation spectroscopy. Alexa488labeled A140C-synuclein was used as a fluorescent probe in trace amounts in the presence of excess unlabeled a-synuclein. Repeated short measurements produce a distribution of diffusion coefficients. Initially, a sharp peak is obtained corresponding to monomers, followed by a distinct transient population and the gradual formation of broader-sized distributions of higher oligomers. The kinetics of aggregation can be followed by the decreasing number of fast-diffusing species. Both the disappearance of fast-diffusing species and the appearance of turbidity can be fitted to the Finke-Watzky equation, but the apparent rate constants obtained are different. This reflects the fact that the disappearance of fast species occurs largely during the lag phase of turbidity development, due to the limited sensitivity of turbidity to the early aggregation process. The nucleation of the early oligomers is concentration-dependent and accompanied by a conformational change that precedes /5-structure formation, and can be visualized using fluorescence resonance energy transfer between the donor-labeled N-terminus and the acceptor-labeled cysteine in the mutant A140C. © 2010 by the Biophysical Society.","author":[{"dropping-particle":"","family":"Nath","given":"Sangeeta","non-dropping-particle":"","parse-names":false,"suffix":""},{"dropping-particle":"","family":"Meuvis","given":"Jessika","non-dropping-particle":"","parse-names":false,"suffix":""},{"dropping-particle":"","family":"Hendrix","given":"Jeiie","non-dropping-particle":"","parse-names":false,"suffix":""},{"dropping-particle":"","family":"Carl","given":"Shaun A.","non-dropping-particle":"","parse-names":false,"suffix":""},{"dropping-particle":"","family":"Engelborghs","given":"Yves","non-dropping-particle":"","parse-names":false,"suffix":""}],"container-title":"Biophysical Journal","id":"ITEM-1","issue":"7","issued":{"date-parts":[["2010"]]},"page":"1302-1311","publisher":"Elsevier","title":"Early aggregation steps in alpha-synuclein as measured by FCS and FRET: Evidence for a contagious conformational change","type":"article-journal","volume":"98"},"uris":["http://www.mendeley.com/documents/?uuid=dd4f8971-39c8-444a-a5b3-de6468aa8d24"]},{"id":"ITEM-2","itemData":{"DOI":"10.1021/bi701899y","ISBN":"0006-2960 (Print) 0006-2960 (Linking)","ISSN":"00062960","PMID":"18247636","abstract":"The aggregation of proteins has been hypothesized to be an underlying cause of many neurological disorders including Alzheimer’s, Parkinson’s, and Huntington’s diseases; protein aggregation is also important to normal life function in cases such as G to F-actin, glutamate dehydrogenase, and tubulin and flagella formation. For this reason, the underlying mechanism of protein aggregation, and accompanying kinetic models for protein nucleation and growth (growth also being called elongation, polymerization, or fibrillation in the literature), have been investigated for more than 50 years. As a way to concisely present the key prior literature in the protein aggregation area, Table 1 in the main text summarizes 23 papers by 10 groups of authors that provide 5 basic classes of mechanisms for protein aggregation over the period from 1959 to 2007. However, and despite this major prior effort, still lacking are both (i) anything approaching a consensus mechanism (or mechanisms), and (ii) a generally useful, and thus widely used, simplest/“Ockham’s razor” kinetic model and associated equations that can be routinely employed to analyze a broader range of protein aggregation kinetic data. Herein we demonstrate that the 1997 Finke-Watzky (F-W) 2-step mechanism of slow continuous nucleation, A f B (rate constant k1), followed by typically fast, autocatalytic surface growth, A + B f 2B (rate constant k2), is able to quantitatively account for the kinetic curves from all 14 representative data sets of neurological protein aggregation found by a literature search (the prion literature was largely excluded for the purposes of this study in order provide some limit to the resultant literature that was covered). The F-Wmodel is able to deconvolute the desired nucleation, k1, and growth, k2, rate constants from those 14 data sets obtained by four different physical methods, for three different proteins, and in nine different labs. The fits are generally good, and in many cases excellent, with R2 values g0.98 in all cases. As such, this contribution is the current record of the widest set of protein aggregation data best fit by what is also the simplest model offered to date. Also provided is the mathematical connection between the 1997 F-W 2-step mechanism and the 2000 3-step mechanism proposed by Saito ˆ and co-workers. In particular, the kinetic equation for Saito ˆ’s 3-step mechanism is shown to be mathematically identical to the earlier, 1997 2-step F-W mechanism under…","author":[{"dropping-particle":"","family":"Morris","given":"Aimee M.","non-dropping-particle":"","parse-names":false,"suffix":""},{"dropping-particle":"","family":"Watzky","given":"Murielle A.","non-dropping-particle":"","parse-names":false,"suffix":""},{"dropping-particle":"","family":"Agar","given":"Jeffrey N.","non-dropping-particle":"","parse-names":false,"suffix":""},{"dropping-particle":"","family":"Finke","given":"Richard G.","non-dropping-particle":"","parse-names":false,"suffix":""}],"container-title":"Biochemistry","id":"ITEM-2","issue":"8","issued":{"date-parts":[["2008"]]},"page":"2413-2427","title":"Fitting neurological protein aggregation kinetic data via a 2-step, minimal/\"Ockham's razor\" model: The Finke-Watzky mechanism of nucleation followed by autocatalytic surface growth","type":"article-journal","volume":"47"},"uris":["http://www.mendeley.com/documents/?uuid=0e622125-ccc3-4d08-8d70-fc5ddeb44329"]}],"mendeley":{"formattedCitation":"&lt;sup&gt;14,15&lt;/sup&gt;","plainTextFormattedCitation":"14,15","previouslyFormattedCitation":"&lt;sup&gt;14,15&lt;/sup&gt;"},"properties":{"noteIndex":0},"schema":"https://github.com/citation-style-language/schema/raw/master/csl-citation.json"}</w:instrText>
      </w:r>
      <w:r w:rsidRPr="00650B69">
        <w:fldChar w:fldCharType="separate"/>
      </w:r>
      <w:r w:rsidRPr="00650B69">
        <w:rPr>
          <w:noProof/>
          <w:vertAlign w:val="superscript"/>
        </w:rPr>
        <w:t>14,15</w:t>
      </w:r>
      <w:r w:rsidRPr="00650B69">
        <w:fldChar w:fldCharType="end"/>
      </w:r>
      <w:r w:rsidRPr="00650B69">
        <w:t xml:space="preserve">, resulting in quantitative information on the kinetics of the fibrillation process. </w:t>
      </w:r>
    </w:p>
    <w:p w14:paraId="6A62495E" w14:textId="77777777" w:rsidR="00F075E7" w:rsidRPr="00650B69" w:rsidRDefault="00B65654" w:rsidP="002D218C">
      <w:pPr>
        <w:pStyle w:val="TAMainText"/>
      </w:pPr>
      <w:r w:rsidRPr="00650B69">
        <w:t xml:space="preserve">In order to study the resulting morphology of the fibrils formed at the different conditions, the secondary structure of the fibrils was estimated from electronic circular dichroism (ECD) and </w:t>
      </w:r>
      <w:r w:rsidR="00C467E2" w:rsidRPr="00650B69">
        <w:t xml:space="preserve">Fourier transform </w:t>
      </w:r>
      <w:r w:rsidRPr="00650B69">
        <w:t>infrared (</w:t>
      </w:r>
      <w:r w:rsidR="00C467E2" w:rsidRPr="00650B69">
        <w:t>FT</w:t>
      </w:r>
      <w:r w:rsidRPr="00650B69">
        <w:t>IR) spectroscopy, while the nature of the supramolecular structures was studied using transmission electron microscopy (TEM) and vibrational circular dichroism (VCD). The  latter shows unprecedented spectroscopic sensitivity towards the presence of fibrils</w:t>
      </w:r>
      <w:r w:rsidRPr="00650B69">
        <w:fldChar w:fldCharType="begin" w:fldLock="1"/>
      </w:r>
      <w:r w:rsidR="002B33FF" w:rsidRPr="00650B69">
        <w:instrText>ADDIN CSL_CITATION {"citationItems":[{"id":"ITEM-1","itemData":{"DOI":"10.1021/ja074188z","ISBN":"0002-7863","ISSN":"00027863","PMID":"17894496","abstract":"Similar, unusually large vibrational circular dichroism (VCD) spectra in the amide I and II region for aqueous solutions of the proteins lysozyme and insulin are presented under conditions of heating at low pH that are known to induce fibril formation. Centrifugation allows separation of a fibril gel phase from a proto-filament supernatant phase where VCD indicative of the presence of proto-filaments, compared to the VCD of native protein, is observed. Development of even larger VCD over longer time periods, growing in magnitude and changing in relative intensities, is followed with in situ solution-state VCD measurements of a single sample of insulin. These spectra demonstrate that VCD possesses unusual sensitivity to fibril growth and development in solution. Correlation of these VCD spectra to AFM or SEM images of corresponding fibril samples will be carried out in the future.\\nSimilar, unusually large vibrational circular dichroism (VCD) spectra in the amide I and II region for aqueous solutions of the proteins lysozyme and insulin are presented under conditions of heating at low pH that are known to induce fibril formation. Centrifugation allows separation of a fibril gel phase from a proto-filament supernatant phase where VCD indicative of the presence of proto-filaments, compared to the VCD of native protein, is observed. Development of even larger VCD over longer time periods, growing in magnitude and changing in relative intensities, is followed with in situ solution-state VCD measurements of a single sample of insulin. These spectra demonstrate that VCD possesses unusual sensitivity to fibril growth and development in solution. Correlation of these VCD spectra to AFM or SEM images of corresponding fibril samples will be carried out in the future.","author":[{"dropping-particle":"","family":"Ma","given":"Shengli","non-dropping-particle":"","parse-names":false,"suffix":""},{"dropping-particle":"","family":"Cao","given":"Xiaolin","non-dropping-particle":"","parse-names":false,"suffix":""},{"dropping-particle":"","family":"Mak","given":"Mimi","non-dropping-particle":"","parse-names":false,"suffix":""},{"dropping-particle":"","family":"Sadik","given":"Adeola","non-dropping-particle":"","parse-names":false,"suffix":""},{"dropping-particle":"","family":"Walkner","given":"Christoph","non-dropping-particle":"","parse-names":false,"suffix":""},{"dropping-particle":"","family":"Freedman","given":"Teresa B.","non-dropping-particle":"","parse-names":false,"suffix":""},{"dropping-particle":"","family":"Lednev","given":"Igor K.","non-dropping-particle":"","parse-names":false,"suffix":""},{"dropping-particle":"","family":"Dukor","given":"Rina K.","non-dropping-particle":"","parse-names":false,"suffix":""},{"dropping-particle":"","family":"Nafie","given":"Laurence a.","non-dropping-particle":"","parse-names":false,"suffix":""}],"container-title":"Journal of the American Chemical Society","id":"ITEM-1","issue":"41","issued":{"date-parts":[["2007"]]},"page":"12364-12365","title":"Vibrational circular dichroism shows unusual sensitivity to protein fibril formation and development in solution","type":"article-journal","volume":"129"},"uris":["http://www.mendeley.com/documents/?uuid=c928d525-8f31-4f87-90c0-e861ed37e1a3"]}],"mendeley":{"formattedCitation":"&lt;sup&gt;16&lt;/sup&gt;","plainTextFormattedCitation":"16","previouslyFormattedCitation":"&lt;sup&gt;16&lt;/sup&gt;"},"properties":{"noteIndex":0},"schema":"https://github.com/citation-style-language/schema/raw/master/csl-citation.json"}</w:instrText>
      </w:r>
      <w:r w:rsidRPr="00650B69">
        <w:fldChar w:fldCharType="separate"/>
      </w:r>
      <w:r w:rsidRPr="00650B69">
        <w:rPr>
          <w:noProof/>
          <w:vertAlign w:val="superscript"/>
        </w:rPr>
        <w:t>16</w:t>
      </w:r>
      <w:r w:rsidRPr="00650B69">
        <w:fldChar w:fldCharType="end"/>
      </w:r>
      <w:r w:rsidRPr="00650B69">
        <w:t>, even to the morphology of those fibrils.</w:t>
      </w:r>
      <w:r w:rsidRPr="00650B69">
        <w:fldChar w:fldCharType="begin" w:fldLock="1"/>
      </w:r>
      <w:r w:rsidR="002B33FF" w:rsidRPr="00650B69">
        <w:instrText>ADDIN CSL_CITATION {"citationItems":[{"id":"ITEM-1","itemData":{"DOI":"10.1021/acs.jpcb.5b04779","ISSN":"1520-6106","author":[{"dropping-particle":"","family":"Shanmugasundaram","given":"Maruda","non-dropping-particle":"","parse-names":false,"suffix":""},{"dropping-particle":"","family":"Kurouski","given":"Dmitry","non-dropping-particle":"","parse-names":false,"suffix":""},{"dropping-particle":"","family":"Wan","given":"William","non-dropping-particle":"","parse-names":false,"suffix":""},{"dropping-particle":"","family":"Stubbs","given":"Gerald","non-dropping-particle":"","parse-names":false,"suffix":""},{"dropping-particle":"","family":"Dukor","given":"Rina K.","non-dropping-particle":"","parse-names":false,"suffix":""},{"dropping-particle":"","family":"Nafie","given":"Laurence A.","non-dropping-particle":"","parse-names":false,"suffix":""},{"dropping-particle":"","family":"Lednev","given":"Igor K.","non-dropping-particle":"","parse-names":false,"suffix":""}],"container-title":"The Journal of Physical Chemistry B","id":"ITEM-1","issued":{"date-parts":[["2015"]]},"page":"8521-8525","title":"Rapid filament supramolecular chirality reversal of HET-s (218-289) prion fibrils driven by pH elevation","type":"article-journal","volume":"119"},"uris":["http://www.mendeley.com/documents/?uuid=69a80f50-d7ee-4225-b8da-d318e2dc80ec"]},{"id":"ITEM-2","itemData":{"DOI":"10.1039/c0cc02423f","ISBN":"1359-7345","ISSN":"1359-7345","PMID":"20820535","abstract":"The controlled reversal of supramolecular helical chirality in protein fibrils is reported for the first time. Normal or reversed insulin fibrils were grown by precise adjustment of pH. AFM images show two polymorphs corresponding to opposite senses of helical twist of the supramolecular structure with the same cross-β-sheet core.","author":[{"dropping-particle":"","family":"Kurouski","given":"Dmitry","non-dropping-particle":"","parse-names":false,"suffix":""},{"dropping-particle":"","family":"Lombardi","given":"Rosina A.","non-dropping-particle":"","parse-names":false,"suffix":""},{"dropping-particle":"","family":"Dukor","given":"Rina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A.","non-dropping-particle":"","parse-names":false,"suffix":""}],"container-title":"Chemical Communications","id":"ITEM-2","issue":"38","issued":{"date-parts":[["2010"]]},"page":"7154","title":"Direct observation and pH control of reversed supramolecular chirality in insulin fibrils by vibrational circular dichroism","type":"article-journal","volume":"46"},"uris":["http://www.mendeley.com/documents/?uuid=43301d2b-c171-4eea-b882-a44d707b872b"]},{"id":"ITEM-3","itemData":{"DOI":"10.1021/ja1089827","ISBN":"1520-5126 (Electronic)\\r0002-7863 (Linking)","ISSN":"00027863","PMID":"21186804","abstract":"Amyloid fibrils are affiliated with various human pathologies. Knowledge of their molecular architecture is necessary for a detailed understanding of the mechanism of fibril formation. Vibrational circular dichroism (VCD) spectroscopy has recently shown sensitivity to amyloid fibrils [Ma et al. J. Am. Chem. Soc. 2007, 129, 12364 and Measey et al. J. Am. Chem. Soc. 2009, 131, 18218]. In particular, amyloid fibrils give rise to an intensity enhanced signal in the amide I band region of the corresponding VCD spectrum, offering promise of utilizing such a method for probing fibrillogenesis and the chiral structure of fibrils. Herein, we further investigate this phenomenon and demonstrate the use of VCD to probe the fibril formation kinetics of a short alanine-rich peptide. To elucidate the origin of the anomalous VCD intensity enhancement, we use an excitonic coupling model to simulate the VCD spectrum of stacked β-sheets containing one (Ising-like model) and two amide I oscillators per strand, as models for the underlying amyloid-fibril secondary structure. With this simple model, we show that the VCD intensity enhancement of amyloid-like fibrils results from intrasheet and, to a more limited extent, also from intersheet vibrational coupling between stacked β-sheets. The enhancement requires helically twisted sheets and is most pronounced for arrangements with parallel-oriented strands. Both the intersheet distance and the orientation of the amide I transition dipole moments of neighboring sheets are found to modulate the intensity enhancement of the amide I VCD signal. Moreover, our simulations suggest that, depending on the three-dimensional arrangement of the β-strands, the sign of the VCD signal of amyloid-like fibrils can be used to distinguish between right- and left-handed helical twists of parallel-oriented β-sheets. We compare the results of our simulation to experimental spectra of two short peptides, GNNQQNY, the N-terminal peptide fragment of the yeast prion protein Sup35, and an amyloidogenic alanine-rich peptide, AKY8. Our results demonstrate the advantages of using VCD spectroscopy to probe the kinetics of peptide and protein aggregation as well as the chirality of the resulting supramolecular structure.","author":[{"dropping-particle":"","family":"Measey","given":"Thomas J.","non-dropping-particle":"","parse-names":false,"suffix":""},{"dropping-particle":"","family":"Schweitzer-Stenner","given":"Reinhard","non-dropping-particle":"","parse-names":false,"suffix":""}],"container-title":"Journal of the American Chemical Society","id":"ITEM-3","issue":"4","issued":{"date-parts":[["2011"]]},"page":"1066-1076","title":"Vibrational circular dichroism as a probe of fibrillogenesis: The origin of the anomalous intensity enhancement of amyloid-like fibrils","type":"article-journal","volume":"133"},"uris":["http://www.mendeley.com/documents/?uuid=6ccd9f59-56e4-475d-b229-ab343e21aa55"]}],"mendeley":{"formattedCitation":"&lt;sup&gt;17–19&lt;/sup&gt;","plainTextFormattedCitation":"17–19","previouslyFormattedCitation":"&lt;sup&gt;17–19&lt;/sup&gt;"},"properties":{"noteIndex":0},"schema":"https://github.com/citation-style-language/schema/raw/master/csl-citation.json"}</w:instrText>
      </w:r>
      <w:r w:rsidRPr="00650B69">
        <w:fldChar w:fldCharType="separate"/>
      </w:r>
      <w:r w:rsidRPr="00650B69">
        <w:rPr>
          <w:noProof/>
          <w:vertAlign w:val="superscript"/>
        </w:rPr>
        <w:t>17–19</w:t>
      </w:r>
      <w:r w:rsidRPr="00650B69">
        <w:fldChar w:fldCharType="end"/>
      </w:r>
      <w:r w:rsidRPr="00650B69">
        <w:t xml:space="preserve"> A more detailed description of our methods can be found in the supporting information. </w:t>
      </w:r>
    </w:p>
    <w:p w14:paraId="57A594D5" w14:textId="77777777" w:rsidR="00F57B9B" w:rsidRPr="00650B69" w:rsidRDefault="00F44D9A" w:rsidP="002D218C">
      <w:pPr>
        <w:pStyle w:val="TAMainText"/>
      </w:pPr>
      <w:r w:rsidRPr="00650B69">
        <w:t xml:space="preserve">The combined results of these experiments gave, in our opinion, exceptional insight in the effect of both the presence of crowding agents and </w:t>
      </w:r>
      <w:proofErr w:type="spellStart"/>
      <w:r w:rsidRPr="00650B69">
        <w:t>bsyn</w:t>
      </w:r>
      <w:proofErr w:type="spellEnd"/>
      <w:r w:rsidRPr="00650B69">
        <w:t xml:space="preserve"> on the fibrillation process of </w:t>
      </w:r>
      <w:proofErr w:type="spellStart"/>
      <w:r w:rsidRPr="00650B69">
        <w:t>asyn</w:t>
      </w:r>
      <w:proofErr w:type="spellEnd"/>
      <w:r w:rsidRPr="00650B69">
        <w:t xml:space="preserve">. It was found that the promotion of the fibrillation process by the crowding effect can be counteracted by the presence of </w:t>
      </w:r>
      <w:proofErr w:type="spellStart"/>
      <w:r w:rsidRPr="00650B69">
        <w:t>bsyn</w:t>
      </w:r>
      <w:proofErr w:type="spellEnd"/>
      <w:r w:rsidRPr="00650B69">
        <w:t xml:space="preserve">. The resulting structure of the fibrils, which are short and mutually aligned, is rationalized as a combination of the crowding effect and the effect of the presence of </w:t>
      </w:r>
      <w:proofErr w:type="spellStart"/>
      <w:r w:rsidRPr="00650B69">
        <w:t>bsyn</w:t>
      </w:r>
      <w:proofErr w:type="spellEnd"/>
      <w:r w:rsidRPr="00650B69">
        <w:t>, and is neither dominated by the effect of the presence F70, nor by the effect</w:t>
      </w:r>
      <w:r w:rsidR="00C467E2" w:rsidRPr="00650B69">
        <w:t xml:space="preserve"> of the presence of </w:t>
      </w:r>
      <w:proofErr w:type="spellStart"/>
      <w:r w:rsidR="00C467E2" w:rsidRPr="00650B69">
        <w:t>bsyn</w:t>
      </w:r>
      <w:proofErr w:type="spellEnd"/>
      <w:r w:rsidR="00C467E2" w:rsidRPr="00650B69">
        <w:t xml:space="preserve">. </w:t>
      </w:r>
    </w:p>
    <w:p w14:paraId="064B889F" w14:textId="77777777" w:rsidR="006E3B18" w:rsidRPr="00650B69" w:rsidRDefault="006E3B18" w:rsidP="002D218C">
      <w:pPr>
        <w:pStyle w:val="TAMainText"/>
      </w:pPr>
    </w:p>
    <w:p w14:paraId="1AC4FC0E" w14:textId="77777777" w:rsidR="006E3B18" w:rsidRPr="00650B69" w:rsidRDefault="006E3B18" w:rsidP="002D218C">
      <w:pPr>
        <w:pStyle w:val="TAMainText"/>
      </w:pPr>
      <w:r w:rsidRPr="00650B69">
        <w:t>MATERIALS AND METHODS</w:t>
      </w:r>
    </w:p>
    <w:p w14:paraId="120652B8" w14:textId="77777777" w:rsidR="006E3B18" w:rsidRPr="00650B69" w:rsidRDefault="006E3B18" w:rsidP="002D218C">
      <w:pPr>
        <w:pStyle w:val="TAMainText"/>
      </w:pPr>
      <w:proofErr w:type="spellStart"/>
      <w:r w:rsidRPr="00650B69">
        <w:t>Asyn</w:t>
      </w:r>
      <w:proofErr w:type="spellEnd"/>
      <w:r w:rsidRPr="00650B69">
        <w:t xml:space="preserve"> was expressed and purified by using a previously published method.</w:t>
      </w:r>
      <w:r w:rsidRPr="00650B69">
        <w:fldChar w:fldCharType="begin" w:fldLock="1"/>
      </w:r>
      <w:r w:rsidR="004A6D9B" w:rsidRPr="00650B69">
        <w:instrText>ADDIN CSL_CITATION {"citationItems":[{"id":"ITEM-1","itemData":{"DOI":"10.1529/biophysj.106.090449","ISBN":"0006-3495","ISSN":"00063495","PMID":"16997873","abstract":"High resolution atomic force microscopy is a powerful tool to characterize nanoscale morphological features of protein amyloid fibrils. Comparison of fibril morphological properties between studies has been hampered by differences in analysis procedures and measurement error determination used by various authors. We describe a fibril morphology analysis method that allows for quantitative comparison of features of amyloid fibrils of any amyloidogenic protein measured by atomic force microscopy. We have used tapping mode atomic force microscopy in liquid to measure the morphology of fibrillar aggregates of human wild-type alpha-synuclein and the disease-related mutants A30P, E46K, and A53T. Analysis of the images shows that fibrillar aggregates formed by E46K alpha-synuclein have a smaller diameter (9.0 +/- 0.8 nm) and periodicity (mode at 55 nm) than fibrils of wild-type alpha-synuclein (height 10.0 +/- 1.1 nm; periodicity has a mode at 65 nm). Fibrils of A30P have smaller diameter still (8.1 +/- 1.2 nm) and show a variety of periodicities. This quantitative analysis procedure enables comparison of the results with existing models for assembly of amyloid fibrils.","author":[{"dropping-particle":"","family":"Raaij","given":"Martijn E.","non-dropping-particle":"van","parse-names":false,"suffix":""},{"dropping-particle":"","family":"Segers-Nolten","given":"Ine M.J.","non-dropping-particle":"","parse-names":false,"suffix":""},{"dropping-particle":"","family":"Subramaniam","given":"Vinod","non-dropping-particle":"","parse-names":false,"suffix":""}],"container-title":"Biophysical Journal","id":"ITEM-1","issue":"11","issued":{"date-parts":[["2006"]]},"page":"L96-L98","publisher":"Elsevier","title":"Quantitative morphological analysis reveals ultrastructural diversity of amyloid fibrils from alpha-synuclein mutants","type":"article-journal","volume":"91"},"uris":["http://www.mendeley.com/documents/?uuid=5d87634c-f096-42f2-9ec4-fcee92c1fe44"]}],"mendeley":{"formattedCitation":"&lt;sup&gt;20&lt;/sup&gt;","plainTextFormattedCitation":"20","previouslyFormattedCitation":"&lt;sup&gt;20&lt;/sup&gt;"},"properties":{"noteIndex":0},"schema":"https://github.com/citation-style-language/schema/raw/master/csl-citation.json"}</w:instrText>
      </w:r>
      <w:r w:rsidRPr="00650B69">
        <w:fldChar w:fldCharType="separate"/>
      </w:r>
      <w:r w:rsidRPr="00650B69">
        <w:rPr>
          <w:noProof/>
          <w:vertAlign w:val="superscript"/>
        </w:rPr>
        <w:t>20</w:t>
      </w:r>
      <w:r w:rsidRPr="00650B69">
        <w:fldChar w:fldCharType="end"/>
      </w:r>
      <w:r w:rsidRPr="00650B69">
        <w:t xml:space="preserve"> The </w:t>
      </w:r>
      <w:proofErr w:type="spellStart"/>
      <w:r w:rsidRPr="00650B69">
        <w:t>bsyn</w:t>
      </w:r>
      <w:proofErr w:type="spellEnd"/>
      <w:r w:rsidRPr="00650B69">
        <w:t xml:space="preserve"> construct was a gift of Prof. </w:t>
      </w:r>
      <w:proofErr w:type="spellStart"/>
      <w:r w:rsidRPr="00650B69">
        <w:t>Veerle</w:t>
      </w:r>
      <w:proofErr w:type="spellEnd"/>
      <w:r w:rsidRPr="00650B69">
        <w:t xml:space="preserve"> Baekeland (KU Leuven). The expression and purification of </w:t>
      </w:r>
      <w:proofErr w:type="spellStart"/>
      <w:r w:rsidRPr="00650B69">
        <w:t>bsyn</w:t>
      </w:r>
      <w:proofErr w:type="spellEnd"/>
      <w:r w:rsidRPr="00650B69">
        <w:t xml:space="preserve"> is described in the supplementary information. The concentration of the protein preparations were determined to be 14 mg mL</w:t>
      </w:r>
      <w:r w:rsidRPr="00650B69">
        <w:rPr>
          <w:vertAlign w:val="superscript"/>
        </w:rPr>
        <w:t>-1</w:t>
      </w:r>
      <w:r w:rsidRPr="00650B69">
        <w:t xml:space="preserve"> for </w:t>
      </w:r>
      <w:proofErr w:type="spellStart"/>
      <w:r w:rsidRPr="00650B69">
        <w:t>asyn</w:t>
      </w:r>
      <w:proofErr w:type="spellEnd"/>
      <w:r w:rsidRPr="00650B69">
        <w:t xml:space="preserve"> and 5.6 mg mL</w:t>
      </w:r>
      <w:r w:rsidRPr="00650B69">
        <w:rPr>
          <w:vertAlign w:val="superscript"/>
        </w:rPr>
        <w:t>-1</w:t>
      </w:r>
      <w:r w:rsidRPr="00650B69">
        <w:t xml:space="preserve"> for </w:t>
      </w:r>
      <w:proofErr w:type="spellStart"/>
      <w:r w:rsidRPr="00650B69">
        <w:t>bsyn</w:t>
      </w:r>
      <w:proofErr w:type="spellEnd"/>
      <w:r w:rsidRPr="00650B69">
        <w:t>. The protein concentration was determined by A280nm (</w:t>
      </w:r>
      <w:proofErr w:type="spellStart"/>
      <w:r w:rsidRPr="00650B69">
        <w:t>εbsyn</w:t>
      </w:r>
      <w:proofErr w:type="spellEnd"/>
      <w:r w:rsidRPr="00650B69">
        <w:t xml:space="preserve"> 5960 M</w:t>
      </w:r>
      <w:r w:rsidRPr="00650B69">
        <w:rPr>
          <w:vertAlign w:val="superscript"/>
        </w:rPr>
        <w:t>-1</w:t>
      </w:r>
      <w:r w:rsidRPr="00650B69">
        <w:t xml:space="preserve"> cm</w:t>
      </w:r>
      <w:r w:rsidRPr="00650B69">
        <w:rPr>
          <w:vertAlign w:val="superscript"/>
        </w:rPr>
        <w:t>-1</w:t>
      </w:r>
      <w:r w:rsidRPr="00650B69">
        <w:t xml:space="preserve"> and </w:t>
      </w:r>
      <w:proofErr w:type="spellStart"/>
      <w:r w:rsidRPr="00650B69">
        <w:t>εasyn</w:t>
      </w:r>
      <w:proofErr w:type="spellEnd"/>
      <w:r w:rsidRPr="00650B69">
        <w:t xml:space="preserve"> 5800 M</w:t>
      </w:r>
      <w:r w:rsidRPr="00650B69">
        <w:rPr>
          <w:vertAlign w:val="superscript"/>
        </w:rPr>
        <w:t>-1</w:t>
      </w:r>
      <w:r w:rsidRPr="00650B69">
        <w:t xml:space="preserve"> cm</w:t>
      </w:r>
      <w:r w:rsidRPr="00650B69">
        <w:rPr>
          <w:vertAlign w:val="superscript"/>
        </w:rPr>
        <w:t>-1</w:t>
      </w:r>
      <w:r w:rsidRPr="00650B69">
        <w:t>) and, independently, by Pierce BCA protein assay (calibrated with BSA). F70 was acquired from Sigma-Aldrich®.</w:t>
      </w:r>
    </w:p>
    <w:p w14:paraId="17A02813" w14:textId="4D7B2A1B" w:rsidR="006E3B18" w:rsidRPr="00650B69" w:rsidRDefault="006E3B18" w:rsidP="002D218C">
      <w:pPr>
        <w:pStyle w:val="TAMainText"/>
      </w:pPr>
      <w:r w:rsidRPr="00650B69">
        <w:t xml:space="preserve">Samples were </w:t>
      </w:r>
      <w:r w:rsidR="002D218C" w:rsidRPr="00650B69">
        <w:t>made with compositions detailed in Table 2.</w:t>
      </w:r>
      <w:r w:rsidRPr="00650B69">
        <w:t xml:space="preserve"> Each sample contained 0.06 </w:t>
      </w:r>
      <w:proofErr w:type="spellStart"/>
      <w:r w:rsidRPr="00650B69">
        <w:t>mM</w:t>
      </w:r>
      <w:proofErr w:type="spellEnd"/>
      <w:r w:rsidRPr="00650B69">
        <w:t xml:space="preserve"> </w:t>
      </w:r>
      <w:proofErr w:type="spellStart"/>
      <w:r w:rsidRPr="00650B69">
        <w:t>ThT</w:t>
      </w:r>
      <w:proofErr w:type="spellEnd"/>
      <w:r w:rsidRPr="00650B69">
        <w:t xml:space="preserve">, and 6 times 100 µL were loaded into a 96-well plate. The fibrillation assay was run on </w:t>
      </w:r>
      <w:proofErr w:type="spellStart"/>
      <w:r w:rsidRPr="00650B69">
        <w:t>Tecan</w:t>
      </w:r>
      <w:proofErr w:type="spellEnd"/>
      <w:r w:rsidRPr="00650B69">
        <w:t xml:space="preserve"> infinite M200 with following settings: 37 °C, 600 kinetic cycles, 20 minutes shaking before assay, 15 minutes shaking in between measurements, measuring intervals of 20 minutes for a total of 150 hours, absorbance wavelength 350 nm, excitation wavelength 446 nm and emission wavelength 482 nm. After fibrillation, the curves were analyzed, after which the Y-axis was modified to represent the percentage of RFU’s relative to the total fluorescence amplitude at the end of the fibrillation reaction. </w:t>
      </w:r>
      <w:r w:rsidR="00E47EA1" w:rsidRPr="00650B69">
        <w:t xml:space="preserve">All samples were harvested at the end of the fibrillation process of 150 hours, after all samples had reached an equilibrium state. However, the ‘plateau’ at the end of the </w:t>
      </w:r>
      <w:r w:rsidR="00E47EA1" w:rsidRPr="00650B69">
        <w:t>fibrillation process showing this equilibrium phase was left out of figure 2 for clarity.</w:t>
      </w:r>
    </w:p>
    <w:p w14:paraId="762E2276" w14:textId="77777777" w:rsidR="006E3B18" w:rsidRPr="00650B69" w:rsidRDefault="006E3B18" w:rsidP="002D218C">
      <w:pPr>
        <w:pStyle w:val="TAMainText"/>
      </w:pPr>
      <w:r w:rsidRPr="00650B69">
        <w:t>After the fibril formation, the samples were frozen at -20°C. To measure the ECD-spectra, the original samples were diluted to a concentration of 0.2 mg mL</w:t>
      </w:r>
      <w:r w:rsidRPr="00650B69">
        <w:rPr>
          <w:vertAlign w:val="superscript"/>
        </w:rPr>
        <w:t>-1</w:t>
      </w:r>
      <w:r w:rsidRPr="00650B69">
        <w:t xml:space="preserve"> alpha-</w:t>
      </w:r>
      <w:proofErr w:type="spellStart"/>
      <w:r w:rsidRPr="00650B69">
        <w:t>synuclein</w:t>
      </w:r>
      <w:proofErr w:type="spellEnd"/>
      <w:r w:rsidRPr="00650B69">
        <w:t xml:space="preserve"> or 0.05 mg mL</w:t>
      </w:r>
      <w:r w:rsidRPr="00650B69">
        <w:rPr>
          <w:vertAlign w:val="superscript"/>
        </w:rPr>
        <w:t>-1</w:t>
      </w:r>
      <w:r w:rsidRPr="00650B69">
        <w:t xml:space="preserve"> beta-</w:t>
      </w:r>
      <w:proofErr w:type="spellStart"/>
      <w:r w:rsidRPr="00650B69">
        <w:t>synuclein</w:t>
      </w:r>
      <w:proofErr w:type="spellEnd"/>
      <w:r w:rsidRPr="00650B69">
        <w:t xml:space="preserve">. 3 accumulations from 250 to 180 nm were taken with 0.5 s and 1 nm on a </w:t>
      </w:r>
      <w:proofErr w:type="spellStart"/>
      <w:r w:rsidRPr="00650B69">
        <w:t>ChiraScan</w:t>
      </w:r>
      <w:proofErr w:type="spellEnd"/>
      <w:r w:rsidRPr="00650B69">
        <w:t xml:space="preserve">® spectrometer in a cell with a path length of 0.05 cm. Corresponding backgrounds were measured and subtracted from the results. Deconvolution of the spectra was not attempted for this study, as spectra recorded down to 180 nm are needed for an accurate description of the amount of beta-sheet present in the sample. However, below 190 nm, ECD measurements were unreliable due to interference of the solvent and of </w:t>
      </w:r>
      <w:proofErr w:type="spellStart"/>
      <w:r w:rsidRPr="00650B69">
        <w:t>Ficoll</w:t>
      </w:r>
      <w:proofErr w:type="spellEnd"/>
      <w:r w:rsidRPr="00650B69">
        <w:t xml:space="preserve"> 70. Moreover, most deconvolution software is based on globular protein basis set, and the reliability towards fibril structures has not been proven.</w:t>
      </w:r>
    </w:p>
    <w:p w14:paraId="62ED0698" w14:textId="77777777" w:rsidR="00881D24" w:rsidRPr="00650B69" w:rsidRDefault="00881D24" w:rsidP="00881D24">
      <w:pPr>
        <w:pStyle w:val="TAMainText"/>
      </w:pPr>
      <w:r w:rsidRPr="00650B69">
        <w:t>Table 2. A survey of the performed experiments in this study.</w:t>
      </w:r>
    </w:p>
    <w:tbl>
      <w:tblPr>
        <w:tblStyle w:val="TableGrid"/>
        <w:tblW w:w="0" w:type="auto"/>
        <w:tblLayout w:type="fixed"/>
        <w:tblLook w:val="04A0" w:firstRow="1" w:lastRow="0" w:firstColumn="1" w:lastColumn="0" w:noHBand="0" w:noVBand="1"/>
      </w:tblPr>
      <w:tblGrid>
        <w:gridCol w:w="1728"/>
        <w:gridCol w:w="1148"/>
        <w:gridCol w:w="1067"/>
        <w:gridCol w:w="1068"/>
      </w:tblGrid>
      <w:tr w:rsidR="00881D24" w:rsidRPr="00650B69" w14:paraId="6C322300" w14:textId="77777777" w:rsidTr="00881D24">
        <w:tc>
          <w:tcPr>
            <w:tcW w:w="1728" w:type="dxa"/>
          </w:tcPr>
          <w:p w14:paraId="3A22EDA1" w14:textId="77777777" w:rsidR="00881D24" w:rsidRPr="00650B69" w:rsidRDefault="00881D24" w:rsidP="001D2A33">
            <w:pPr>
              <w:pStyle w:val="TAMainText"/>
              <w:rPr>
                <w:rFonts w:eastAsia="Times New Roman"/>
                <w:lang w:val="en-US"/>
              </w:rPr>
            </w:pPr>
            <w:r w:rsidRPr="00650B69">
              <w:rPr>
                <w:rFonts w:eastAsia="Times New Roman"/>
                <w:lang w:val="en-US"/>
              </w:rPr>
              <w:t>Sample name</w:t>
            </w:r>
          </w:p>
        </w:tc>
        <w:tc>
          <w:tcPr>
            <w:tcW w:w="1148" w:type="dxa"/>
          </w:tcPr>
          <w:p w14:paraId="69030F5B" w14:textId="77777777" w:rsidR="00881D24" w:rsidRPr="00650B69" w:rsidRDefault="00881D24" w:rsidP="001D2A33">
            <w:pPr>
              <w:pStyle w:val="TAMainText"/>
              <w:rPr>
                <w:rFonts w:eastAsia="Times New Roman"/>
                <w:lang w:val="en-US"/>
              </w:rPr>
            </w:pPr>
            <w:r w:rsidRPr="00650B69">
              <w:rPr>
                <w:rFonts w:eastAsia="Times New Roman"/>
                <w:lang w:val="en-US"/>
              </w:rPr>
              <w:t xml:space="preserve">Concentration F70 </w:t>
            </w:r>
          </w:p>
          <w:p w14:paraId="3570F60B" w14:textId="77777777" w:rsidR="00881D24" w:rsidRPr="00650B69" w:rsidRDefault="00881D24" w:rsidP="001D2A33">
            <w:pPr>
              <w:pStyle w:val="TAMainText"/>
              <w:rPr>
                <w:rFonts w:eastAsia="Times New Roman"/>
                <w:lang w:val="en-US"/>
              </w:rPr>
            </w:pPr>
            <w:r w:rsidRPr="00650B69">
              <w:rPr>
                <w:rFonts w:eastAsia="Times New Roman"/>
                <w:lang w:val="en-US"/>
              </w:rPr>
              <w:t>[mg mL</w:t>
            </w:r>
            <w:r w:rsidRPr="00650B69">
              <w:rPr>
                <w:rFonts w:eastAsia="Times New Roman"/>
                <w:vertAlign w:val="superscript"/>
                <w:lang w:val="en-US"/>
              </w:rPr>
              <w:t>-1</w:t>
            </w:r>
            <w:r w:rsidRPr="00650B69">
              <w:rPr>
                <w:rFonts w:eastAsia="Times New Roman"/>
                <w:lang w:val="en-US"/>
              </w:rPr>
              <w:t>]</w:t>
            </w:r>
          </w:p>
        </w:tc>
        <w:tc>
          <w:tcPr>
            <w:tcW w:w="1067" w:type="dxa"/>
          </w:tcPr>
          <w:p w14:paraId="499BD19F" w14:textId="77777777" w:rsidR="00881D24" w:rsidRPr="00650B69" w:rsidRDefault="00881D24" w:rsidP="001D2A33">
            <w:pPr>
              <w:pStyle w:val="TAMainText"/>
              <w:rPr>
                <w:rFonts w:eastAsia="Times New Roman"/>
                <w:lang w:val="en-US"/>
              </w:rPr>
            </w:pPr>
            <w:r w:rsidRPr="00650B69">
              <w:rPr>
                <w:rFonts w:eastAsia="Times New Roman"/>
                <w:lang w:val="en-US"/>
              </w:rPr>
              <w:t xml:space="preserve">Concentration </w:t>
            </w:r>
            <w:proofErr w:type="spellStart"/>
            <w:r w:rsidRPr="00650B69">
              <w:rPr>
                <w:rFonts w:eastAsia="Times New Roman"/>
                <w:lang w:val="en-US"/>
              </w:rPr>
              <w:t>bsyn</w:t>
            </w:r>
            <w:proofErr w:type="spellEnd"/>
            <w:r w:rsidRPr="00650B69">
              <w:rPr>
                <w:rFonts w:eastAsia="Times New Roman"/>
                <w:lang w:val="en-US"/>
              </w:rPr>
              <w:t xml:space="preserve"> </w:t>
            </w:r>
          </w:p>
          <w:p w14:paraId="79C5A17E" w14:textId="77777777" w:rsidR="00881D24" w:rsidRPr="00650B69" w:rsidRDefault="00881D24" w:rsidP="001D2A33">
            <w:pPr>
              <w:pStyle w:val="TAMainText"/>
              <w:rPr>
                <w:rFonts w:eastAsia="Times New Roman"/>
                <w:lang w:val="en-US"/>
              </w:rPr>
            </w:pPr>
            <w:r w:rsidRPr="00650B69">
              <w:rPr>
                <w:rFonts w:eastAsia="Times New Roman"/>
                <w:lang w:val="en-US"/>
              </w:rPr>
              <w:t>[mg mL</w:t>
            </w:r>
            <w:r w:rsidRPr="00650B69">
              <w:rPr>
                <w:rFonts w:eastAsia="Times New Roman"/>
                <w:vertAlign w:val="superscript"/>
                <w:lang w:val="en-US"/>
              </w:rPr>
              <w:t>-1</w:t>
            </w:r>
            <w:r w:rsidRPr="00650B69">
              <w:rPr>
                <w:rFonts w:eastAsia="Times New Roman"/>
                <w:lang w:val="en-US"/>
              </w:rPr>
              <w:t>]</w:t>
            </w:r>
          </w:p>
        </w:tc>
        <w:tc>
          <w:tcPr>
            <w:tcW w:w="1068" w:type="dxa"/>
          </w:tcPr>
          <w:p w14:paraId="2DD14BB8" w14:textId="77777777" w:rsidR="00881D24" w:rsidRPr="00650B69" w:rsidRDefault="00881D24" w:rsidP="001D2A33">
            <w:pPr>
              <w:pStyle w:val="TAMainText"/>
              <w:rPr>
                <w:rFonts w:eastAsia="Times New Roman"/>
                <w:lang w:val="en-US"/>
              </w:rPr>
            </w:pPr>
            <w:r w:rsidRPr="00650B69">
              <w:rPr>
                <w:rFonts w:eastAsia="Times New Roman"/>
                <w:lang w:val="en-US"/>
              </w:rPr>
              <w:t xml:space="preserve">Concentration </w:t>
            </w:r>
            <w:proofErr w:type="spellStart"/>
            <w:r w:rsidRPr="00650B69">
              <w:rPr>
                <w:rFonts w:eastAsia="Times New Roman"/>
                <w:lang w:val="en-US"/>
              </w:rPr>
              <w:t>asyn</w:t>
            </w:r>
            <w:proofErr w:type="spellEnd"/>
            <w:r w:rsidRPr="00650B69">
              <w:rPr>
                <w:rFonts w:eastAsia="Times New Roman"/>
                <w:lang w:val="en-US"/>
              </w:rPr>
              <w:t xml:space="preserve"> </w:t>
            </w:r>
          </w:p>
          <w:p w14:paraId="5152AFE1" w14:textId="77777777" w:rsidR="00881D24" w:rsidRPr="00650B69" w:rsidRDefault="00881D24" w:rsidP="001D2A33">
            <w:pPr>
              <w:pStyle w:val="TAMainText"/>
              <w:rPr>
                <w:rFonts w:eastAsia="Times New Roman"/>
                <w:lang w:val="en-US"/>
              </w:rPr>
            </w:pPr>
            <w:r w:rsidRPr="00650B69">
              <w:rPr>
                <w:rFonts w:eastAsia="Times New Roman"/>
                <w:lang w:val="en-US"/>
              </w:rPr>
              <w:t>[mg mL</w:t>
            </w:r>
            <w:r w:rsidRPr="00650B69">
              <w:rPr>
                <w:rFonts w:eastAsia="Times New Roman"/>
                <w:vertAlign w:val="superscript"/>
                <w:lang w:val="en-US"/>
              </w:rPr>
              <w:t>-1</w:t>
            </w:r>
            <w:r w:rsidRPr="00650B69">
              <w:rPr>
                <w:rFonts w:eastAsia="Times New Roman"/>
                <w:lang w:val="en-US"/>
              </w:rPr>
              <w:t>]</w:t>
            </w:r>
          </w:p>
        </w:tc>
      </w:tr>
      <w:tr w:rsidR="00881D24" w:rsidRPr="00650B69" w14:paraId="5E255543" w14:textId="77777777" w:rsidTr="00881D24">
        <w:tc>
          <w:tcPr>
            <w:tcW w:w="1728" w:type="dxa"/>
          </w:tcPr>
          <w:p w14:paraId="5A75B627" w14:textId="77777777" w:rsidR="00881D24" w:rsidRPr="00650B69" w:rsidRDefault="00881D24" w:rsidP="001D2A33">
            <w:pPr>
              <w:pStyle w:val="TAMainText"/>
              <w:rPr>
                <w:rFonts w:eastAsia="Times New Roman"/>
                <w:lang w:val="en-US"/>
              </w:rPr>
            </w:pPr>
            <w:r w:rsidRPr="00650B69">
              <w:rPr>
                <w:rFonts w:eastAsia="Times New Roman"/>
                <w:lang w:val="en-US"/>
              </w:rPr>
              <w:t>F70</w:t>
            </w:r>
          </w:p>
        </w:tc>
        <w:tc>
          <w:tcPr>
            <w:tcW w:w="1148" w:type="dxa"/>
          </w:tcPr>
          <w:p w14:paraId="70D9D972" w14:textId="77777777" w:rsidR="00881D24" w:rsidRPr="00650B69" w:rsidRDefault="00881D24" w:rsidP="001D2A33">
            <w:pPr>
              <w:pStyle w:val="TAMainText"/>
              <w:rPr>
                <w:rFonts w:eastAsia="Times New Roman"/>
                <w:lang w:val="en-US"/>
              </w:rPr>
            </w:pPr>
            <w:r w:rsidRPr="00650B69">
              <w:rPr>
                <w:rFonts w:eastAsia="Times New Roman"/>
                <w:lang w:val="en-US"/>
              </w:rPr>
              <w:t>300</w:t>
            </w:r>
          </w:p>
        </w:tc>
        <w:tc>
          <w:tcPr>
            <w:tcW w:w="1067" w:type="dxa"/>
          </w:tcPr>
          <w:p w14:paraId="7077DE1A"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8" w:type="dxa"/>
          </w:tcPr>
          <w:p w14:paraId="419076AB" w14:textId="77777777" w:rsidR="00881D24" w:rsidRPr="00650B69" w:rsidRDefault="00881D24" w:rsidP="001D2A33">
            <w:pPr>
              <w:pStyle w:val="TAMainText"/>
              <w:rPr>
                <w:rFonts w:eastAsia="Times New Roman"/>
                <w:lang w:val="en-US"/>
              </w:rPr>
            </w:pPr>
            <w:r w:rsidRPr="00650B69">
              <w:rPr>
                <w:rFonts w:eastAsia="Times New Roman"/>
                <w:lang w:val="en-US"/>
              </w:rPr>
              <w:t>0</w:t>
            </w:r>
          </w:p>
        </w:tc>
      </w:tr>
      <w:tr w:rsidR="00881D24" w:rsidRPr="00650B69" w14:paraId="0359A31E" w14:textId="77777777" w:rsidTr="00881D24">
        <w:tc>
          <w:tcPr>
            <w:tcW w:w="1728" w:type="dxa"/>
          </w:tcPr>
          <w:p w14:paraId="5944CEB2" w14:textId="77777777" w:rsidR="00881D24" w:rsidRPr="00650B69" w:rsidRDefault="00881D24" w:rsidP="001D2A33">
            <w:pPr>
              <w:pStyle w:val="TAMainText"/>
              <w:rPr>
                <w:rFonts w:eastAsia="Times New Roman"/>
                <w:lang w:val="en-US"/>
              </w:rPr>
            </w:pPr>
            <w:proofErr w:type="spellStart"/>
            <w:r w:rsidRPr="00650B69">
              <w:rPr>
                <w:rFonts w:eastAsia="Times New Roman"/>
                <w:lang w:val="en-US"/>
              </w:rPr>
              <w:t>Bsyn</w:t>
            </w:r>
            <w:proofErr w:type="spellEnd"/>
          </w:p>
        </w:tc>
        <w:tc>
          <w:tcPr>
            <w:tcW w:w="1148" w:type="dxa"/>
          </w:tcPr>
          <w:p w14:paraId="3FBA56F5"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7" w:type="dxa"/>
          </w:tcPr>
          <w:p w14:paraId="6AA6DC1A"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1E56CF41" w14:textId="77777777" w:rsidR="00881D24" w:rsidRPr="00650B69" w:rsidRDefault="00881D24" w:rsidP="001D2A33">
            <w:pPr>
              <w:pStyle w:val="TAMainText"/>
              <w:rPr>
                <w:rFonts w:eastAsia="Times New Roman"/>
                <w:lang w:val="en-US"/>
              </w:rPr>
            </w:pPr>
            <w:r w:rsidRPr="00650B69">
              <w:rPr>
                <w:rFonts w:eastAsia="Times New Roman"/>
                <w:lang w:val="en-US"/>
              </w:rPr>
              <w:t>0</w:t>
            </w:r>
          </w:p>
        </w:tc>
      </w:tr>
      <w:tr w:rsidR="00881D24" w:rsidRPr="00650B69" w14:paraId="7D4D3C62" w14:textId="77777777" w:rsidTr="00881D24">
        <w:tc>
          <w:tcPr>
            <w:tcW w:w="1728" w:type="dxa"/>
          </w:tcPr>
          <w:p w14:paraId="20D379B6" w14:textId="77777777" w:rsidR="00881D24" w:rsidRPr="00650B69" w:rsidRDefault="00881D24" w:rsidP="001D2A33">
            <w:pPr>
              <w:pStyle w:val="TAMainText"/>
              <w:rPr>
                <w:rFonts w:eastAsia="Times New Roman"/>
                <w:lang w:val="en-US"/>
              </w:rPr>
            </w:pPr>
            <w:r w:rsidRPr="00650B69">
              <w:rPr>
                <w:rFonts w:eastAsia="Times New Roman"/>
                <w:lang w:val="en-US"/>
              </w:rPr>
              <w:t>F70bsyn300</w:t>
            </w:r>
          </w:p>
        </w:tc>
        <w:tc>
          <w:tcPr>
            <w:tcW w:w="1148" w:type="dxa"/>
          </w:tcPr>
          <w:p w14:paraId="6BF0FD5A" w14:textId="77777777" w:rsidR="00881D24" w:rsidRPr="00650B69" w:rsidRDefault="00881D24" w:rsidP="001D2A33">
            <w:pPr>
              <w:pStyle w:val="TAMainText"/>
              <w:rPr>
                <w:rFonts w:eastAsia="Times New Roman"/>
                <w:lang w:val="en-US"/>
              </w:rPr>
            </w:pPr>
            <w:r w:rsidRPr="00650B69">
              <w:rPr>
                <w:rFonts w:eastAsia="Times New Roman"/>
                <w:lang w:val="en-US"/>
              </w:rPr>
              <w:t>300</w:t>
            </w:r>
          </w:p>
        </w:tc>
        <w:tc>
          <w:tcPr>
            <w:tcW w:w="1067" w:type="dxa"/>
          </w:tcPr>
          <w:p w14:paraId="1734556B"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4DBD96C1" w14:textId="77777777" w:rsidR="00881D24" w:rsidRPr="00650B69" w:rsidRDefault="00881D24" w:rsidP="001D2A33">
            <w:pPr>
              <w:pStyle w:val="TAMainText"/>
              <w:rPr>
                <w:rFonts w:eastAsia="Times New Roman"/>
                <w:lang w:val="en-US"/>
              </w:rPr>
            </w:pPr>
            <w:r w:rsidRPr="00650B69">
              <w:rPr>
                <w:rFonts w:eastAsia="Times New Roman"/>
                <w:lang w:val="en-US"/>
              </w:rPr>
              <w:t>0</w:t>
            </w:r>
          </w:p>
        </w:tc>
      </w:tr>
      <w:tr w:rsidR="00881D24" w:rsidRPr="00650B69" w14:paraId="3296F88C" w14:textId="77777777" w:rsidTr="00881D24">
        <w:tc>
          <w:tcPr>
            <w:tcW w:w="1728" w:type="dxa"/>
          </w:tcPr>
          <w:p w14:paraId="17126661" w14:textId="77777777" w:rsidR="00881D24" w:rsidRPr="00650B69" w:rsidRDefault="00881D24" w:rsidP="001D2A33">
            <w:pPr>
              <w:pStyle w:val="TAMainText"/>
              <w:rPr>
                <w:rFonts w:eastAsia="Times New Roman"/>
                <w:lang w:val="en-US"/>
              </w:rPr>
            </w:pPr>
            <w:r w:rsidRPr="00650B69">
              <w:rPr>
                <w:rFonts w:eastAsia="Times New Roman"/>
                <w:lang w:val="en-US"/>
              </w:rPr>
              <w:t>F70bsyn150</w:t>
            </w:r>
          </w:p>
        </w:tc>
        <w:tc>
          <w:tcPr>
            <w:tcW w:w="1148" w:type="dxa"/>
          </w:tcPr>
          <w:p w14:paraId="37EE4492" w14:textId="77777777" w:rsidR="00881D24" w:rsidRPr="00650B69" w:rsidRDefault="00881D24" w:rsidP="001D2A33">
            <w:pPr>
              <w:pStyle w:val="TAMainText"/>
              <w:rPr>
                <w:rFonts w:eastAsia="Times New Roman"/>
                <w:lang w:val="en-US"/>
              </w:rPr>
            </w:pPr>
            <w:r w:rsidRPr="00650B69">
              <w:rPr>
                <w:rFonts w:eastAsia="Times New Roman"/>
                <w:lang w:val="en-US"/>
              </w:rPr>
              <w:t>150</w:t>
            </w:r>
          </w:p>
        </w:tc>
        <w:tc>
          <w:tcPr>
            <w:tcW w:w="1067" w:type="dxa"/>
          </w:tcPr>
          <w:p w14:paraId="4AC96AC2"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2C116686" w14:textId="77777777" w:rsidR="00881D24" w:rsidRPr="00650B69" w:rsidRDefault="00881D24" w:rsidP="001D2A33">
            <w:pPr>
              <w:pStyle w:val="TAMainText"/>
              <w:rPr>
                <w:rFonts w:eastAsia="Times New Roman"/>
                <w:lang w:val="en-US"/>
              </w:rPr>
            </w:pPr>
            <w:r w:rsidRPr="00650B69">
              <w:rPr>
                <w:rFonts w:eastAsia="Times New Roman"/>
                <w:lang w:val="en-US"/>
              </w:rPr>
              <w:t>0</w:t>
            </w:r>
          </w:p>
        </w:tc>
      </w:tr>
      <w:tr w:rsidR="00881D24" w:rsidRPr="00650B69" w14:paraId="7ECF8E3D" w14:textId="77777777" w:rsidTr="00881D24">
        <w:tc>
          <w:tcPr>
            <w:tcW w:w="1728" w:type="dxa"/>
          </w:tcPr>
          <w:p w14:paraId="64C9F2D7" w14:textId="77777777" w:rsidR="00881D24" w:rsidRPr="00650B69" w:rsidRDefault="00881D24" w:rsidP="001D2A33">
            <w:pPr>
              <w:pStyle w:val="TAMainText"/>
              <w:rPr>
                <w:rFonts w:eastAsia="Times New Roman"/>
                <w:lang w:val="en-US"/>
              </w:rPr>
            </w:pPr>
            <w:proofErr w:type="spellStart"/>
            <w:r w:rsidRPr="00650B69">
              <w:rPr>
                <w:rFonts w:eastAsia="Times New Roman"/>
                <w:lang w:val="en-US"/>
              </w:rPr>
              <w:t>asyn</w:t>
            </w:r>
            <w:proofErr w:type="spellEnd"/>
          </w:p>
        </w:tc>
        <w:tc>
          <w:tcPr>
            <w:tcW w:w="1148" w:type="dxa"/>
          </w:tcPr>
          <w:p w14:paraId="32761618"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7" w:type="dxa"/>
          </w:tcPr>
          <w:p w14:paraId="773A7773"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8" w:type="dxa"/>
          </w:tcPr>
          <w:p w14:paraId="190563BA"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58481F0A" w14:textId="77777777" w:rsidTr="00881D24">
        <w:tc>
          <w:tcPr>
            <w:tcW w:w="1728" w:type="dxa"/>
          </w:tcPr>
          <w:p w14:paraId="7B90B8C9" w14:textId="77777777" w:rsidR="00881D24" w:rsidRPr="00650B69" w:rsidRDefault="00881D24" w:rsidP="001D2A33">
            <w:pPr>
              <w:pStyle w:val="TAMainText"/>
              <w:rPr>
                <w:rFonts w:eastAsia="Times New Roman"/>
                <w:lang w:val="en-US"/>
              </w:rPr>
            </w:pPr>
            <w:r w:rsidRPr="00650B69">
              <w:rPr>
                <w:rFonts w:eastAsia="Times New Roman"/>
                <w:lang w:val="en-US"/>
              </w:rPr>
              <w:t>F70asyn300</w:t>
            </w:r>
          </w:p>
        </w:tc>
        <w:tc>
          <w:tcPr>
            <w:tcW w:w="1148" w:type="dxa"/>
          </w:tcPr>
          <w:p w14:paraId="7A0DF652" w14:textId="77777777" w:rsidR="00881D24" w:rsidRPr="00650B69" w:rsidRDefault="00881D24" w:rsidP="001D2A33">
            <w:pPr>
              <w:pStyle w:val="TAMainText"/>
              <w:rPr>
                <w:rFonts w:eastAsia="Times New Roman"/>
                <w:lang w:val="en-US"/>
              </w:rPr>
            </w:pPr>
            <w:r w:rsidRPr="00650B69">
              <w:rPr>
                <w:rFonts w:eastAsia="Times New Roman"/>
                <w:lang w:val="en-US"/>
              </w:rPr>
              <w:t>300</w:t>
            </w:r>
          </w:p>
        </w:tc>
        <w:tc>
          <w:tcPr>
            <w:tcW w:w="1067" w:type="dxa"/>
          </w:tcPr>
          <w:p w14:paraId="04AF9902"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8" w:type="dxa"/>
          </w:tcPr>
          <w:p w14:paraId="5F8DA6E2"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7505FEC6" w14:textId="77777777" w:rsidTr="00881D24">
        <w:tc>
          <w:tcPr>
            <w:tcW w:w="1728" w:type="dxa"/>
          </w:tcPr>
          <w:p w14:paraId="61DBB4E6" w14:textId="77777777" w:rsidR="00881D24" w:rsidRPr="00650B69" w:rsidRDefault="00881D24" w:rsidP="001D2A33">
            <w:pPr>
              <w:pStyle w:val="TAMainText"/>
              <w:rPr>
                <w:rFonts w:eastAsia="Times New Roman"/>
                <w:lang w:val="en-US"/>
              </w:rPr>
            </w:pPr>
            <w:r w:rsidRPr="00650B69">
              <w:rPr>
                <w:rFonts w:eastAsia="Times New Roman"/>
                <w:lang w:val="en-US"/>
              </w:rPr>
              <w:t>F70asyn150</w:t>
            </w:r>
          </w:p>
        </w:tc>
        <w:tc>
          <w:tcPr>
            <w:tcW w:w="1148" w:type="dxa"/>
          </w:tcPr>
          <w:p w14:paraId="44B7B578" w14:textId="77777777" w:rsidR="00881D24" w:rsidRPr="00650B69" w:rsidRDefault="00881D24" w:rsidP="001D2A33">
            <w:pPr>
              <w:pStyle w:val="TAMainText"/>
              <w:rPr>
                <w:rFonts w:eastAsia="Times New Roman"/>
                <w:lang w:val="en-US"/>
              </w:rPr>
            </w:pPr>
            <w:r w:rsidRPr="00650B69">
              <w:rPr>
                <w:rFonts w:eastAsia="Times New Roman"/>
                <w:lang w:val="en-US"/>
              </w:rPr>
              <w:t>150</w:t>
            </w:r>
          </w:p>
        </w:tc>
        <w:tc>
          <w:tcPr>
            <w:tcW w:w="1067" w:type="dxa"/>
          </w:tcPr>
          <w:p w14:paraId="56B9953C"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8" w:type="dxa"/>
          </w:tcPr>
          <w:p w14:paraId="289EF411"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0D8D6F0B" w14:textId="77777777" w:rsidTr="00881D24">
        <w:tc>
          <w:tcPr>
            <w:tcW w:w="1728" w:type="dxa"/>
          </w:tcPr>
          <w:p w14:paraId="020BE087" w14:textId="77777777" w:rsidR="00881D24" w:rsidRPr="00650B69" w:rsidRDefault="00881D24" w:rsidP="001D2A33">
            <w:pPr>
              <w:pStyle w:val="TAMainText"/>
              <w:rPr>
                <w:rFonts w:eastAsia="Times New Roman"/>
                <w:lang w:val="en-US"/>
              </w:rPr>
            </w:pPr>
            <w:proofErr w:type="spellStart"/>
            <w:r w:rsidRPr="00650B69">
              <w:rPr>
                <w:rFonts w:eastAsia="Times New Roman"/>
                <w:lang w:val="en-US"/>
              </w:rPr>
              <w:t>Asynbsyn</w:t>
            </w:r>
            <w:proofErr w:type="spellEnd"/>
          </w:p>
        </w:tc>
        <w:tc>
          <w:tcPr>
            <w:tcW w:w="1148" w:type="dxa"/>
          </w:tcPr>
          <w:p w14:paraId="1CB1526B"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7" w:type="dxa"/>
          </w:tcPr>
          <w:p w14:paraId="59B38F44"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588BFD9E"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07CB7AFA" w14:textId="77777777" w:rsidTr="00881D24">
        <w:tc>
          <w:tcPr>
            <w:tcW w:w="1728" w:type="dxa"/>
          </w:tcPr>
          <w:p w14:paraId="05E9A7E8" w14:textId="77777777" w:rsidR="00881D24" w:rsidRPr="00650B69" w:rsidRDefault="00881D24" w:rsidP="001D2A33">
            <w:pPr>
              <w:pStyle w:val="TAMainText"/>
              <w:rPr>
                <w:rFonts w:eastAsia="Times New Roman"/>
                <w:lang w:val="en-US"/>
              </w:rPr>
            </w:pPr>
            <w:r w:rsidRPr="00650B69">
              <w:rPr>
                <w:rFonts w:eastAsia="Times New Roman"/>
                <w:lang w:val="en-US"/>
              </w:rPr>
              <w:t>F70asynbsyn300</w:t>
            </w:r>
          </w:p>
        </w:tc>
        <w:tc>
          <w:tcPr>
            <w:tcW w:w="1148" w:type="dxa"/>
          </w:tcPr>
          <w:p w14:paraId="6FDB1784" w14:textId="77777777" w:rsidR="00881D24" w:rsidRPr="00650B69" w:rsidRDefault="00881D24" w:rsidP="001D2A33">
            <w:pPr>
              <w:pStyle w:val="TAMainText"/>
              <w:rPr>
                <w:rFonts w:eastAsia="Times New Roman"/>
                <w:lang w:val="en-US"/>
              </w:rPr>
            </w:pPr>
            <w:r w:rsidRPr="00650B69">
              <w:rPr>
                <w:rFonts w:eastAsia="Times New Roman"/>
                <w:lang w:val="en-US"/>
              </w:rPr>
              <w:t>300</w:t>
            </w:r>
          </w:p>
        </w:tc>
        <w:tc>
          <w:tcPr>
            <w:tcW w:w="1067" w:type="dxa"/>
          </w:tcPr>
          <w:p w14:paraId="4322118C"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0D080599"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7932AAC1" w14:textId="77777777" w:rsidTr="00881D24">
        <w:tc>
          <w:tcPr>
            <w:tcW w:w="1728" w:type="dxa"/>
          </w:tcPr>
          <w:p w14:paraId="24398BBC" w14:textId="77777777" w:rsidR="00881D24" w:rsidRPr="00650B69" w:rsidRDefault="00881D24" w:rsidP="001D2A33">
            <w:pPr>
              <w:pStyle w:val="TAMainText"/>
              <w:rPr>
                <w:rFonts w:eastAsia="Times New Roman"/>
                <w:lang w:val="en-US"/>
              </w:rPr>
            </w:pPr>
            <w:r w:rsidRPr="00650B69">
              <w:rPr>
                <w:rFonts w:eastAsia="Times New Roman"/>
                <w:lang w:val="en-US"/>
              </w:rPr>
              <w:t>F70asynbsyn150</w:t>
            </w:r>
          </w:p>
        </w:tc>
        <w:tc>
          <w:tcPr>
            <w:tcW w:w="1148" w:type="dxa"/>
          </w:tcPr>
          <w:p w14:paraId="4EB266A4" w14:textId="77777777" w:rsidR="00881D24" w:rsidRPr="00650B69" w:rsidRDefault="00881D24" w:rsidP="001D2A33">
            <w:pPr>
              <w:pStyle w:val="TAMainText"/>
              <w:rPr>
                <w:rFonts w:eastAsia="Times New Roman"/>
                <w:lang w:val="en-US"/>
              </w:rPr>
            </w:pPr>
            <w:r w:rsidRPr="00650B69">
              <w:rPr>
                <w:rFonts w:eastAsia="Times New Roman"/>
                <w:lang w:val="en-US"/>
              </w:rPr>
              <w:t>150</w:t>
            </w:r>
          </w:p>
        </w:tc>
        <w:tc>
          <w:tcPr>
            <w:tcW w:w="1067" w:type="dxa"/>
          </w:tcPr>
          <w:p w14:paraId="2D187606" w14:textId="77777777" w:rsidR="00881D24" w:rsidRPr="00650B69" w:rsidRDefault="00881D24" w:rsidP="001D2A33">
            <w:pPr>
              <w:pStyle w:val="TAMainText"/>
              <w:rPr>
                <w:rFonts w:eastAsia="Times New Roman"/>
                <w:lang w:val="en-US"/>
              </w:rPr>
            </w:pPr>
            <w:r w:rsidRPr="00650B69">
              <w:rPr>
                <w:rFonts w:eastAsia="Times New Roman"/>
                <w:lang w:val="en-US"/>
              </w:rPr>
              <w:t>2</w:t>
            </w:r>
          </w:p>
        </w:tc>
        <w:tc>
          <w:tcPr>
            <w:tcW w:w="1068" w:type="dxa"/>
          </w:tcPr>
          <w:p w14:paraId="1E7492DB" w14:textId="77777777" w:rsidR="00881D24" w:rsidRPr="00650B69" w:rsidRDefault="00881D24" w:rsidP="001D2A33">
            <w:pPr>
              <w:pStyle w:val="TAMainText"/>
              <w:rPr>
                <w:rFonts w:eastAsia="Times New Roman"/>
                <w:lang w:val="en-US"/>
              </w:rPr>
            </w:pPr>
            <w:r w:rsidRPr="00650B69">
              <w:rPr>
                <w:rFonts w:eastAsia="Times New Roman"/>
                <w:lang w:val="en-US"/>
              </w:rPr>
              <w:t>2</w:t>
            </w:r>
          </w:p>
        </w:tc>
      </w:tr>
      <w:tr w:rsidR="00881D24" w:rsidRPr="00650B69" w14:paraId="571FAFB8" w14:textId="77777777" w:rsidTr="00881D24">
        <w:tc>
          <w:tcPr>
            <w:tcW w:w="1728" w:type="dxa"/>
          </w:tcPr>
          <w:p w14:paraId="27CDAE18" w14:textId="77777777" w:rsidR="00881D24" w:rsidRPr="00650B69" w:rsidRDefault="00881D24" w:rsidP="001D2A33">
            <w:pPr>
              <w:pStyle w:val="TAMainText"/>
              <w:rPr>
                <w:rFonts w:eastAsia="Times New Roman"/>
                <w:lang w:val="en-US"/>
              </w:rPr>
            </w:pPr>
            <w:r w:rsidRPr="00650B69">
              <w:rPr>
                <w:rFonts w:eastAsia="Times New Roman"/>
                <w:lang w:val="en-US"/>
              </w:rPr>
              <w:t>F70150</w:t>
            </w:r>
          </w:p>
        </w:tc>
        <w:tc>
          <w:tcPr>
            <w:tcW w:w="1148" w:type="dxa"/>
          </w:tcPr>
          <w:p w14:paraId="189C8B7D" w14:textId="77777777" w:rsidR="00881D24" w:rsidRPr="00650B69" w:rsidRDefault="00881D24" w:rsidP="001D2A33">
            <w:pPr>
              <w:pStyle w:val="TAMainText"/>
              <w:rPr>
                <w:rFonts w:eastAsia="Times New Roman"/>
                <w:lang w:val="en-US"/>
              </w:rPr>
            </w:pPr>
            <w:r w:rsidRPr="00650B69">
              <w:rPr>
                <w:rFonts w:eastAsia="Times New Roman"/>
                <w:lang w:val="en-US"/>
              </w:rPr>
              <w:t>150</w:t>
            </w:r>
          </w:p>
        </w:tc>
        <w:tc>
          <w:tcPr>
            <w:tcW w:w="1067" w:type="dxa"/>
          </w:tcPr>
          <w:p w14:paraId="489FF9CD" w14:textId="77777777" w:rsidR="00881D24" w:rsidRPr="00650B69" w:rsidRDefault="00881D24" w:rsidP="001D2A33">
            <w:pPr>
              <w:pStyle w:val="TAMainText"/>
              <w:rPr>
                <w:rFonts w:eastAsia="Times New Roman"/>
                <w:lang w:val="en-US"/>
              </w:rPr>
            </w:pPr>
            <w:r w:rsidRPr="00650B69">
              <w:rPr>
                <w:rFonts w:eastAsia="Times New Roman"/>
                <w:lang w:val="en-US"/>
              </w:rPr>
              <w:t>0</w:t>
            </w:r>
          </w:p>
        </w:tc>
        <w:tc>
          <w:tcPr>
            <w:tcW w:w="1068" w:type="dxa"/>
          </w:tcPr>
          <w:p w14:paraId="3C3EFA93" w14:textId="77777777" w:rsidR="00881D24" w:rsidRPr="00650B69" w:rsidRDefault="00881D24" w:rsidP="001D2A33">
            <w:pPr>
              <w:pStyle w:val="TAMainText"/>
              <w:rPr>
                <w:rFonts w:eastAsia="Times New Roman"/>
                <w:lang w:val="en-US"/>
              </w:rPr>
            </w:pPr>
            <w:r w:rsidRPr="00650B69">
              <w:rPr>
                <w:rFonts w:eastAsia="Times New Roman"/>
                <w:lang w:val="en-US"/>
              </w:rPr>
              <w:t>0</w:t>
            </w:r>
          </w:p>
        </w:tc>
      </w:tr>
    </w:tbl>
    <w:p w14:paraId="57619DB1" w14:textId="7E212E6A" w:rsidR="006E3B18" w:rsidRPr="00650B69" w:rsidRDefault="00E47EA1" w:rsidP="00C57D31">
      <w:pPr>
        <w:pStyle w:val="TAMainText"/>
        <w:spacing w:before="120" w:after="0"/>
      </w:pPr>
      <w:r w:rsidRPr="00650B69">
        <w:t xml:space="preserve">As any method, known to us, </w:t>
      </w:r>
      <w:r w:rsidR="0009266E" w:rsidRPr="00650B69">
        <w:t xml:space="preserve">used </w:t>
      </w:r>
      <w:r w:rsidRPr="00650B69">
        <w:t>to obtain the in</w:t>
      </w:r>
      <w:r w:rsidR="0009266E" w:rsidRPr="00650B69">
        <w:t>creased protein concentration</w:t>
      </w:r>
      <w:r w:rsidRPr="00650B69">
        <w:t xml:space="preserve"> necessary for the IR and VCD measurements, might have an effect on the fibril integri</w:t>
      </w:r>
      <w:r w:rsidR="00864654" w:rsidRPr="00650B69">
        <w:t xml:space="preserve">ty, it was opted to use </w:t>
      </w:r>
      <w:proofErr w:type="spellStart"/>
      <w:r w:rsidR="00864654" w:rsidRPr="00650B69">
        <w:t>ly</w:t>
      </w:r>
      <w:r w:rsidRPr="00650B69">
        <w:t>o</w:t>
      </w:r>
      <w:r w:rsidR="00864654" w:rsidRPr="00650B69">
        <w:t>p</w:t>
      </w:r>
      <w:r w:rsidRPr="00650B69">
        <w:t>h</w:t>
      </w:r>
      <w:r w:rsidR="00864654" w:rsidRPr="00650B69">
        <w:t>i</w:t>
      </w:r>
      <w:r w:rsidRPr="00650B69">
        <w:t>lization</w:t>
      </w:r>
      <w:proofErr w:type="spellEnd"/>
      <w:r w:rsidRPr="00650B69">
        <w:t xml:space="preserve"> and a solvent exchange to D</w:t>
      </w:r>
      <w:r w:rsidRPr="00650B69">
        <w:rPr>
          <w:vertAlign w:val="subscript"/>
        </w:rPr>
        <w:t>2</w:t>
      </w:r>
      <w:r w:rsidR="00B865C4" w:rsidRPr="00650B69">
        <w:t>O on the harvested samples.</w:t>
      </w:r>
      <w:r w:rsidRPr="00650B69">
        <w:t xml:space="preserve"> In this way, both samples with enhanced VCD spectra and ‘normal intensity’ VCD spectra would be treated similarly, and in our opinion a qualitative comparison between the measurements would make sense. Therefore, to </w:t>
      </w:r>
      <w:r w:rsidR="006E3B18" w:rsidRPr="00650B69">
        <w:t>acquire the IR and VCD-spectra, the samples, collected after the fibrillation process, were lyophilized to extract all the H2O, then dissolved in an abundance of D2O (</w:t>
      </w:r>
      <w:proofErr w:type="spellStart"/>
      <w:r w:rsidR="006E3B18" w:rsidRPr="00650B69">
        <w:t>pD</w:t>
      </w:r>
      <w:proofErr w:type="spellEnd"/>
      <w:r w:rsidR="006E3B18" w:rsidRPr="00650B69">
        <w:t xml:space="preserve"> 7.44) and placed at 4 °C overnight to exchange all the exposed H-atoms for D-atoms.  Next, the samples were lyophilized one additional time, and re-dissolved in D2O to achieve a concentration of approximately 20 mg mL</w:t>
      </w:r>
      <w:r w:rsidR="006E3B18" w:rsidRPr="00650B69">
        <w:rPr>
          <w:vertAlign w:val="superscript"/>
        </w:rPr>
        <w:t xml:space="preserve">-1 </w:t>
      </w:r>
      <w:r w:rsidR="006E3B18" w:rsidRPr="00650B69">
        <w:t>of alpha-</w:t>
      </w:r>
      <w:proofErr w:type="spellStart"/>
      <w:r w:rsidR="006E3B18" w:rsidRPr="00650B69">
        <w:t>synuclein</w:t>
      </w:r>
      <w:proofErr w:type="spellEnd"/>
      <w:r w:rsidR="006E3B18" w:rsidRPr="00650B69">
        <w:t xml:space="preserve">, and measured in a 50 µm path length cell for 8 times 60 minutes on a Bruker </w:t>
      </w:r>
      <w:r w:rsidR="00C57D31" w:rsidRPr="00650B69">
        <w:t>PMA 37 VCD attachment coupled to a Bruker IFS 66v/s infrared spectrometer.</w:t>
      </w:r>
      <w:r w:rsidR="00C57D31" w:rsidRPr="00650B69">
        <w:fldChar w:fldCharType="begin" w:fldLock="1"/>
      </w:r>
      <w:r w:rsidR="00C57D31" w:rsidRPr="00650B69">
        <w:instrText>ADDIN CSL_CITATION {"citationItems":[{"id":"ITEM-1","itemData":{"DOI":"10.1002/(SICI)1520-636X(2000)12:4&lt;199::AID-CHIR6&gt;3.0.CO;2-L","ISSN":"08990042","PMID":"10790190","abstract":"Vibrational circular dichroism (VCD) spectra of (+)-alpha-pinene solutions in carbon tetrachloride have been measured in the range of volume fractions 5-100% (v/v) in the mid-infrared region. The concentration dependence measured was statistically analyzed with the aim of obtaining a reliable correlation between the VCD band areas and the concentrations of individual enantiomers. The quality of the spectra was estimated by means of noise spectra which were defined as half the difference of the two following blocks of scans. In addition to this, the enantiomeric purity was studied. This study was carried out for both (+)- and (-)-alpha-pinene enantiomers in the range of the percent enantiomeric excess in the interval 10-100%. The relationship between VCD intensity and enantiomeric purity was determined by least-square regression and statistically evaluated. All measurements performed in this study were intended as a basic tool for testing of a new commercial VCD setup from Bruker. Copyright 2000 Wiley-Liss, Inc.","author":[{"dropping-particle":"","family":"Urbanová","given":"Marie","non-dropping-particle":"","parse-names":false,"suffix":""},{"dropping-particle":"","family":"Setnička","given":"Vladimír","non-dropping-particle":"","parse-names":false,"suffix":""},{"dropping-particle":"","family":"Volka","given":"Karel","non-dropping-particle":"","parse-names":false,"suffix":""}],"container-title":"Chirality","id":"ITEM-1","issue":"4","issued":{"date-parts":[["2000"]]},"page":"199-203","title":"Measurements of concentration dependence and enantiomeric purity of terpene solutions as a test of a new commercial VCD spectrometer","type":"article-journal","volume":"12"},"uris":["http://www.mendeley.com/documents/?uuid=d47af0ee-cf08-4c09-8274-6c4d1cf0ff3e"]}],"mendeley":{"formattedCitation":"&lt;sup&gt;21&lt;/sup&gt;","plainTextFormattedCitation":"21","previouslyFormattedCitation":"&lt;sup&gt;21&lt;/sup&gt;"},"properties":{"noteIndex":0},"schema":"https://github.com/citation-style-language/schema/raw/master/csl-citation.json"}</w:instrText>
      </w:r>
      <w:r w:rsidR="00C57D31" w:rsidRPr="00650B69">
        <w:fldChar w:fldCharType="separate"/>
      </w:r>
      <w:r w:rsidR="00C57D31" w:rsidRPr="00650B69">
        <w:rPr>
          <w:noProof/>
          <w:vertAlign w:val="superscript"/>
        </w:rPr>
        <w:t>21</w:t>
      </w:r>
      <w:r w:rsidR="00C57D31" w:rsidRPr="00650B69">
        <w:fldChar w:fldCharType="end"/>
      </w:r>
    </w:p>
    <w:p w14:paraId="34BC2B2C" w14:textId="77777777" w:rsidR="00C57D31" w:rsidRPr="00650B69" w:rsidRDefault="00C57D31" w:rsidP="00C57D31">
      <w:pPr>
        <w:pStyle w:val="TAMainText"/>
        <w:spacing w:before="120" w:after="0"/>
        <w:sectPr w:rsidR="00C57D31" w:rsidRPr="00650B69" w:rsidSect="00984F9E">
          <w:type w:val="continuous"/>
          <w:pgSz w:w="12240" w:h="15840"/>
          <w:pgMar w:top="720" w:right="1094" w:bottom="720" w:left="1094" w:header="720" w:footer="720" w:gutter="0"/>
          <w:cols w:num="2" w:space="461"/>
        </w:sectPr>
      </w:pPr>
    </w:p>
    <w:p w14:paraId="56EB726E" w14:textId="77777777" w:rsidR="006E3B18" w:rsidRPr="00650B69" w:rsidRDefault="006E3B18" w:rsidP="002D218C">
      <w:pPr>
        <w:pStyle w:val="TAMainText"/>
      </w:pPr>
      <w:r w:rsidRPr="00650B69">
        <w:rPr>
          <w:noProof/>
        </w:rPr>
        <w:lastRenderedPageBreak/>
        <w:drawing>
          <wp:anchor distT="0" distB="0" distL="114300" distR="114300" simplePos="0" relativeHeight="251659264" behindDoc="0" locked="0" layoutInCell="1" allowOverlap="1" wp14:anchorId="34A3C29A" wp14:editId="096D4AF1">
            <wp:simplePos x="0" y="0"/>
            <wp:positionH relativeFrom="column">
              <wp:posOffset>635</wp:posOffset>
            </wp:positionH>
            <wp:positionV relativeFrom="paragraph">
              <wp:posOffset>0</wp:posOffset>
            </wp:positionV>
            <wp:extent cx="6019800" cy="55816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rotWithShape="1">
                    <a:blip r:embed="rId10">
                      <a:extLst>
                        <a:ext uri="{28A0092B-C50C-407E-A947-70E740481C1C}">
                          <a14:useLocalDpi xmlns:a14="http://schemas.microsoft.com/office/drawing/2010/main" val="0"/>
                        </a:ext>
                      </a:extLst>
                    </a:blip>
                    <a:srcRect l="15224" t="8359" r="20149" b="11749"/>
                    <a:stretch/>
                  </pic:blipFill>
                  <pic:spPr bwMode="auto">
                    <a:xfrm>
                      <a:off x="0" y="0"/>
                      <a:ext cx="6019800" cy="558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0B69">
        <w:t>Figure 1. FTIR spectra, vibrational circular dichroism spectra and TEM images of alpha-</w:t>
      </w:r>
      <w:proofErr w:type="spellStart"/>
      <w:r w:rsidRPr="00650B69">
        <w:t>synuclein</w:t>
      </w:r>
      <w:proofErr w:type="spellEnd"/>
      <w:r w:rsidRPr="00650B69">
        <w:t xml:space="preserve"> fibrillated solely in solution (left), fibrillated in the presence of 150 mg mL-1 </w:t>
      </w:r>
      <w:proofErr w:type="spellStart"/>
      <w:r w:rsidRPr="00650B69">
        <w:t>Ficoll</w:t>
      </w:r>
      <w:proofErr w:type="spellEnd"/>
      <w:r w:rsidRPr="00650B69">
        <w:t xml:space="preserve"> 70 (middle) and in the presence of 300 mg mL-1 </w:t>
      </w:r>
      <w:proofErr w:type="spellStart"/>
      <w:r w:rsidRPr="00650B69">
        <w:t>Ficoll</w:t>
      </w:r>
      <w:proofErr w:type="spellEnd"/>
      <w:r w:rsidRPr="00650B69">
        <w:t xml:space="preserve"> 70 (right). The scale bar in the TEM images represents 250 nm. The arrows on the TEM images indicate some clear examples of the alignment of the fibrils in side-by-side orientation. The IR and VCD spectra have been normalized to a maximum absorbance of 1 in the amide I region.</w:t>
      </w:r>
    </w:p>
    <w:p w14:paraId="2191CBB7" w14:textId="77777777" w:rsidR="006E3B18" w:rsidRPr="00650B69" w:rsidRDefault="006E3B18" w:rsidP="002D218C">
      <w:pPr>
        <w:pStyle w:val="TAMainText"/>
        <w:sectPr w:rsidR="006E3B18" w:rsidRPr="00650B69" w:rsidSect="00F075E7">
          <w:type w:val="continuous"/>
          <w:pgSz w:w="12240" w:h="15840"/>
          <w:pgMar w:top="720" w:right="1094" w:bottom="720" w:left="1094" w:header="720" w:footer="720" w:gutter="0"/>
          <w:cols w:space="461"/>
        </w:sectPr>
      </w:pPr>
    </w:p>
    <w:p w14:paraId="648D4272" w14:textId="3F50754E" w:rsidR="00344BBA" w:rsidRPr="00650B69" w:rsidRDefault="00CB5FA5" w:rsidP="002D218C">
      <w:pPr>
        <w:pStyle w:val="TAMainText"/>
      </w:pPr>
      <w:r w:rsidRPr="00650B69">
        <w:t>An ECD spectrum was also measured from each of the VCD samples, 100 times diluted with D</w:t>
      </w:r>
      <w:r w:rsidRPr="00650B69">
        <w:rPr>
          <w:vertAlign w:val="subscript"/>
        </w:rPr>
        <w:t>2</w:t>
      </w:r>
      <w:r w:rsidRPr="00650B69">
        <w:t>O, and found to be identical to the ECD spectra in H</w:t>
      </w:r>
      <w:r w:rsidRPr="00650B69">
        <w:rPr>
          <w:vertAlign w:val="subscript"/>
        </w:rPr>
        <w:t>2</w:t>
      </w:r>
      <w:r w:rsidRPr="00650B69">
        <w:t xml:space="preserve">O, indicating that the samples were not destroyed during the </w:t>
      </w:r>
      <w:proofErr w:type="spellStart"/>
      <w:r w:rsidRPr="00650B69">
        <w:t>lyophilization</w:t>
      </w:r>
      <w:proofErr w:type="spellEnd"/>
      <w:r w:rsidRPr="00650B69">
        <w:t xml:space="preserve"> process.</w:t>
      </w:r>
      <w:r w:rsidR="00D81C80" w:rsidRPr="00650B69">
        <w:t xml:space="preserve"> (Figures S6 and 7). The effect of the </w:t>
      </w:r>
      <w:proofErr w:type="spellStart"/>
      <w:r w:rsidR="00D81C80" w:rsidRPr="00650B69">
        <w:t>lyophilization</w:t>
      </w:r>
      <w:proofErr w:type="spellEnd"/>
      <w:r w:rsidR="00D81C80" w:rsidRPr="00650B69">
        <w:t xml:space="preserve"> process on the VCD spectrum of </w:t>
      </w:r>
      <w:proofErr w:type="spellStart"/>
      <w:r w:rsidR="00D81C80" w:rsidRPr="00650B69">
        <w:t>asyn</w:t>
      </w:r>
      <w:proofErr w:type="spellEnd"/>
      <w:r w:rsidR="00D81C80" w:rsidRPr="00650B69">
        <w:t xml:space="preserve"> fibrils was also deemed minimal (Figure S8).</w:t>
      </w:r>
    </w:p>
    <w:p w14:paraId="1A3AF2D9" w14:textId="764F0158" w:rsidR="006E3B18" w:rsidRPr="00650B69" w:rsidRDefault="00344BBA" w:rsidP="002D218C">
      <w:pPr>
        <w:pStyle w:val="TAMainText"/>
      </w:pPr>
      <w:r w:rsidRPr="00650B69">
        <w:t xml:space="preserve">The resulting spectra are an average of these 8 accumulations. Corresponding backgrounds were measured similarly, and subtracted from the raw spectra. The IR- and VCD-spectra were normalized to A=1 for the amide I region. The intensity of the signal of the VCD-spectra was determined by calculating the peak-to-peak value and dividing this by the corresponding intensity of the IR-signal. The resulting g-factors were divided by the g-factor of the corresponding sample without crowding </w:t>
      </w:r>
      <w:r w:rsidRPr="00650B69">
        <w:t>agent. The resulting factor was determined to be a measure</w:t>
      </w:r>
      <w:r w:rsidR="000F7A81" w:rsidRPr="00650B69">
        <w:t xml:space="preserve"> of the level of enhancement in the spectrum.</w:t>
      </w:r>
      <w:r w:rsidRPr="00650B69">
        <w:t xml:space="preserve"> </w:t>
      </w:r>
      <w:r w:rsidR="006E3B18" w:rsidRPr="00650B69">
        <w:t xml:space="preserve">The samples </w:t>
      </w:r>
      <w:r w:rsidR="000F7A81" w:rsidRPr="00650B69">
        <w:t xml:space="preserve">from </w:t>
      </w:r>
      <w:r w:rsidR="006E3B18" w:rsidRPr="00650B69">
        <w:t>the ECD-measurements, with a concentration of 0.2 mg mL</w:t>
      </w:r>
      <w:r w:rsidR="006E3B18" w:rsidRPr="00650B69">
        <w:rPr>
          <w:vertAlign w:val="superscript"/>
        </w:rPr>
        <w:t>-1</w:t>
      </w:r>
      <w:r w:rsidR="006E3B18" w:rsidRPr="00650B69">
        <w:t>, were also used for the TEM-measurements. To this end a droplet of 2.5 µL of sample was deposited on a 300 mesh copper EM-support grid and blotted after 1</w:t>
      </w:r>
      <w:proofErr w:type="gramStart"/>
      <w:r w:rsidR="006E3B18" w:rsidRPr="00650B69">
        <w:t>,5</w:t>
      </w:r>
      <w:proofErr w:type="gramEnd"/>
      <w:r w:rsidR="006E3B18" w:rsidRPr="00650B69">
        <w:t xml:space="preserve"> mins. Then, the samples were stained for 1 minute with 1% uranyl acetate and subsequently dried. The images were taken at a magnification of 6000x and 10000x on a JEOL JEM 1400 (Japan, Tokyo), equipped with an EMSIS </w:t>
      </w:r>
      <w:proofErr w:type="spellStart"/>
      <w:r w:rsidR="006E3B18" w:rsidRPr="00650B69">
        <w:t>Quemesa</w:t>
      </w:r>
      <w:proofErr w:type="spellEnd"/>
      <w:r w:rsidR="006E3B18" w:rsidRPr="00650B69">
        <w:t xml:space="preserve"> 11Mpxl camera operated at 80kV.</w:t>
      </w:r>
    </w:p>
    <w:p w14:paraId="628323BB" w14:textId="77777777" w:rsidR="00CB5FA5" w:rsidRPr="00650B69" w:rsidRDefault="00CB5FA5" w:rsidP="002D218C">
      <w:pPr>
        <w:pStyle w:val="TAMainText"/>
      </w:pPr>
    </w:p>
    <w:p w14:paraId="5BFE9FEA" w14:textId="77777777" w:rsidR="00D81C80" w:rsidRPr="00650B69" w:rsidRDefault="00D81C80" w:rsidP="002D218C">
      <w:pPr>
        <w:pStyle w:val="TAMainText"/>
      </w:pPr>
    </w:p>
    <w:p w14:paraId="2BDEA3BA" w14:textId="77777777" w:rsidR="009740BC" w:rsidRPr="00650B69" w:rsidRDefault="009740BC" w:rsidP="002D218C">
      <w:pPr>
        <w:pStyle w:val="TAMainText"/>
      </w:pPr>
    </w:p>
    <w:p w14:paraId="5249ABD3" w14:textId="77777777" w:rsidR="00D81C80" w:rsidRPr="00650B69" w:rsidRDefault="00D81C80" w:rsidP="002D218C">
      <w:pPr>
        <w:pStyle w:val="TAMainText"/>
      </w:pPr>
    </w:p>
    <w:p w14:paraId="6F5192FE" w14:textId="77777777" w:rsidR="00CB5FA5" w:rsidRPr="00650B69" w:rsidRDefault="00CB5FA5" w:rsidP="002D218C">
      <w:pPr>
        <w:pStyle w:val="TAMainText"/>
      </w:pPr>
      <w:r w:rsidRPr="00650B69">
        <w:lastRenderedPageBreak/>
        <w:t>RESULTS AND DISCUSSION</w:t>
      </w:r>
    </w:p>
    <w:p w14:paraId="4037D703" w14:textId="77777777" w:rsidR="004522E9" w:rsidRPr="00650B69" w:rsidRDefault="004522E9" w:rsidP="002D218C">
      <w:pPr>
        <w:pStyle w:val="TAMainText"/>
      </w:pPr>
      <w:r w:rsidRPr="00650B69">
        <w:rPr>
          <w:b/>
        </w:rPr>
        <w:t xml:space="preserve">Crowding effects on </w:t>
      </w:r>
      <w:proofErr w:type="spellStart"/>
      <w:r w:rsidRPr="00650B69">
        <w:rPr>
          <w:b/>
        </w:rPr>
        <w:t>asyn</w:t>
      </w:r>
      <w:proofErr w:type="spellEnd"/>
      <w:r w:rsidR="0063109F" w:rsidRPr="00650B69">
        <w:rPr>
          <w:b/>
        </w:rPr>
        <w:t xml:space="preserve"> fibril formation.</w:t>
      </w:r>
      <w:r w:rsidR="0063109F" w:rsidRPr="00650B69">
        <w:t xml:space="preserve"> </w:t>
      </w:r>
    </w:p>
    <w:p w14:paraId="27811635" w14:textId="39405CD7" w:rsidR="00CB5FA5" w:rsidRPr="00650B69" w:rsidRDefault="00CB5FA5" w:rsidP="002D218C">
      <w:pPr>
        <w:pStyle w:val="TAMainText"/>
      </w:pPr>
      <w:r w:rsidRPr="00650B69">
        <w:t xml:space="preserve">The FTIR spectra, VCD spectra a TEM images for </w:t>
      </w:r>
      <w:proofErr w:type="spellStart"/>
      <w:r w:rsidRPr="00650B69">
        <w:t>asyn</w:t>
      </w:r>
      <w:proofErr w:type="spellEnd"/>
      <w:r w:rsidRPr="00650B69">
        <w:t xml:space="preserve"> with different concentrations of F70, are presented in figure 1. While </w:t>
      </w:r>
      <w:proofErr w:type="spellStart"/>
      <w:r w:rsidRPr="00650B69">
        <w:t>asyn</w:t>
      </w:r>
      <w:proofErr w:type="spellEnd"/>
      <w:r w:rsidRPr="00650B69">
        <w:t xml:space="preserve"> is ubiquitously acetylated at the N-terminus </w:t>
      </w:r>
      <w:r w:rsidRPr="00650B69">
        <w:rPr>
          <w:i/>
        </w:rPr>
        <w:t>in vivo</w:t>
      </w:r>
      <w:r w:rsidRPr="00650B69">
        <w:t>,</w:t>
      </w:r>
      <w:r w:rsidRPr="00650B69">
        <w:fldChar w:fldCharType="begin" w:fldLock="1"/>
      </w:r>
      <w:r w:rsidRPr="00650B69">
        <w:instrText>ADDIN CSL_CITATION {"citationItems":[{"id":"ITEM-1","itemData":{"DOI":"10.1038/nature10324","ISBN":"0028-0836","ISSN":"00280836","PMID":"21841800","abstract":"Parkinson's disease is the second most common neurodegenerative disorder. Growing evidence indicates a causative role of misfolded forms of the protein α-synuclein in the pathogenesis of Parkinson's disease. Intraneuronal aggregates of α-synuclein occur in Lewy bodies and Lewy neurites, the cytopathological hallmarks of Parkinson's disease and related disorders called synucleinopathies. α-Synuclein has long been defined as a 'natively unfolded' monomer of about 14 kDa (ref. 6) that is believed to acquire α-helical secondary structure only upon binding to lipid vesicles. This concept derives from the widespread use of recombinant bacterial expression protocols for in vitro studies, and of overexpression, sample heating and/or denaturing gels for cell culture and tissue studies. In contrast, we report that endogenous α-synuclein isolated and analysed under non-denaturing conditions from neuronal and non-neuronal cell lines, brain tissue and living human cells occurs in large part as a folded tetramer of about 58 kDa. Several methods, including analytical ultracentrifugation, scanning transmission electron microscopy and in vitro cell crosslinking confirmed the occurrence of the tetramer. Native, cell-derived α-synuclein showed α-helical structure without lipid addition and had much greater lipid-binding capacity than the recombinant α-synuclein studied heretofore. Whereas recombinantly expressed monomers readily aggregated into amyloid-like fibrils in vitro, native human tetramers underwent little or no amyloid-like aggregation. On the basis of these findings, we propose that destabilization of the helically folded tetramer precedes α-synuclein misfolding and aggregation in Parkinson's disease and other human synucleinopathies, and that small molecules that stabilize the physiological tetramer could reduce α-synuclein pathogenicity.","author":[{"dropping-particle":"","family":"Bartels","given":"Tim","non-dropping-particle":"","parse-names":false,"suffix":""},{"dropping-particle":"","family":"Choi","given":"Joanna G.","non-dropping-particle":"","parse-names":false,"suffix":""},{"dropping-particle":"","family":"Selkoe","given":"Dennis J.","non-dropping-particle":"","parse-names":false,"suffix":""}],"container-title":"Nature","id":"ITEM-1","issue":"7362","issued":{"date-parts":[["2011"]]},"page":"107-111","publisher":"Nature Publishing Group","title":"α-Synuclein occurs physiologically as a helically folded tetramer that resists aggregation","type":"article-journal","volume":"477"},"uris":["http://www.mendeley.com/documents/?uuid=d1dd53c8-91d3-4c1f-a796-252c7b118ea9"]},{"id":"ITEM-2","itemData":{"DOI":"10.1074/jbc.M600933200","ISBN":"0021-9258 (Print)\\n0021-9258 (Linking)","ISSN":"00219258","PMID":"16847063","abstract":"A comprehensive, unbiased inventory of synuclein forms present in Lewy bodies from patients with dementia with Lewy bodies was carried out using two-dimensional immunoblot analysis, novel sandwich enzyme-linked immunosorbent assays with modification-specific synuclein antibodies, and mass spectroscopy. The predominant modification of alpha-synuclein in Lewy bodies is a single phosphorylation at Ser-129. In addition, there is a set of characteristic modifications that are present to a lesser extent, including ubiquitination at Lys residues 12, 21, and 23 and specific truncations at Asp-115, Asp-119, Asn-122, Tyr-133, and Asp-135. No other modifications are detectable by tandem mass spectrometry mapping, except for a ubiquitous N-terminal acetylation. Small amounts of Ser-129 phosphorylated and Asp-119-truncated alpha-synuclein are present in the soluble fraction of both normal and disease brains, suggesting that these Lewy body-associated forms are produced during normal metabolism of alpha-synuclein. In contrast, ubiquitination is only detected in Lewy bodies and is primarily present on phosphorylated synuclein; it therefore likely occurs after phosphorylated synuclein has deposited into Lewy bodies. This invariant pattern of specific phosphorylation, truncation, and ubiquitination is also present in the detergent-insoluble fraction of brain from patients with familial Parkinson's disease (synuclein A53T mutation) as well as multiple system atrophy, suggesting a common pathogenic pathway for both genetic and sporadic Lewy body diseases. These observations are most consistent with a model in which preferential accumulation of normally produced Ser-129 phosphorylated alpha-synuclein is the key event responsible for the formation of Lewy bodies in various Lewy body diseases.","author":[{"dropping-particle":"","family":"Anderson","given":"John P.","non-dropping-particle":"","parse-names":false,"suffix":""},{"dropping-particle":"","family":"Walker","given":"Donald E.","non-dropping-particle":"","parse-names":false,"suffix":""},{"dropping-particle":"","family":"Goldstein","given":"Jason M.","non-dropping-particle":"","parse-names":false,"suffix":""},{"dropping-particle":"","family":"Laat","given":"Rian","non-dropping-particle":"De","parse-names":false,"suffix":""},{"dropping-particle":"","family":"Banducci","given":"Kelly","non-dropping-particle":"","parse-names":false,"suffix":""},{"dropping-particle":"","family":"Caccavello","given":"Russell J.","non-dropping-particle":"","parse-names":false,"suffix":""},{"dropping-particle":"","family":"Barbour","given":"Robin","non-dropping-particle":"","parse-names":false,"suffix":""},{"dropping-particle":"","family":"Huang","given":"Jiping","non-dropping-particle":"","parse-names":false,"suffix":""},{"dropping-particle":"","family":"Kling","given":"Kristin","non-dropping-particle":"","parse-names":false,"suffix":""},{"dropping-particle":"","family":"Lee","given":"Michael","non-dropping-particle":"","parse-names":false,"suffix":""},{"dropping-particle":"","family":"Diep","given":"Linnea","non-dropping-particle":"","parse-names":false,"suffix":""},{"dropping-particle":"","family":"Keim","given":"Pamela S.","non-dropping-particle":"","parse-names":false,"suffix":""},{"dropping-particle":"","family":"Shen","given":"Xiaofeng","non-dropping-particle":"","parse-names":false,"suffix":""},{"dropping-particle":"","family":"Chataway","given":"Tim","non-dropping-particle":"","parse-names":false,"suffix":""},{"dropping-particle":"","family":"Schlossmacher","given":"Michael G.","non-dropping-particle":"","parse-names":false,"suffix":""},{"dropping-particle":"","family":"Seubert","given":"Peter","non-dropping-particle":"","parse-names":false,"suffix":""},{"dropping-particle":"","family":"Schenk","given":"Dale","non-dropping-particle":"","parse-names":false,"suffix":""},{"dropping-particle":"","family":"Sinha","given":"Sukanto","non-dropping-particle":"","parse-names":false,"suffix":""},{"dropping-particle":"","family":"Gai","given":"Wei Ping","non-dropping-particle":"","parse-names":false,"suffix":""},{"dropping-particle":"","family":"Chilcote","given":"Tamie J.","non-dropping-particle":"","parse-names":false,"suffix":""}],"container-title":"Journal of Biological Chemistry","id":"ITEM-2","issue":"40","issued":{"date-parts":[["2006"]]},"page":"29739-29752","title":"Phosphorylation of Ser-129 is the dominant pathological modification of α-synuclein in familial and sporadic lewy body disease","type":"article-journal","volume":"281"},"uris":["http://www.mendeley.com/documents/?uuid=aebc0091-ce85-48ec-a050-8cf4395c040a"]}],"mendeley":{"formattedCitation":"&lt;sup&gt;22,23&lt;/sup&gt;","plainTextFormattedCitation":"22,23","previouslyFormattedCitation":"&lt;sup&gt;22,23&lt;/sup&gt;"},"properties":{"noteIndex":0},"schema":"https://github.com/citation-style-language/schema/raw/master/csl-citation.json"}</w:instrText>
      </w:r>
      <w:r w:rsidRPr="00650B69">
        <w:fldChar w:fldCharType="separate"/>
      </w:r>
      <w:r w:rsidRPr="00650B69">
        <w:rPr>
          <w:noProof/>
          <w:vertAlign w:val="superscript"/>
        </w:rPr>
        <w:t>22,23</w:t>
      </w:r>
      <w:r w:rsidRPr="00650B69">
        <w:fldChar w:fldCharType="end"/>
      </w:r>
      <w:r w:rsidRPr="00650B69">
        <w:t xml:space="preserve"> it </w:t>
      </w:r>
      <w:r w:rsidR="004F307E" w:rsidRPr="00650B69">
        <w:t xml:space="preserve">has been independently determined and reported </w:t>
      </w:r>
      <w:r w:rsidRPr="00650B69">
        <w:t>that the modified protein has very close aggregation propensities in comparison to the non-acetylated protein.</w:t>
      </w:r>
      <w:r w:rsidRPr="00650B69">
        <w:fldChar w:fldCharType="begin" w:fldLock="1"/>
      </w:r>
      <w:r w:rsidRPr="00650B69">
        <w:instrText>ADDIN CSL_CITATION {"citationItems":[{"id":"ITEM-1","itemData":{"DOI":"10.1074/jbc.M112.383711","ISBN":"1083-351X (Electronic)\\r0021-9258 (Linking)","ISSN":"00219258","PMID":"22718772","abstract":"N-terminal acetylation is a very common post-translational modification, although its role in regulating protein physical properties and function remains poorly understood. α-Synuclein (α-syn), a protein that has been linked to the pathogenesis of Parkinson disease, is constitutively N(α)-acetylated in vivo. Nevertheless, most of the biochemical and biophysical studies on the structure, aggregation, and function of α-syn in vitro utilize recombinant α-syn from Escherichia coli, which is not N-terminally acetylated. To elucidate the effect of N(α)-acetylation on the biophysical and biological properties of α-syn, we produced N(α)-acetylated α-syn first using a semisynthetic methodology based on expressed protein ligation (Berrade, L., and Camarero, J. A. (2009) Cell. Mol. Life Sci. 66, 3909-3922) and then a recombinant expression strategy, to compare its properties to unacetylated α-syn. We demonstrate that both WT and N(α)-acetylated α-syn share a similar secondary structure and oligomeric state using both purified protein preparations and in-cell NMR on E. coli overexpressing N(α)-acetylated α-syn. The two proteins have very close aggregation propensities as shown by thioflavin T binding and sedimentation assays. Furthermore, both N(α)-acetylated and WT α-syn exhibited similar ability to bind synaptosomal membranes in vitro and in HeLa cells, where both internalized proteins exhibited prominent cytosolic subcellular distribution. We then determined the effect of attenuating N(α)-acetylation in living cells, first by using a nonacetylable mutant and then by silencing the enzyme responsible for α-syn N(α)-acetylation. Both approaches revealed similar subcellular distribution and membrane binding for both the nonacetylable mutant and WT α-syn, suggesting that N-terminal acetylation does not significantly affect its structure in vitro and in intact cells.","author":[{"dropping-particle":"","family":"Fauvet","given":"Bruno","non-dropping-particle":"","parse-names":false,"suffix":""},{"dropping-particle":"","family":"Fares","given":"Mohamed Bilal","non-dropping-particle":"","parse-names":false,"suffix":""},{"dropping-particle":"","family":"Samuel","given":"Filsy","non-dropping-particle":"","parse-names":false,"suffix":""},{"dropping-particle":"","family":"Dikiy","given":"Igor","non-dropping-particle":"","parse-names":false,"suffix":""},{"dropping-particle":"","family":"Tandon","given":"Anurag","non-dropping-particle":"","parse-names":false,"suffix":""},{"dropping-particle":"","family":"Eliezer","given":"David","non-dropping-particle":"","parse-names":false,"suffix":""},{"dropping-particle":"","family":"Lashuel","given":"Hilal A.","non-dropping-particle":"","parse-names":false,"suffix":""}],"container-title":"Journal of Biological Chemistry","id":"ITEM-1","issue":"34","issued":{"date-parts":[["2012"]]},"page":"28243-28262","title":"Characterization of semisynthetic and naturally N α- acetylated α-synuclein in vitro and in intact cells: Implications for aggregation and cellular properties of α-synuclein","type":"article-journal","volume":"287"},"uris":["http://www.mendeley.com/documents/?uuid=b3b29840-f918-4074-bf66-b236ef8fea4b"]}],"mendeley":{"formattedCitation":"&lt;sup&gt;24&lt;/sup&gt;","plainTextFormattedCitation":"24","previouslyFormattedCitation":"&lt;sup&gt;24&lt;/sup&gt;"},"properties":{"noteIndex":0},"schema":"https://github.com/citation-style-language/schema/raw/master/csl-citation.json"}</w:instrText>
      </w:r>
      <w:r w:rsidRPr="00650B69">
        <w:fldChar w:fldCharType="separate"/>
      </w:r>
      <w:r w:rsidRPr="00650B69">
        <w:rPr>
          <w:noProof/>
          <w:vertAlign w:val="superscript"/>
        </w:rPr>
        <w:t>24</w:t>
      </w:r>
      <w:r w:rsidRPr="00650B69">
        <w:fldChar w:fldCharType="end"/>
      </w:r>
      <w:r w:rsidRPr="00650B69">
        <w:t xml:space="preserve"> It was also determined that the resulting fibrils have similar morphology.</w:t>
      </w:r>
      <w:r w:rsidRPr="00650B69">
        <w:fldChar w:fldCharType="begin" w:fldLock="1"/>
      </w:r>
      <w:r w:rsidR="00C5050C" w:rsidRPr="00650B69">
        <w:instrText>ADDIN CSL_CITATION {"citationItems":[{"id":"ITEM-1","itemData":{"DOI":"10.1002/pro.2088","ISBN":"1469-896X (Electronic)\\r0961-8368 (Linking)","ISSN":"09618368","PMID":"22573613","abstract":"The conformational properties of soluble α-synuclein, the primary protein found in patients with Parkinson's disease, are thought to play a key role in the structural transition to amyloid fibrils. In this work, we report that recombinant 100% N-terminal acetylated α-synuclein purified under mild physiological conditions presents as a primarily monomeric protein, and that the N-terminal acetyl group affects the transient secondary structure and fibril assembly rates of the protein. Residue-specific NMR chemical shift analysis indicates substantial increase in transient helical propensity in the first 9 N-terminal residues, as well as smaller long-range changes in residues 28-31, 43-46, and 50-66: regions in which the three familial mutations currently known to be causative of early onset disease are found. In addition, we show that the N-terminal acetylated protein forms fibrils that are morphologically similar to those formed from nonacetylated α-synuclein, but that their growth rates are slower. Our results highlight that N-terminal acetylation does not form significant numbers of dimers, tetramers, or higher molecular weight species, but does alter the conformational distributions of monomeric α-synuclein species in regions known to be important in metal binding, in association with membranes, and in regions known to affect fibril formation rates.","author":[{"dropping-particle":"","family":"Kang","given":"Lijuan","non-dropping-particle":"","parse-names":false,"suffix":""},{"dropping-particle":"","family":"Moriarty","given":"Gina M.","non-dropping-particle":"","parse-names":false,"suffix":""},{"dropping-particle":"","family":"Woods","given":"Lucy A.","non-dropping-particle":"","parse-names":false,"suffix":""},{"dropping-particle":"","family":"Ashcroft","given":"Alison E.","non-dropping-particle":"","parse-names":false,"suffix":""},{"dropping-particle":"","family":"Radford","given":"Sheena E.","non-dropping-particle":"","parse-names":false,"suffix":""},{"dropping-particle":"","family":"Baum","given":"Jean","non-dropping-particle":"","parse-names":false,"suffix":""}],"container-title":"Protein Science","id":"ITEM-1","issue":"7","issued":{"date-parts":[["2012"]]},"page":"911-917","title":"N-terminal acetylation of alpha-synuclein induces increased transient helical propensity and decreased aggregation rates in the intrinsically disordered monomer","type":"article-journal","volume":"21"},"uris":["http://www.mendeley.com/documents/?uuid=d193e06e-ec2d-4338-b62e-7dd7f5c4ee65"]}],"mendeley":{"formattedCitation":"&lt;sup&gt;25&lt;/sup&gt;","plainTextFormattedCitation":"25","previouslyFormattedCitation":"&lt;sup&gt;25&lt;/sup&gt;"},"properties":{"noteIndex":0},"schema":"https://github.com/citation-style-language/schema/raw/master/csl-citation.json"}</w:instrText>
      </w:r>
      <w:r w:rsidRPr="00650B69">
        <w:fldChar w:fldCharType="separate"/>
      </w:r>
      <w:r w:rsidRPr="00650B69">
        <w:rPr>
          <w:noProof/>
          <w:vertAlign w:val="superscript"/>
        </w:rPr>
        <w:t>25</w:t>
      </w:r>
      <w:r w:rsidRPr="00650B69">
        <w:fldChar w:fldCharType="end"/>
      </w:r>
      <w:r w:rsidRPr="00650B69">
        <w:t xml:space="preserve"> </w:t>
      </w:r>
    </w:p>
    <w:p w14:paraId="1E3DB384" w14:textId="41D0DFDE" w:rsidR="00CB5FA5" w:rsidRPr="00650B69" w:rsidRDefault="00CB5FA5" w:rsidP="002D218C">
      <w:pPr>
        <w:pStyle w:val="TAMainText"/>
      </w:pPr>
      <w:r w:rsidRPr="00650B69">
        <w:t xml:space="preserve">The sample of </w:t>
      </w:r>
      <w:proofErr w:type="spellStart"/>
      <w:r w:rsidRPr="00650B69">
        <w:t>asyn</w:t>
      </w:r>
      <w:proofErr w:type="spellEnd"/>
      <w:r w:rsidRPr="00650B69">
        <w:t xml:space="preserve"> alone forms long, unbranched fibrils (see figure 1G). The IR-spectrum (see figure 1A) suggests the presence of both disordered structure and beta-sheet structure in the protein, as determined by the presence of features at 1645 cm</w:t>
      </w:r>
      <w:r w:rsidRPr="00650B69">
        <w:rPr>
          <w:vertAlign w:val="superscript"/>
        </w:rPr>
        <w:t xml:space="preserve">-1 </w:t>
      </w:r>
      <w:r w:rsidRPr="00650B69">
        <w:t xml:space="preserve">  and 1625 cm</w:t>
      </w:r>
      <w:r w:rsidRPr="00650B69">
        <w:rPr>
          <w:vertAlign w:val="superscript"/>
        </w:rPr>
        <w:t xml:space="preserve">-1 </w:t>
      </w:r>
      <w:r w:rsidRPr="00650B69">
        <w:t xml:space="preserve"> , respectively, in the second derivative (see figure S4A). The presence of beta-sheet structural content is supported by the VCD-spectrum, as broad negative feature at 1632 cm</w:t>
      </w:r>
      <w:r w:rsidRPr="00650B69">
        <w:rPr>
          <w:vertAlign w:val="superscript"/>
        </w:rPr>
        <w:t xml:space="preserve">-1 </w:t>
      </w:r>
      <w:r w:rsidRPr="00650B69">
        <w:t xml:space="preserve">  is very similar to the features linked to </w:t>
      </w:r>
      <w:proofErr w:type="spellStart"/>
      <w:r w:rsidRPr="00650B69">
        <w:t>concanavalin</w:t>
      </w:r>
      <w:proofErr w:type="spellEnd"/>
      <w:r w:rsidRPr="00650B69">
        <w:t xml:space="preserve"> A, a protein with high beta-sheet structural content.</w:t>
      </w:r>
      <w:r w:rsidRPr="00650B69">
        <w:fldChar w:fldCharType="begin" w:fldLock="1"/>
      </w:r>
      <w:r w:rsidR="00C5050C" w:rsidRPr="00650B69">
        <w:instrText>ADDIN CSL_CITATION {"citationItems":[{"id":"ITEM-1","itemData":{"DOI":"10.1016/S1367-5931(02)00369-1","ISBN":"1367-5931","ISSN":"13675931","PMID":"12413554","abstract":"Vibrational circular dichroism (VCD) provides alternative views of protein and peptide conformation with advantages over electronic (UV) CD (ECD) or IR spectroscopy. VCD is sensitive to short-range order, allowing it to discriminate ??-sheet and various helices as well as disordered structure. Quantitative secondary structure analyses use protein VCD bandshapes, but are best combined with ECD and IR for balance. Much recent work has focused on empirical and theoretical VCD analyses of peptides, with detailed prediction of helix, sheet and hairpin spectra and site-specific application of isotopic substitution for structure and folding.","author":[{"dropping-particle":"","family":"Keiderling","given":"Timothy A.","non-dropping-particle":"","parse-names":false,"suffix":""}],"container-title":"Current Opinion in Chemical Biology","id":"ITEM-1","issue":"5","issued":{"date-parts":[["2002"]]},"page":"682-688","title":"Protein and peptide secondary structure and conformational determination with vibrational circular dichroism","type":"article-journal","volume":"6"},"uris":["http://www.mendeley.com/documents/?uuid=10173237-bba4-4d2d-85aa-24931318f833"]}],"mendeley":{"formattedCitation":"&lt;sup&gt;26&lt;/sup&gt;","plainTextFormattedCitation":"26","previouslyFormattedCitation":"&lt;sup&gt;26&lt;/sup&gt;"},"properties":{"noteIndex":0},"schema":"https://github.com/citation-style-language/schema/raw/master/csl-citation.json"}</w:instrText>
      </w:r>
      <w:r w:rsidRPr="00650B69">
        <w:fldChar w:fldCharType="separate"/>
      </w:r>
      <w:r w:rsidRPr="00650B69">
        <w:rPr>
          <w:noProof/>
          <w:vertAlign w:val="superscript"/>
        </w:rPr>
        <w:t>26</w:t>
      </w:r>
      <w:r w:rsidRPr="00650B69">
        <w:fldChar w:fldCharType="end"/>
      </w:r>
      <w:r w:rsidRPr="00650B69">
        <w:t xml:space="preserve"> The ECD-spectrum also indicates the presence of beta-sheet structural content (see figure S1A). The signal intensity of the VCD spectrum (see figure 1D) of this sample is within the expected range for VCD-spectra, indicating that the fibrils do not possess any kind of alignment or order in between themselves, as one would expect an enhancement of the VCD-signal if that </w:t>
      </w:r>
      <w:r w:rsidR="004F307E" w:rsidRPr="00650B69">
        <w:t xml:space="preserve">were </w:t>
      </w:r>
      <w:r w:rsidRPr="00650B69">
        <w:t>the case.</w:t>
      </w:r>
      <w:r w:rsidRPr="00650B69">
        <w:fldChar w:fldCharType="begin" w:fldLock="1"/>
      </w:r>
      <w:r w:rsidR="00C5050C" w:rsidRPr="00650B69">
        <w:instrText>ADDIN CSL_CITATION {"citationItems":[{"id":"ITEM-1","itemData":{"DOI":"10.1002/chir.22722","ISSN":"1520636X","abstract":"Supramolecular chirality of amyloid fibrils, protein aggregates related to many neurodegenerative diseases, is a remarkable property associated with fibril structure and polymorphism. Since its discovery almost 10 years ago there is still little understanding of this phenomenon, including the cause of the highly enhanced vibrational circular dichroism (VCD) intensity arising from fibril supramolecular chirality. In this study, VCD spectra, enhanced by filament supramolecular chirality, are presented for lysozyme and insulin fibrils above and below pH 2 and after deute- rium exchange, above and below pD 2. Supramolecular chirality (observed by VCD) and fibril morphology (documented by atomic force microscopy) are not affected by protein deuteriation. InD2Othe fibrilVCDsign pattern changes to fewer bands, with implications for the amide I/II origin of enhancedVCDintensity. Separation of amide I and II signals will facilitate calculations of enhancedVCDspectra of amyloid fibrils and enable a better understanding of the origin of the VCD sign pattern.","author":[{"dropping-particle":"","family":"Pazderková","given":"Markéta","non-dropping-particle":"","parse-names":false,"suffix":""},{"dropping-particle":"","family":"Pazderka","given":"Tomáš","non-dropping-particle":"","parse-names":false,"suffix":""},{"dropping-particle":"","family":"Shanmugasundaram","given":"Maruda","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A.","non-dropping-particle":"","parse-names":false,"suffix":""}],"container-title":"Chirality","id":"ITEM-1","issue":"9","issued":{"date-parts":[["2017"]]},"page":"469-475","title":"Origin of enhanced VCD in amyloid fibril spectra: effect of deuteriation and pH","type":"article-journal","volume":"29"},"uris":["http://www.mendeley.com/documents/?uuid=d21ff1a8-722b-4b2b-981e-62f5a548077f"]}],"mendeley":{"formattedCitation":"&lt;sup&gt;27&lt;/sup&gt;","plainTextFormattedCitation":"27","previouslyFormattedCitation":"&lt;sup&gt;27&lt;/sup&gt;"},"properties":{"noteIndex":0},"schema":"https://github.com/citation-style-language/schema/raw/master/csl-citation.json"}</w:instrText>
      </w:r>
      <w:r w:rsidRPr="00650B69">
        <w:fldChar w:fldCharType="separate"/>
      </w:r>
      <w:r w:rsidRPr="00650B69">
        <w:rPr>
          <w:noProof/>
          <w:vertAlign w:val="superscript"/>
        </w:rPr>
        <w:t>27</w:t>
      </w:r>
      <w:r w:rsidRPr="00650B69">
        <w:fldChar w:fldCharType="end"/>
      </w:r>
      <w:r w:rsidRPr="00650B69">
        <w:t xml:space="preserve"> It also needs to be noted that the nature of the sample induces artefacts in the baseline in the VCD spectrum, as the signal</w:t>
      </w:r>
      <w:r w:rsidR="004F307E" w:rsidRPr="00650B69">
        <w:t>-to-</w:t>
      </w:r>
      <w:r w:rsidRPr="00650B69">
        <w:t>noise ratio of the measurements of other samples are proven to be comparable to the one in other</w:t>
      </w:r>
      <w:r w:rsidR="004F307E" w:rsidRPr="00650B69">
        <w:t xml:space="preserve"> instruments</w:t>
      </w:r>
      <w:r w:rsidRPr="00650B69">
        <w:t xml:space="preserve"> (see SI). The lack of alignment between the fibrils is confirmed by the TEM-images, as they show long, randomly distributed fibrils. The kinetics of this fibrillation process is taken as a reference point to determine the observed effects qualitatively. The quantitative data, on which this qualitative description is based, can be found in the supporting information, while the results of the </w:t>
      </w:r>
      <w:proofErr w:type="spellStart"/>
      <w:r w:rsidRPr="00650B69">
        <w:t>ThT</w:t>
      </w:r>
      <w:proofErr w:type="spellEnd"/>
      <w:r w:rsidRPr="00650B69">
        <w:t>-assay can be found in figure 2.</w:t>
      </w:r>
    </w:p>
    <w:p w14:paraId="401C94A3" w14:textId="05CD496C" w:rsidR="00C5050C" w:rsidRPr="00650B69" w:rsidRDefault="00CB5FA5" w:rsidP="002D218C">
      <w:pPr>
        <w:pStyle w:val="TAMainText"/>
      </w:pPr>
      <w:r w:rsidRPr="00650B69">
        <w:t>Upon the addition of 150 mg mL</w:t>
      </w:r>
      <w:r w:rsidRPr="00650B69">
        <w:rPr>
          <w:vertAlign w:val="superscript"/>
        </w:rPr>
        <w:t>-</w:t>
      </w:r>
      <w:proofErr w:type="gramStart"/>
      <w:r w:rsidRPr="00650B69">
        <w:rPr>
          <w:vertAlign w:val="superscript"/>
        </w:rPr>
        <w:t xml:space="preserve">1 </w:t>
      </w:r>
      <w:r w:rsidRPr="00650B69">
        <w:t xml:space="preserve"> F70</w:t>
      </w:r>
      <w:proofErr w:type="gramEnd"/>
      <w:r w:rsidRPr="00650B69">
        <w:t xml:space="preserve"> during the fibrillation process, the lag-time reduces significantly, while the elongation phase is slightly steeper (see figure 2). There also seems to be a difference in the structure of the resulting fibrils, as suggested by the different ECD spectrum of these fibrils. (See figure S1B) The solutions before fibrillation however are identical in all cases, suggesting that the change in structure only occurs upon fibrillation. The VCD-signal (see figure 1E) has a shape similar to the shape of fibrils of previously published VCD for a C-terminal truncated version of asyn,</w:t>
      </w:r>
      <w:r w:rsidRPr="00650B69">
        <w:fldChar w:fldCharType="begin" w:fldLock="1"/>
      </w:r>
      <w:r w:rsidR="00C5050C" w:rsidRPr="00650B69">
        <w:instrText>ADDIN CSL_CITATION {"citationItems":[{"id":"ITEM-1","itemData":{"DOI":"10.1021/jacs.7b07403","ISSN":"0002-7863","PMID":"28968082","author":[{"dropping-particle":"","family":"Iyer","given":"Aditya","non-dropping-particle":"","parse-names":false,"suffix":""},{"dropping-particle":"","family":"Roeters","given":"Steven Joop","non-dropping-particle":"","parse-names":false,"suffix":""},{"dropping-particle":"","family":"Kogan","given":"Vladimir","non-dropping-particle":"","parse-names":false,"suffix":""},{"dropping-particle":"","family":"Woutersen","given":"Sander","non-dropping-particle":"","parse-names":false,"suffix":""},{"dropping-particle":"","family":"Claessens","given":"Mireille M. A. E.","non-dropping-particle":"","parse-names":false,"suffix":""},{"dropping-particle":"","family":"Subramaniam","given":"Vinod","non-dropping-particle":"","parse-names":false,"suffix":""}],"container-title":"Journal of the American Chemical Society","id":"ITEM-1","issue":"43","issued":{"date-parts":[["2017"]]},"page":"15392–15400","title":"C-terminal truncated alpha-synuclein fibrils contain strongly twisted beta-sheets","type":"article-journal","volume":"139"},"uris":["http://www.mendeley.com/documents/?uuid=77711c33-6c7e-40d8-8548-fcbf9ccb5505"]}],"mendeley":{"formattedCitation":"&lt;sup&gt;28&lt;/sup&gt;","plainTextFormattedCitation":"28","previouslyFormattedCitation":"&lt;sup&gt;28&lt;/sup&gt;"},"properties":{"noteIndex":0},"schema":"https://github.com/citation-style-language/schema/raw/master/csl-citation.json"}</w:instrText>
      </w:r>
      <w:r w:rsidRPr="00650B69">
        <w:fldChar w:fldCharType="separate"/>
      </w:r>
      <w:r w:rsidRPr="00650B69">
        <w:rPr>
          <w:noProof/>
          <w:vertAlign w:val="superscript"/>
        </w:rPr>
        <w:t>28</w:t>
      </w:r>
      <w:r w:rsidRPr="00650B69">
        <w:fldChar w:fldCharType="end"/>
      </w:r>
      <w:r w:rsidRPr="00650B69">
        <w:t xml:space="preserve"> and is enhanced by a factor 14.</w:t>
      </w:r>
      <w:r w:rsidR="00C5050C" w:rsidRPr="00650B69">
        <w:t xml:space="preserve"> It is important to note that the </w:t>
      </w:r>
      <w:proofErr w:type="spellStart"/>
      <w:r w:rsidR="00C5050C" w:rsidRPr="00650B69">
        <w:t>lyophilization</w:t>
      </w:r>
      <w:proofErr w:type="spellEnd"/>
      <w:r w:rsidR="00C5050C" w:rsidRPr="00650B69">
        <w:t xml:space="preserve"> procedure, used in the preparation of the samples, might have decreased the final intensity of the enhanced VCD signal. As all samples were treated similarly, the </w:t>
      </w:r>
      <w:r w:rsidR="00B86725" w:rsidRPr="00650B69">
        <w:t xml:space="preserve">relative </w:t>
      </w:r>
      <w:r w:rsidR="00C5050C" w:rsidRPr="00650B69">
        <w:t>final intensities of the VCD spectr</w:t>
      </w:r>
      <w:r w:rsidR="00B86725" w:rsidRPr="00650B69">
        <w:t>a</w:t>
      </w:r>
      <w:r w:rsidR="00C5050C" w:rsidRPr="00650B69">
        <w:t xml:space="preserve"> will be used for a qualitative comparison. </w:t>
      </w:r>
    </w:p>
    <w:p w14:paraId="237F0835" w14:textId="359926FF" w:rsidR="00CB5FA5" w:rsidRPr="00650B69" w:rsidRDefault="00C5050C" w:rsidP="002D218C">
      <w:pPr>
        <w:pStyle w:val="TAMainText"/>
      </w:pPr>
      <w:r w:rsidRPr="00650B69">
        <w:t xml:space="preserve">This induced </w:t>
      </w:r>
      <w:r w:rsidR="00A55FEF" w:rsidRPr="00650B69">
        <w:t>change</w:t>
      </w:r>
      <w:r w:rsidRPr="00650B69">
        <w:t xml:space="preserve"> in VCD </w:t>
      </w:r>
      <w:r w:rsidR="00A55FEF" w:rsidRPr="00650B69">
        <w:t>sign pattern</w:t>
      </w:r>
      <w:r w:rsidRPr="00650B69">
        <w:t xml:space="preserve"> has previously been assigned to an inversion of fibril supramolecular </w:t>
      </w:r>
      <w:r w:rsidRPr="00650B69">
        <w:t>chirality.</w:t>
      </w:r>
      <w:r w:rsidRPr="00650B69">
        <w:fldChar w:fldCharType="begin" w:fldLock="1"/>
      </w:r>
      <w:r w:rsidRPr="00650B69">
        <w:instrText>ADDIN CSL_CITATION {"citationItems":[{"id":"ITEM-1","itemData":{"DOI":"10.1039/c0cc02423f","ISBN":"1359-7345","ISSN":"1359-7345","PMID":"20820535","abstract":"The controlled reversal of supramolecular helical chirality in protein fibrils is reported for the first time. Normal or reversed insulin fibrils were grown by precise adjustment of pH. AFM images show two polymorphs corresponding to opposite senses of helical twist of the supramolecular structure with the same cross-β-sheet core.","author":[{"dropping-particle":"","family":"Kurouski","given":"Dmitry","non-dropping-particle":"","parse-names":false,"suffix":""},{"dropping-particle":"","family":"Lombardi","given":"Rosina A.","non-dropping-particle":"","parse-names":false,"suffix":""},{"dropping-particle":"","family":"Dukor","given":"Rina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A.","non-dropping-particle":"","parse-names":false,"suffix":""}],"container-title":"Chemical Communications","id":"ITEM-1","issue":"38","issued":{"date-parts":[["2010"]]},"page":"7154","title":"Direct observation and pH control of reversed supramolecular chirality in insulin fibrils by vibrational circular dichroism","type":"article-journal","volume":"46"},"uris":["http://www.mendeley.com/documents/?uuid=43301d2b-c171-4eea-b882-a44d707b872b"]},{"id":"ITEM-2","itemData":{"DOI":"10.1021/ja407583r","ISBN":"0002-7863","ISSN":"00027863","PMID":"24484302","abstract":"The unique enhanced sensitivity of vibrational circular dichroism (VCD) to the formation and development of amyloid fibrils in solution is extended to four additional fibril-forming proteins or peptides where it is shown that the sign of the fibril VCD pattern correlates with the sense of supramolecular filament chirality and, without exception, to the dominant fibril morphology as observed in AFM or SEM images. Previously for insulin, it has been demonstrated that the sign of the VCD band pattern from filament chirality can be controlled by adjusting the pH of the incubating solution, above pH 2 for \"normal\" left-hand-helical filaments and below pH 2 for \"reversed\" right-hand-helical filaments. From AFM or SEM images, left-helical filaments form multifilament braids of left-twisted fibrils while the right-helical filaments form parallel filament rows of fibrils with a flat tape-like morphology, the two major classes of fibril morphology that from deep UV resonance Raman scattering exhibit the same cross-β-core secondary structure. Here we investigate whether fibril supramolecular chirality is the underlying cause of the major morphology differences in all amyloid fibrils by showing that the morphology (twisted versus flat) of fibrils of lysozyme, apo-α-lactalbumin, HET-s (218-289) prion, and a short polypeptide fragment of transthyretin, TTR (105-115), directly correlates to their supramolecular chirality as revealed by VCD. The result is strong evidence that the chiral supramolecular organization of filaments is the principal underlying cause of the morphological heterogeneity of amyloid fibrils. Because fibril morphology is linked to cell toxicity, the chirality of amyloid aggregates should be explored in the widely used in vitro models of amyloid-associated diseases.","author":[{"dropping-particle":"","family":"Kurouski","given":"Dmitry","non-dropping-particle":"","parse-names":false,"suffix":""},{"dropping-particle":"","family":"Lu","given":"Xuefang","non-dropping-particle":"","parse-names":false,"suffix":""},{"dropping-particle":"","family":"Popova","given":"Ludmila","non-dropping-particle":"","parse-names":false,"suffix":""},{"dropping-particle":"","family":"Wan","given":"William","non-dropping-particle":"","parse-names":false,"suffix":""},{"dropping-particle":"","family":"Shanmugasundaram","given":"Maruda","non-dropping-particle":"","parse-names":false,"suffix":""},{"dropping-particle":"","family":"Stubbs","given":"Gerald","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A.","non-dropping-particle":"","parse-names":false,"suffix":""}],"container-title":"Journal of the American Chemical Society","id":"ITEM-2","issue":"6","issued":{"date-parts":[["2014"]]},"page":"2302-2312","title":"Is supramolecular filament chirality the underlying cause of major morphology differences in amyloid fibrils?","type":"article-journal","volume":"136"},"uris":["http://www.mendeley.com/documents/?uuid=6c8ce7ee-ed8d-4419-a3be-e2c8959107e2"]}],"mendeley":{"formattedCitation":"&lt;sup&gt;18,29&lt;/sup&gt;","plainTextFormattedCitation":"18,29","previouslyFormattedCitation":"&lt;sup&gt;18,29&lt;/sup&gt;"},"properties":{"noteIndex":0},"schema":"https://github.com/citation-style-language/schema/raw/master/csl-citation.json"}</w:instrText>
      </w:r>
      <w:r w:rsidRPr="00650B69">
        <w:fldChar w:fldCharType="separate"/>
      </w:r>
      <w:r w:rsidRPr="00650B69">
        <w:rPr>
          <w:noProof/>
          <w:vertAlign w:val="superscript"/>
        </w:rPr>
        <w:t>18,29</w:t>
      </w:r>
      <w:r w:rsidRPr="00650B69">
        <w:fldChar w:fldCharType="end"/>
      </w:r>
      <w:r w:rsidRPr="00650B69">
        <w:t xml:space="preserve"> The TEM-images lack any evidence of a twist in the fibrils, which has previously been linked to this kind of enhancement.</w:t>
      </w:r>
      <w:r w:rsidRPr="00650B69">
        <w:fldChar w:fldCharType="begin" w:fldLock="1"/>
      </w:r>
      <w:r w:rsidRPr="00650B69">
        <w:instrText>ADDIN CSL_CITATION {"citationItems":[{"id":"ITEM-1","itemData":{"DOI":"10.1039/c0cc02423f","ISBN":"1359-7345","ISSN":"1359-7345","PMID":"20820535","abstract":"The controlled reversal of supramolecular helical chirality in protein fibrils is reported for the first time. Normal or reversed insulin fibrils were grown by precise adjustment of pH. AFM images show two polymorphs corresponding to opposite senses of helical twist of the supramolecular structure with the same cross-β-sheet core.","author":[{"dropping-particle":"","family":"Kurouski","given":"Dmitry","non-dropping-particle":"","parse-names":false,"suffix":""},{"dropping-particle":"","family":"Lombardi","given":"Rosina A.","non-dropping-particle":"","parse-names":false,"suffix":""},{"dropping-particle":"","family":"Dukor","given":"Rina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A.","non-dropping-particle":"","parse-names":false,"suffix":""}],"container-title":"Chemical Communications","id":"ITEM-1","issue":"38","issued":{"date-parts":[["2010"]]},"page":"7154","title":"Direct observation and pH control of reversed supramolecular chirality in insulin fibrils by vibrational circular dichroism","type":"article-journal","volume":"46"},"uris":["http://www.mendeley.com/documents/?uuid=43301d2b-c171-4eea-b882-a44d707b872b"]},{"id":"ITEM-2","itemData":{"DOI":"10.1002/chir.22722","ISSN":"1520636X","abstract":"Supramolecular chirality of amyloid fibrils, protein aggregates related to many neurodegenerative diseases, is a remarkable property associated with fibril structure and polymorphism. Since its discovery almost 10 years ago there is still little understanding of this phenomenon, including the cause of the highly enhanced vibrational circular dichroism (VCD) intensity arising from fibril supramolecular chirality. In this study, VCD spectra, enhanced by filament supramolecular chirality, are presented for lysozyme and insulin fibrils above and below pH 2 and after deute- rium exchange, above and below pD 2. Supramolecular chirality (observed by VCD) and fibril morphology (documented by atomic force microscopy) are not affected by protein deuteriation. InD2Othe fibrilVCDsign pattern changes to fewer bands, with implications for the amide I/II origin of enhancedVCDintensity. Separation of amide I and II signals will facilitate calculations of enhancedVCDspectra of amyloid fibrils and enable a better understanding of the origin of the VCD sign pattern.","author":[{"dropping-particle":"","family":"Pazderková","given":"Markéta","non-dropping-particle":"","parse-names":false,"suffix":""},{"dropping-particle":"","family":"Pazderka","given":"Tomáš","non-dropping-particle":"","parse-names":false,"suffix":""},{"dropping-particle":"","family":"Shanmugasundaram","given":"Maruda","non-dropping-particle":"","parse-names":false,"suffix":""},{"dropping-particle":"","family":"Dukor","given":"Rina K.","non-dropping-particle":"","parse-names":false,"suffix":""},{"dropping-particle":"","family":"Lednev","given":"Igor K.","non-dropping-particle":"","parse-names":false,"suffix":""},{"dropping-particle":"","family":"Nafie","given":"Laurence A.","non-dropping-particle":"","parse-names":false,"suffix":""}],"container-title":"Chirality","id":"ITEM-2","issue":"9","issued":{"date-parts":[["2017"]]},"page":"469-475","title":"Origin of enhanced VCD in amyloid fibril spectra: effect of deuteriation and pH","type":"article-journal","volume":"29"},"uris":["http://www.mendeley.com/documents/?uuid=d21ff1a8-722b-4b2b-981e-62f5a548077f"]},{"id":"ITEM-3","itemData":{"DOI":"10.1021/ja1089827","ISBN":"1520-5126 (Electronic)\\r0002-7863 (Linking)","ISSN":"00027863","PMID":"21186804","abstract":"Amyloid fibrils are affiliated with various human pathologies. Knowledge of their molecular architecture is necessary for a detailed understanding of the mechanism of fibril formation. Vibrational circular dichroism (VCD) spectroscopy has recently shown sensitivity to amyloid fibrils [Ma et al. J. Am. Chem. Soc. 2007, 129, 12364 and Measey et al. J. Am. Chem. Soc. 2009, 131, 18218]. In particular, amyloid fibrils give rise to an intensity enhanced signal in the amide I band region of the corresponding VCD spectrum, offering promise of utilizing such a method for probing fibrillogenesis and the chiral structure of fibrils. Herein, we further investigate this phenomenon and demonstrate the use of VCD to probe the fibril formation kinetics of a short alanine-rich peptide. To elucidate the origin of the anomalous VCD intensity enhancement, we use an excitonic coupling model to simulate the VCD spectrum of stacked β-sheets containing one (Ising-like model) and two amide I oscillators per strand, as models for the underlying amyloid-fibril secondary structure. With this simple model, we show that the VCD intensity enhancement of amyloid-like fibrils results from intrasheet and, to a more limited extent, also from intersheet vibrational coupling between stacked β-sheets. The enhancement requires helically twisted sheets and is most pronounced for arrangements with parallel-oriented strands. Both the intersheet distance and the orientation of the amide I transition dipole moments of neighboring sheets are found to modulate the intensity enhancement of the amide I VCD signal. Moreover, our simulations suggest that, depending on the three-dimensional arrangement of the β-strands, the sign of the VCD signal of amyloid-like fibrils can be used to distinguish between right- and left-handed helical twists of parallel-oriented β-sheets. We compare the results of our simulation to experimental spectra of two short peptides, GNNQQNY, the N-terminal peptide fragment of the yeast prion protein Sup35, and an amyloidogenic alanine-rich peptide, AKY8. Our results demonstrate the advantages of using VCD spectroscopy to probe the kinetics of peptide and protein aggregation as well as the chirality of the resulting supramolecular structure.","author":[{"dropping-particle":"","family":"Measey","given":"Thomas J.","non-dropping-particle":"","parse-names":false,"suffix":""},{"dropping-particle":"","family":"Schweitzer-Stenner","given":"Reinhard","non-dropping-particle":"","parse-names":false,"suffix":""}],"container-title":"Journal of the American Chemical Society","id":"ITEM-3","issue":"4","issued":{"date-parts":[["2011"]]},"page":"1066-1076","title":"Vibrational circular dichroism as a probe of fibrillogenesis: The origin of the anomalous intensity enhancement of amyloid-like fibrils","type":"article-journal","volume":"133"},"uris":["http://www.mendeley.com/documents/?uuid=6ccd9f59-56e4-475d-b229-ab343e21aa55"]}],"mendeley":{"formattedCitation":"&lt;sup&gt;18,19,27&lt;/sup&gt;","plainTextFormattedCitation":"18,19,27","previouslyFormattedCitation":"&lt;sup&gt;18,19,27&lt;/sup&gt;"},"properties":{"noteIndex":0},"schema":"https://github.com/citation-style-language/schema/raw/master/csl-citation.json"}</w:instrText>
      </w:r>
      <w:r w:rsidRPr="00650B69">
        <w:fldChar w:fldCharType="separate"/>
      </w:r>
      <w:r w:rsidRPr="00650B69">
        <w:rPr>
          <w:noProof/>
          <w:vertAlign w:val="superscript"/>
        </w:rPr>
        <w:t>18,19,27</w:t>
      </w:r>
      <w:r w:rsidRPr="00650B69">
        <w:fldChar w:fldCharType="end"/>
      </w:r>
      <w:r w:rsidR="00CB5FA5" w:rsidRPr="00650B69">
        <w:t xml:space="preserve">On the other hand, it can be observed that the fibrils align themselves in a side-by-side orientation. This alignment between fibrils thus suggests a dipolar coupling on the supramolecular level, between the fibrils, and is most likely the cause of the enhancement in this case. Furthermore, the high level of supramolecular orientation can also be identified as the cause of the previously reported clusters of aggregates observed for fibrils of </w:t>
      </w:r>
      <w:proofErr w:type="spellStart"/>
      <w:r w:rsidR="00CB5FA5" w:rsidRPr="00650B69">
        <w:t>asyn</w:t>
      </w:r>
      <w:proofErr w:type="spellEnd"/>
      <w:r w:rsidR="00CB5FA5" w:rsidRPr="00650B69">
        <w:t xml:space="preserve"> grown in a crowded environment.</w:t>
      </w:r>
      <w:r w:rsidR="00CB5FA5" w:rsidRPr="00650B69">
        <w:rPr>
          <w:vertAlign w:val="superscript"/>
        </w:rPr>
        <w:fldChar w:fldCharType="begin" w:fldLock="1"/>
      </w:r>
      <w:r w:rsidR="00CB5FA5" w:rsidRPr="00650B69">
        <w:rPr>
          <w:vertAlign w:val="superscript"/>
        </w:rPr>
        <w:instrText>ADDIN CSL_CITATION {"citationItems":[{"id":"ITEM-1","itemData":{"DOI":"10.1002/jmr.699","ISSN":"0952-3499","PMID":"15362105","abstract":"Macromolecular crowding is expected to have several significant effects on protein aggregation; the major effects will be those due to excluded volume and increased viscosity. In this report we summarize data demonstrating that macromolecular crowding may lead to a dramatic acceleration in the rate of protein aggregation and formation of amyloid fibrils, using the protein alpha-synuclein. The aggregation of alpha-synuclein has been implicated as a critical factor in development of Parkinson's disease. Various types of polymers, from neutral polyethylene glycols and polysaccharides (Ficolls, dextrans) to inert proteins, are shown to accelerate alpha-synuclein fibrillation. The stimulation of fibrillation increases with increasing length of polymer, as well as increasing polymer concentration. At lower polymer concentrations (typically up to approximately 100 mg/ml) the major effect is ascribed to excluded volume, whereas at higher polymer concentrations evidence of opposing viscosity effects become apparent. Pesticides and metals, which are linked to increased risk of Parkinson's disease by epidemiological studies, are shown to accelerate alpha-synuclein fibrillation under conditions of molecular crowding.","author":[{"dropping-particle":"","family":"Munishkina","given":"Larissa A.","non-dropping-particle":"","parse-names":false,"suffix":""},{"dropping-particle":"","family":"Cooper","given":"Elisa M.","non-dropping-particle":"","parse-names":false,"suffix":""},{"dropping-particle":"","family":"Uversky","given":"Vladimir N.","non-dropping-particle":"","parse-names":false,"suffix":""},{"dropping-particle":"","family":"Fink","given":"Anthony L.","non-dropping-particle":"","parse-names":false,"suffix":""}],"container-title":"Journal of molecular recognition : JMR","id":"ITEM-1","issued":{"date-parts":[["2004"]]},"page":"456-464","title":"The effect of macromolecular crowding on protein aggregation and amyloid fibril formation.","type":"article-journal","volume":"17"},"uris":["http://www.mendeley.com/documents/?uuid=4740c7b1-1780-4c75-8562-36b68894c690"]}],"mendeley":{"formattedCitation":"&lt;sup&gt;6&lt;/sup&gt;","plainTextFormattedCitation":"6","previouslyFormattedCitation":"&lt;sup&gt;6&lt;/sup&gt;"},"properties":{"noteIndex":0},"schema":"https://github.com/citation-style-language/schema/raw/master/csl-citation.json"}</w:instrText>
      </w:r>
      <w:r w:rsidR="00CB5FA5" w:rsidRPr="00650B69">
        <w:rPr>
          <w:vertAlign w:val="superscript"/>
        </w:rPr>
        <w:fldChar w:fldCharType="separate"/>
      </w:r>
      <w:r w:rsidR="00CB5FA5" w:rsidRPr="00650B69">
        <w:rPr>
          <w:noProof/>
          <w:vertAlign w:val="superscript"/>
        </w:rPr>
        <w:t>6</w:t>
      </w:r>
      <w:r w:rsidR="00CB5FA5" w:rsidRPr="00650B69">
        <w:rPr>
          <w:vertAlign w:val="superscript"/>
        </w:rPr>
        <w:fldChar w:fldCharType="end"/>
      </w:r>
    </w:p>
    <w:p w14:paraId="5B6AAEAC" w14:textId="37A0CCF4" w:rsidR="00CB5FA5" w:rsidRPr="00650B69" w:rsidRDefault="00CB5FA5" w:rsidP="002D218C">
      <w:pPr>
        <w:pStyle w:val="TAMainText"/>
      </w:pPr>
      <w:r w:rsidRPr="00650B69">
        <w:t>The crowding effect on the fibrillation process also depends on the concentration of the crowding agent, as the addition of 300 mg mL</w:t>
      </w:r>
      <w:r w:rsidRPr="00650B69">
        <w:rPr>
          <w:vertAlign w:val="superscript"/>
        </w:rPr>
        <w:t>-</w:t>
      </w:r>
      <w:proofErr w:type="gramStart"/>
      <w:r w:rsidRPr="00650B69">
        <w:rPr>
          <w:vertAlign w:val="superscript"/>
        </w:rPr>
        <w:t xml:space="preserve">1 </w:t>
      </w:r>
      <w:r w:rsidRPr="00650B69">
        <w:t xml:space="preserve"> F70</w:t>
      </w:r>
      <w:proofErr w:type="gramEnd"/>
      <w:r w:rsidRPr="00650B69">
        <w:t xml:space="preserve"> during the fibrillation process reduces the lag-time even further (see </w:t>
      </w:r>
      <w:r w:rsidR="00D81C80" w:rsidRPr="00650B69">
        <w:t>figure 2</w:t>
      </w:r>
      <w:r w:rsidRPr="00650B69">
        <w:t xml:space="preserve">). The elongation phase seems to be less steep than with the F70asyn150 sample, although still slightly steeper than witnessed with the </w:t>
      </w:r>
      <w:proofErr w:type="spellStart"/>
      <w:r w:rsidRPr="00650B69">
        <w:t>asyn</w:t>
      </w:r>
      <w:proofErr w:type="spellEnd"/>
      <w:r w:rsidRPr="00650B69">
        <w:t xml:space="preserve"> sample.  This difference in kinetics also results in </w:t>
      </w:r>
      <w:r w:rsidR="0063109F" w:rsidRPr="00650B69">
        <w:t xml:space="preserve">a </w:t>
      </w:r>
      <w:r w:rsidRPr="00650B69">
        <w:t xml:space="preserve">different fibril morphology, as the TEM-image (see </w:t>
      </w:r>
      <w:r w:rsidR="00D81C80" w:rsidRPr="00650B69">
        <w:t>figure 1</w:t>
      </w:r>
      <w:r w:rsidRPr="00650B69">
        <w:t>I) illustrates that the addition of 300 mg mL</w:t>
      </w:r>
      <w:r w:rsidRPr="00650B69">
        <w:rPr>
          <w:vertAlign w:val="superscript"/>
        </w:rPr>
        <w:t>-</w:t>
      </w:r>
      <w:proofErr w:type="gramStart"/>
      <w:r w:rsidRPr="00650B69">
        <w:rPr>
          <w:vertAlign w:val="superscript"/>
        </w:rPr>
        <w:t xml:space="preserve">1 </w:t>
      </w:r>
      <w:r w:rsidRPr="00650B69">
        <w:t xml:space="preserve"> F70</w:t>
      </w:r>
      <w:proofErr w:type="gramEnd"/>
      <w:r w:rsidRPr="00650B69">
        <w:t xml:space="preserve"> during the fibrillation process shortens the fibrils. As crowding increases the number of nucleation sites, relatively more fibrils are initiated, which could account for the overall smaller lengths.</w:t>
      </w:r>
    </w:p>
    <w:p w14:paraId="70297359" w14:textId="6E0A85C7" w:rsidR="0063109F" w:rsidRPr="00650B69" w:rsidRDefault="00CB5FA5" w:rsidP="002D218C">
      <w:pPr>
        <w:pStyle w:val="TAMainText"/>
      </w:pPr>
      <w:r w:rsidRPr="00650B69">
        <w:t xml:space="preserve">It appears however, that although the fibrils are significantly shorter, the mutual alignment of the fibrils is retained upon increasing the concentration of crowding agent, resulting in an enhancement of a factor 10 in the VCD-spectrum (see </w:t>
      </w:r>
      <w:r w:rsidR="00D81C80" w:rsidRPr="00650B69">
        <w:t>figure 1</w:t>
      </w:r>
      <w:r w:rsidRPr="00650B69">
        <w:t>F)</w:t>
      </w:r>
      <w:r w:rsidR="009740BC" w:rsidRPr="00650B69">
        <w:t xml:space="preserve">, compared to the spectrum of </w:t>
      </w:r>
      <w:proofErr w:type="spellStart"/>
      <w:r w:rsidR="009740BC" w:rsidRPr="00650B69">
        <w:t>asyn</w:t>
      </w:r>
      <w:proofErr w:type="spellEnd"/>
      <w:r w:rsidR="009740BC" w:rsidRPr="00650B69">
        <w:t xml:space="preserve"> fibrillated solely in solution (see figure 1D)</w:t>
      </w:r>
      <w:r w:rsidRPr="00650B69">
        <w:t xml:space="preserve">. While the VCD-spectrum is similar in shape in comparison with the previously discussed VCD-spectrum, we believe that the smaller enhancement of the VCD-signal is due to the shorter fibrils, as mutual alignment of smaller aggregates would occur less frequently, which in turn shows that VCD spectroscopy is sensitive both to the size and alignment of the fibrils. The ECD-signal (see figure S1C) and the IR-signal of the F70asyn300 fibrils look similar to the spectra of the F70asyn150 fibrils. This suggests that the presence of F70 induces a small difference in the secondary structure of the fibrils, independent of the concentration of the crowding agent, while the resulting overall morphology of the collection of fibrils depends directly on the concentration crowding agent used during the fibrillation process. </w:t>
      </w:r>
    </w:p>
    <w:p w14:paraId="7EC7D95C" w14:textId="5E20BFFC" w:rsidR="004522E9" w:rsidRPr="00650B69" w:rsidRDefault="004522E9" w:rsidP="004522E9">
      <w:pPr>
        <w:pStyle w:val="TAMainText"/>
      </w:pPr>
      <w:proofErr w:type="spellStart"/>
      <w:proofErr w:type="gramStart"/>
      <w:r w:rsidRPr="00650B69">
        <w:rPr>
          <w:b/>
        </w:rPr>
        <w:t>bsyn</w:t>
      </w:r>
      <w:proofErr w:type="spellEnd"/>
      <w:proofErr w:type="gramEnd"/>
      <w:r w:rsidRPr="00650B69">
        <w:rPr>
          <w:b/>
        </w:rPr>
        <w:t xml:space="preserve"> effects on </w:t>
      </w:r>
      <w:proofErr w:type="spellStart"/>
      <w:r w:rsidRPr="00650B69">
        <w:rPr>
          <w:b/>
        </w:rPr>
        <w:t>asyn</w:t>
      </w:r>
      <w:proofErr w:type="spellEnd"/>
      <w:r w:rsidRPr="00650B69">
        <w:rPr>
          <w:b/>
        </w:rPr>
        <w:t xml:space="preserve"> fibril formation.</w:t>
      </w:r>
      <w:r w:rsidRPr="00650B69">
        <w:t xml:space="preserve"> </w:t>
      </w:r>
    </w:p>
    <w:p w14:paraId="26BBD906" w14:textId="45FDA4EC" w:rsidR="00CB5FA5" w:rsidRPr="00650B69" w:rsidRDefault="00CB5FA5" w:rsidP="002D218C">
      <w:pPr>
        <w:pStyle w:val="TAMainText"/>
        <w:rPr>
          <w:noProof/>
          <w:lang w:eastAsia="nl-BE"/>
        </w:rPr>
        <w:sectPr w:rsidR="00CB5FA5" w:rsidRPr="00650B69" w:rsidSect="006E3B18">
          <w:type w:val="continuous"/>
          <w:pgSz w:w="12240" w:h="15840"/>
          <w:pgMar w:top="720" w:right="1094" w:bottom="720" w:left="1094" w:header="720" w:footer="720" w:gutter="0"/>
          <w:cols w:num="2" w:space="461"/>
        </w:sectPr>
      </w:pPr>
      <w:r w:rsidRPr="00650B69">
        <w:t xml:space="preserve">The effect of the presence of a 1:1 ratio </w:t>
      </w:r>
      <w:proofErr w:type="spellStart"/>
      <w:r w:rsidRPr="00650B69">
        <w:t>asyn</w:t>
      </w:r>
      <w:proofErr w:type="gramStart"/>
      <w:r w:rsidRPr="00650B69">
        <w:t>:bsyn</w:t>
      </w:r>
      <w:proofErr w:type="spellEnd"/>
      <w:proofErr w:type="gramEnd"/>
      <w:r w:rsidRPr="00650B69">
        <w:t xml:space="preserve"> during the fibrillation process significantly increases the lag phase as compared to pure </w:t>
      </w:r>
      <w:proofErr w:type="spellStart"/>
      <w:r w:rsidRPr="00650B69">
        <w:t>asyn</w:t>
      </w:r>
      <w:proofErr w:type="spellEnd"/>
      <w:r w:rsidRPr="00650B69">
        <w:t xml:space="preserve"> (see figure 2), while the slope of the elongation phase is less pronounced. This results in fibrils that contain, based on analysis of the second derivative and the corresponding IR-spectrum, a higher contribution of disordered secondary structure in comparison with the fibrils of the </w:t>
      </w:r>
      <w:proofErr w:type="spellStart"/>
      <w:r w:rsidRPr="00650B69">
        <w:t>asyn</w:t>
      </w:r>
      <w:proofErr w:type="spellEnd"/>
      <w:r w:rsidRPr="00650B69">
        <w:t xml:space="preserve"> sample (see Figure S5A). This is supported by analysis of the ECD-and VCD-spectra of this sample, as these spectra clearly are a superposition of a disordered pattern combined with a beta-sheet contribution (see figures 3D and S2A).</w:t>
      </w:r>
      <w:r w:rsidRPr="00650B69">
        <w:rPr>
          <w:rFonts w:ascii="Times New Roman" w:hAnsi="Times New Roman"/>
        </w:rPr>
        <w:t xml:space="preserve"> </w:t>
      </w:r>
      <w:r w:rsidRPr="00650B69">
        <w:t xml:space="preserve">We believe </w:t>
      </w:r>
    </w:p>
    <w:p w14:paraId="0F817B2C" w14:textId="77777777" w:rsidR="00CB5FA5" w:rsidRPr="00650B69" w:rsidRDefault="00CB5FA5" w:rsidP="002D218C">
      <w:pPr>
        <w:pStyle w:val="TAMainText"/>
      </w:pPr>
    </w:p>
    <w:p w14:paraId="755EFF1A" w14:textId="77777777" w:rsidR="006E3B18" w:rsidRPr="00650B69" w:rsidRDefault="006E3B18" w:rsidP="002D218C">
      <w:pPr>
        <w:pStyle w:val="TAMainText"/>
      </w:pPr>
    </w:p>
    <w:p w14:paraId="586D8A85" w14:textId="77777777" w:rsidR="006E3B18" w:rsidRPr="00650B69" w:rsidRDefault="006E3B18" w:rsidP="002D218C">
      <w:pPr>
        <w:pStyle w:val="TAMainText"/>
        <w:sectPr w:rsidR="006E3B18" w:rsidRPr="00650B69" w:rsidSect="006E3B18">
          <w:type w:val="continuous"/>
          <w:pgSz w:w="12240" w:h="15840"/>
          <w:pgMar w:top="720" w:right="1094" w:bottom="720" w:left="1094" w:header="720" w:footer="720" w:gutter="0"/>
          <w:cols w:num="2" w:space="461"/>
        </w:sectPr>
      </w:pPr>
    </w:p>
    <w:p w14:paraId="7D67F6BD" w14:textId="77777777" w:rsidR="006E3B18" w:rsidRPr="00650B69" w:rsidRDefault="006E3B18" w:rsidP="002D218C">
      <w:pPr>
        <w:pStyle w:val="TAMainText"/>
      </w:pPr>
      <w:r w:rsidRPr="00650B69">
        <w:rPr>
          <w:noProof/>
        </w:rPr>
        <w:drawing>
          <wp:inline distT="0" distB="0" distL="0" distR="0" wp14:anchorId="40E0AD7B" wp14:editId="066C2ECA">
            <wp:extent cx="5848350" cy="384166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4.bmp"/>
                    <pic:cNvPicPr/>
                  </pic:nvPicPr>
                  <pic:blipFill rotWithShape="1">
                    <a:blip r:embed="rId11" cstate="print">
                      <a:extLst>
                        <a:ext uri="{28A0092B-C50C-407E-A947-70E740481C1C}">
                          <a14:useLocalDpi xmlns:a14="http://schemas.microsoft.com/office/drawing/2010/main" val="0"/>
                        </a:ext>
                      </a:extLst>
                    </a:blip>
                    <a:srcRect l="8105" t="8374" r="1754" b="3449"/>
                    <a:stretch/>
                  </pic:blipFill>
                  <pic:spPr bwMode="auto">
                    <a:xfrm>
                      <a:off x="0" y="0"/>
                      <a:ext cx="5850271" cy="3842930"/>
                    </a:xfrm>
                    <a:prstGeom prst="rect">
                      <a:avLst/>
                    </a:prstGeom>
                    <a:ln>
                      <a:noFill/>
                    </a:ln>
                    <a:extLst>
                      <a:ext uri="{53640926-AAD7-44D8-BBD7-CCE9431645EC}">
                        <a14:shadowObscured xmlns:a14="http://schemas.microsoft.com/office/drawing/2010/main"/>
                      </a:ext>
                    </a:extLst>
                  </pic:spPr>
                </pic:pic>
              </a:graphicData>
            </a:graphic>
          </wp:inline>
        </w:drawing>
      </w:r>
    </w:p>
    <w:p w14:paraId="1871BC7B" w14:textId="38FD694C" w:rsidR="006E3B18" w:rsidRPr="00650B69" w:rsidRDefault="006E3B18" w:rsidP="002D218C">
      <w:pPr>
        <w:pStyle w:val="TAMainText"/>
      </w:pPr>
      <w:r w:rsidRPr="00650B69">
        <w:t>Figure</w:t>
      </w:r>
      <w:r w:rsidR="00152164" w:rsidRPr="00650B69">
        <w:t xml:space="preserve"> </w:t>
      </w:r>
      <w:r w:rsidRPr="00650B69">
        <w:t xml:space="preserve">2. Normalized relative fluorescence units of the </w:t>
      </w:r>
      <w:proofErr w:type="spellStart"/>
      <w:r w:rsidRPr="00650B69">
        <w:t>Thioflavin</w:t>
      </w:r>
      <w:proofErr w:type="spellEnd"/>
      <w:r w:rsidRPr="00650B69">
        <w:t xml:space="preserve"> T-assay of alpha-</w:t>
      </w:r>
      <w:proofErr w:type="spellStart"/>
      <w:r w:rsidRPr="00650B69">
        <w:t>synuclein</w:t>
      </w:r>
      <w:proofErr w:type="spellEnd"/>
      <w:r w:rsidRPr="00650B69">
        <w:t xml:space="preserve"> (black), alpha-</w:t>
      </w:r>
      <w:proofErr w:type="spellStart"/>
      <w:r w:rsidRPr="00650B69">
        <w:t>synuclein</w:t>
      </w:r>
      <w:proofErr w:type="spellEnd"/>
      <w:r w:rsidRPr="00650B69">
        <w:t xml:space="preserve"> in the presence of 150 mg mL-1 (dark blue) and 300 mg mL-1 (light blue) </w:t>
      </w:r>
      <w:proofErr w:type="spellStart"/>
      <w:r w:rsidRPr="00650B69">
        <w:t>Ficoll</w:t>
      </w:r>
      <w:proofErr w:type="spellEnd"/>
      <w:r w:rsidRPr="00650B69">
        <w:t xml:space="preserve"> 70, alpha-</w:t>
      </w:r>
      <w:proofErr w:type="spellStart"/>
      <w:r w:rsidRPr="00650B69">
        <w:t>synuclein</w:t>
      </w:r>
      <w:proofErr w:type="spellEnd"/>
      <w:r w:rsidRPr="00650B69">
        <w:t xml:space="preserve"> in a 1:1 presence of beta-</w:t>
      </w:r>
      <w:proofErr w:type="spellStart"/>
      <w:r w:rsidRPr="00650B69">
        <w:t>synuclein</w:t>
      </w:r>
      <w:proofErr w:type="spellEnd"/>
      <w:r w:rsidRPr="00650B69">
        <w:t xml:space="preserve"> (dark green) and alpha-</w:t>
      </w:r>
      <w:proofErr w:type="spellStart"/>
      <w:r w:rsidRPr="00650B69">
        <w:t>synuclein</w:t>
      </w:r>
      <w:proofErr w:type="spellEnd"/>
      <w:r w:rsidRPr="00650B69">
        <w:t xml:space="preserve"> in a 1:1 presence of beta-</w:t>
      </w:r>
      <w:proofErr w:type="spellStart"/>
      <w:r w:rsidRPr="00650B69">
        <w:t>synuclein</w:t>
      </w:r>
      <w:proofErr w:type="spellEnd"/>
      <w:r w:rsidRPr="00650B69">
        <w:t xml:space="preserve"> and in the presence of 150 mg mL-1 (brown) and 300 mg mL-1 (light green) </w:t>
      </w:r>
      <w:proofErr w:type="spellStart"/>
      <w:r w:rsidRPr="00650B69">
        <w:t>Ficoll</w:t>
      </w:r>
      <w:proofErr w:type="spellEnd"/>
      <w:r w:rsidRPr="00650B69">
        <w:t xml:space="preserve"> 70. The fluorescence of </w:t>
      </w:r>
      <w:proofErr w:type="spellStart"/>
      <w:r w:rsidRPr="00650B69">
        <w:t>ThT</w:t>
      </w:r>
      <w:proofErr w:type="spellEnd"/>
      <w:r w:rsidRPr="00650B69">
        <w:t xml:space="preserve"> was monitored as a function of time under continuous shaking at 37°C. The solid lines represent the average of a minimum of 4 experiments, while the dotted lines represent the f</w:t>
      </w:r>
      <w:r w:rsidR="004522E9" w:rsidRPr="00650B69">
        <w:t>it of the Finke-</w:t>
      </w:r>
      <w:proofErr w:type="spellStart"/>
      <w:r w:rsidR="004522E9" w:rsidRPr="00650B69">
        <w:t>Watzky</w:t>
      </w:r>
      <w:proofErr w:type="spellEnd"/>
      <w:r w:rsidR="004522E9" w:rsidRPr="00650B69">
        <w:t xml:space="preserve"> function. The corresponding parameters can be found in the SI.</w:t>
      </w:r>
      <w:r w:rsidRPr="00650B69">
        <w:t xml:space="preserve"> The Y-axis represents the percentage of RFU’s relative to the total fluorescence amplitude at the end of the fibrillation reaction.</w:t>
      </w:r>
    </w:p>
    <w:p w14:paraId="5E586C0F" w14:textId="77777777" w:rsidR="006E3B18" w:rsidRPr="00650B69" w:rsidRDefault="006E3B18" w:rsidP="002D218C">
      <w:pPr>
        <w:pStyle w:val="TAMainText"/>
      </w:pPr>
    </w:p>
    <w:p w14:paraId="01367031" w14:textId="77777777" w:rsidR="00CB5FA5" w:rsidRPr="00650B69" w:rsidRDefault="00CB5FA5" w:rsidP="002D218C">
      <w:pPr>
        <w:pStyle w:val="TAMainText"/>
        <w:sectPr w:rsidR="00CB5FA5" w:rsidRPr="00650B69" w:rsidSect="006E3B18">
          <w:type w:val="continuous"/>
          <w:pgSz w:w="12240" w:h="15840"/>
          <w:pgMar w:top="720" w:right="1094" w:bottom="720" w:left="1094" w:header="720" w:footer="720" w:gutter="0"/>
          <w:cols w:space="461"/>
        </w:sectPr>
      </w:pPr>
    </w:p>
    <w:p w14:paraId="1E7A150D" w14:textId="2A813775" w:rsidR="00047FEE" w:rsidRPr="00650B69" w:rsidRDefault="004E17C4" w:rsidP="002D218C">
      <w:pPr>
        <w:pStyle w:val="TAMainText"/>
      </w:pPr>
      <w:proofErr w:type="gramStart"/>
      <w:r w:rsidRPr="00650B69">
        <w:t>that</w:t>
      </w:r>
      <w:proofErr w:type="gramEnd"/>
      <w:r w:rsidRPr="00650B69">
        <w:t xml:space="preserve"> this observation is either due to differences in the secondary structure of </w:t>
      </w:r>
      <w:proofErr w:type="spellStart"/>
      <w:r w:rsidRPr="00650B69">
        <w:t>asyn</w:t>
      </w:r>
      <w:proofErr w:type="spellEnd"/>
      <w:r w:rsidRPr="00650B69">
        <w:t xml:space="preserve"> when interacting with </w:t>
      </w:r>
      <w:proofErr w:type="spellStart"/>
      <w:r w:rsidRPr="00650B69">
        <w:t>bsyn</w:t>
      </w:r>
      <w:proofErr w:type="spellEnd"/>
      <w:r w:rsidRPr="00650B69">
        <w:t xml:space="preserve">, or due to the fact that </w:t>
      </w:r>
      <w:proofErr w:type="spellStart"/>
      <w:r w:rsidRPr="00650B69">
        <w:t>bsyn</w:t>
      </w:r>
      <w:proofErr w:type="spellEnd"/>
      <w:r w:rsidRPr="00650B69">
        <w:t xml:space="preserve"> itself does not fibrillate in the timescale of this experiment and thus remains present as an unstructured protein in solution. This observation is </w:t>
      </w:r>
      <w:r w:rsidR="00D81C80" w:rsidRPr="00650B69">
        <w:t>supported by the TEM-image (see figure 3G), where only small aggregates of protein are visible. However, despite</w:t>
      </w:r>
      <w:r w:rsidR="00F57050" w:rsidRPr="00650B69">
        <w:t xml:space="preserve"> their longer lag time, the resulting fibrils are also shorter and more branched than the fibrils of the </w:t>
      </w:r>
      <w:proofErr w:type="spellStart"/>
      <w:r w:rsidR="00F57050" w:rsidRPr="00650B69">
        <w:t>asyn</w:t>
      </w:r>
      <w:proofErr w:type="spellEnd"/>
      <w:r w:rsidR="00F57050" w:rsidRPr="00650B69">
        <w:t xml:space="preserve"> sample. The lack of visible overall </w:t>
      </w:r>
      <w:r w:rsidR="00047FEE" w:rsidRPr="00650B69">
        <w:t>alignment</w:t>
      </w:r>
      <w:r w:rsidR="00F57050" w:rsidRPr="00650B69">
        <w:t xml:space="preserve"> of the sample is also confirmed by the lack of enhancement in the VCD-spectrum</w:t>
      </w:r>
      <w:r w:rsidR="00047FEE" w:rsidRPr="00650B69">
        <w:t>, as is demonstrated in figure 3D.</w:t>
      </w:r>
      <w:r w:rsidR="00F57050" w:rsidRPr="00650B69">
        <w:t xml:space="preserve"> </w:t>
      </w:r>
    </w:p>
    <w:p w14:paraId="207ABB21" w14:textId="4C865895" w:rsidR="00F57050" w:rsidRPr="00650B69" w:rsidRDefault="00F57050" w:rsidP="002D218C">
      <w:pPr>
        <w:pStyle w:val="TAMainText"/>
      </w:pPr>
      <w:r w:rsidRPr="00650B69">
        <w:t>The addition of 150 mg mL</w:t>
      </w:r>
      <w:r w:rsidRPr="00650B69">
        <w:rPr>
          <w:vertAlign w:val="superscript"/>
        </w:rPr>
        <w:t>-1</w:t>
      </w:r>
      <w:r w:rsidRPr="00650B69">
        <w:t xml:space="preserve"> F70 during the fibrillation process once again reduces the lag time of the fibrillation process (see </w:t>
      </w:r>
      <w:r w:rsidR="00491424" w:rsidRPr="00650B69">
        <w:t>figure 2</w:t>
      </w:r>
      <w:r w:rsidRPr="00650B69">
        <w:t xml:space="preserve">). This addition does not seem to have a big impact on the secondary structure of the proteins, as the IR- and ECD-spectra are comparable (see figures 3B and S2B). However, the higher order structure of the fibrils is different, as the shape of the VCD-spectrum is similar to the shape of VCD-spectrum of the fibrils of the F70asyn150 sample (see </w:t>
      </w:r>
      <w:r w:rsidR="00491424" w:rsidRPr="00650B69">
        <w:t>figure 1</w:t>
      </w:r>
      <w:r w:rsidRPr="00650B69">
        <w:t xml:space="preserve">E). This VCD-signal is also enhanced, but only by a factor 4.5, significantly smaller than the enhancement factors observed </w:t>
      </w:r>
      <w:r w:rsidRPr="00650B69">
        <w:t xml:space="preserve">before. This is in accordance with the TEM-image (see </w:t>
      </w:r>
      <w:r w:rsidR="00491424" w:rsidRPr="00650B69">
        <w:t>figure 3</w:t>
      </w:r>
      <w:r w:rsidRPr="00650B69">
        <w:t xml:space="preserve">H), where the resulting fibrils are significantly shorter than the ones shown in </w:t>
      </w:r>
      <w:r w:rsidR="00491424" w:rsidRPr="00650B69">
        <w:t>figure 1H</w:t>
      </w:r>
      <w:r w:rsidRPr="00650B69">
        <w:t xml:space="preserve"> and I, but still do align. </w:t>
      </w:r>
    </w:p>
    <w:p w14:paraId="1F69A4BA" w14:textId="77777777" w:rsidR="00F57050" w:rsidRPr="00650B69" w:rsidRDefault="00F57050" w:rsidP="002D218C">
      <w:pPr>
        <w:pStyle w:val="TAMainText"/>
      </w:pPr>
      <w:r w:rsidRPr="00650B69">
        <w:t>Finally, the addition of 300 mg mL</w:t>
      </w:r>
      <w:r w:rsidRPr="00650B69">
        <w:rPr>
          <w:vertAlign w:val="superscript"/>
        </w:rPr>
        <w:t>-1</w:t>
      </w:r>
      <w:r w:rsidRPr="00650B69">
        <w:t xml:space="preserve"> F70 during the fibrillation process of the 1:1 mixture of </w:t>
      </w:r>
      <w:proofErr w:type="spellStart"/>
      <w:r w:rsidRPr="00650B69">
        <w:t>asyn</w:t>
      </w:r>
      <w:proofErr w:type="spellEnd"/>
      <w:r w:rsidRPr="00650B69">
        <w:t xml:space="preserve"> and </w:t>
      </w:r>
      <w:proofErr w:type="spellStart"/>
      <w:r w:rsidRPr="00650B69">
        <w:t>bsyn</w:t>
      </w:r>
      <w:proofErr w:type="spellEnd"/>
      <w:r w:rsidRPr="00650B69">
        <w:t xml:space="preserve"> decreases the lag time even further (see </w:t>
      </w:r>
      <w:r w:rsidR="00491424" w:rsidRPr="00650B69">
        <w:t>figure 2</w:t>
      </w:r>
      <w:r w:rsidRPr="00650B69">
        <w:t xml:space="preserve">), retaining the dependency on the concentration of crowding agent. Although the elongation phase is steeper in comparison with the elongation phase of the </w:t>
      </w:r>
      <w:proofErr w:type="spellStart"/>
      <w:r w:rsidRPr="00650B69">
        <w:t>asynbsyn</w:t>
      </w:r>
      <w:proofErr w:type="spellEnd"/>
      <w:r w:rsidRPr="00650B69">
        <w:t xml:space="preserve"> sample, it is still less steep than the elongation phase of the </w:t>
      </w:r>
      <w:proofErr w:type="spellStart"/>
      <w:r w:rsidRPr="00650B69">
        <w:t>asyn</w:t>
      </w:r>
      <w:proofErr w:type="spellEnd"/>
      <w:r w:rsidRPr="00650B69">
        <w:t xml:space="preserve"> sample, suggesting that neither effect completely dominates the kinetics of the fibrillation process, but that the resulting fibrillation process is influenced by a combination of both effects. The effect of the concentration of crowding agents on the structure of the fibrils is also retained, as the addition of 300 mg mL</w:t>
      </w:r>
      <w:r w:rsidRPr="00650B69">
        <w:rPr>
          <w:vertAlign w:val="superscript"/>
        </w:rPr>
        <w:t>-1</w:t>
      </w:r>
      <w:r w:rsidRPr="00650B69">
        <w:t xml:space="preserve"> F70 during the fibrillation </w:t>
      </w:r>
      <w:r w:rsidR="004E17C4" w:rsidRPr="00650B69">
        <w:t xml:space="preserve">process results in even shorter fibrils, which even so still do align. This is visible in the TEM-image, but also deductible from the enhancement of the VCD-signal (see figure 3I and F). The enhancement factor only amounts to a factor 2.5, while retaining the shape of the </w:t>
      </w:r>
    </w:p>
    <w:p w14:paraId="32E13A57" w14:textId="77777777" w:rsidR="00D81C80" w:rsidRPr="00650B69" w:rsidRDefault="00F57050" w:rsidP="002D218C">
      <w:pPr>
        <w:pStyle w:val="TAMainText"/>
        <w:sectPr w:rsidR="00D81C80" w:rsidRPr="00650B69" w:rsidSect="006E3B18">
          <w:type w:val="continuous"/>
          <w:pgSz w:w="12240" w:h="15840"/>
          <w:pgMar w:top="720" w:right="1094" w:bottom="720" w:left="1094" w:header="720" w:footer="720" w:gutter="0"/>
          <w:cols w:num="2" w:space="461"/>
        </w:sectPr>
      </w:pPr>
      <w:r w:rsidRPr="00650B69">
        <w:t xml:space="preserve">  </w:t>
      </w:r>
    </w:p>
    <w:p w14:paraId="0587F7BC" w14:textId="77777777" w:rsidR="00CB5FA5" w:rsidRPr="00650B69" w:rsidRDefault="00CB5FA5" w:rsidP="002D218C">
      <w:pPr>
        <w:pStyle w:val="TAMainText"/>
        <w:sectPr w:rsidR="00CB5FA5" w:rsidRPr="00650B69" w:rsidSect="00CB5FA5">
          <w:type w:val="continuous"/>
          <w:pgSz w:w="12240" w:h="15840"/>
          <w:pgMar w:top="720" w:right="1094" w:bottom="720" w:left="1094" w:header="720" w:footer="720" w:gutter="0"/>
          <w:cols w:num="2" w:space="461"/>
        </w:sectPr>
      </w:pPr>
    </w:p>
    <w:p w14:paraId="59CF15C4" w14:textId="77777777" w:rsidR="007D79AE" w:rsidRPr="00650B69" w:rsidRDefault="006E3B18" w:rsidP="002D218C">
      <w:pPr>
        <w:pStyle w:val="TAMainText"/>
      </w:pPr>
      <w:r w:rsidRPr="00650B69">
        <w:rPr>
          <w:noProof/>
        </w:rPr>
        <w:lastRenderedPageBreak/>
        <w:drawing>
          <wp:inline distT="0" distB="0" distL="0" distR="0" wp14:anchorId="7F4BAC75" wp14:editId="152403BC">
            <wp:extent cx="6019200" cy="5389921"/>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rotWithShape="1">
                    <a:blip r:embed="rId12">
                      <a:extLst>
                        <a:ext uri="{28A0092B-C50C-407E-A947-70E740481C1C}">
                          <a14:useLocalDpi xmlns:a14="http://schemas.microsoft.com/office/drawing/2010/main" val="0"/>
                        </a:ext>
                      </a:extLst>
                    </a:blip>
                    <a:srcRect l="9414" t="9950" r="24842" b="11555"/>
                    <a:stretch/>
                  </pic:blipFill>
                  <pic:spPr bwMode="auto">
                    <a:xfrm>
                      <a:off x="0" y="0"/>
                      <a:ext cx="6019200" cy="5389921"/>
                    </a:xfrm>
                    <a:prstGeom prst="rect">
                      <a:avLst/>
                    </a:prstGeom>
                    <a:ln>
                      <a:noFill/>
                    </a:ln>
                    <a:extLst>
                      <a:ext uri="{53640926-AAD7-44D8-BBD7-CCE9431645EC}">
                        <a14:shadowObscured xmlns:a14="http://schemas.microsoft.com/office/drawing/2010/main"/>
                      </a:ext>
                    </a:extLst>
                  </pic:spPr>
                </pic:pic>
              </a:graphicData>
            </a:graphic>
          </wp:inline>
        </w:drawing>
      </w:r>
      <w:r w:rsidRPr="00650B69">
        <w:t xml:space="preserve"> </w:t>
      </w:r>
    </w:p>
    <w:p w14:paraId="4C379424" w14:textId="7882D671" w:rsidR="006E3B18" w:rsidRPr="00650B69" w:rsidRDefault="006E3B18" w:rsidP="002D218C">
      <w:pPr>
        <w:pStyle w:val="TAMainText"/>
      </w:pPr>
      <w:r w:rsidRPr="00650B69">
        <w:t>Figure 3. FT-IR spectra, vibrational circular dichroism spectra and TEM images of alpha-</w:t>
      </w:r>
      <w:proofErr w:type="spellStart"/>
      <w:r w:rsidRPr="00650B69">
        <w:t>synuclein</w:t>
      </w:r>
      <w:proofErr w:type="spellEnd"/>
      <w:r w:rsidRPr="00650B69">
        <w:t>: beta-</w:t>
      </w:r>
      <w:proofErr w:type="spellStart"/>
      <w:r w:rsidRPr="00650B69">
        <w:t>synuclein</w:t>
      </w:r>
      <w:proofErr w:type="spellEnd"/>
      <w:r w:rsidRPr="00650B69">
        <w:t xml:space="preserve"> (1:1) fibrillated solely in solution (left), fibrillated in the presence of 150 mg mL</w:t>
      </w:r>
      <w:r w:rsidRPr="00650B69">
        <w:rPr>
          <w:vertAlign w:val="superscript"/>
        </w:rPr>
        <w:t>-1</w:t>
      </w:r>
      <w:r w:rsidRPr="00650B69">
        <w:t xml:space="preserve"> </w:t>
      </w:r>
      <w:proofErr w:type="spellStart"/>
      <w:r w:rsidRPr="00650B69">
        <w:t>Ficoll</w:t>
      </w:r>
      <w:proofErr w:type="spellEnd"/>
      <w:r w:rsidRPr="00650B69">
        <w:t xml:space="preserve"> 70 (middle) and in the presence of 300 mg mL</w:t>
      </w:r>
      <w:r w:rsidRPr="00650B69">
        <w:rPr>
          <w:vertAlign w:val="superscript"/>
        </w:rPr>
        <w:t>-1</w:t>
      </w:r>
      <w:r w:rsidRPr="00650B69">
        <w:t xml:space="preserve"> </w:t>
      </w:r>
      <w:proofErr w:type="spellStart"/>
      <w:r w:rsidRPr="00650B69">
        <w:t>Ficoll</w:t>
      </w:r>
      <w:proofErr w:type="spellEnd"/>
      <w:r w:rsidRPr="00650B69">
        <w:t xml:space="preserve"> 70 (right). The scale bar in the TEM images represents 250 nm. The arrows on the TEM images indicate some clear examples of the alignment of the fibrils in side-by-side orientation. The IR and VCD spectra have been normalized to a maximum absorbance of 1 in the amide I region.</w:t>
      </w:r>
    </w:p>
    <w:p w14:paraId="0B3B0B0D" w14:textId="77777777" w:rsidR="006E3B18" w:rsidRPr="00650B69" w:rsidRDefault="006E3B18" w:rsidP="002D218C">
      <w:pPr>
        <w:pStyle w:val="TAMainText"/>
        <w:sectPr w:rsidR="006E3B18" w:rsidRPr="00650B69" w:rsidSect="006E3B18">
          <w:type w:val="continuous"/>
          <w:pgSz w:w="12240" w:h="15840"/>
          <w:pgMar w:top="720" w:right="1094" w:bottom="720" w:left="1094" w:header="720" w:footer="720" w:gutter="0"/>
          <w:cols w:space="461"/>
        </w:sectPr>
      </w:pPr>
    </w:p>
    <w:p w14:paraId="7323A4F9" w14:textId="77777777" w:rsidR="00F57050" w:rsidRPr="00650B69" w:rsidRDefault="004E17C4" w:rsidP="002D218C">
      <w:pPr>
        <w:pStyle w:val="TAMainText"/>
        <w:rPr>
          <w:b/>
        </w:rPr>
      </w:pPr>
      <w:r w:rsidRPr="00650B69">
        <w:t>VCD- spectrum similar to the shapes of the VCD spectra of all the fibrils grown in the presence of F70.</w:t>
      </w:r>
      <w:r w:rsidR="00CD785D" w:rsidRPr="00650B69">
        <w:t xml:space="preserve">The IR- and ECD-spectra still suggest a similar secondary structure for </w:t>
      </w:r>
      <w:r w:rsidR="00F57050" w:rsidRPr="00650B69">
        <w:t xml:space="preserve">these fibrils as the fibrils originating from the F70asynbsyn150 sample and the </w:t>
      </w:r>
      <w:proofErr w:type="spellStart"/>
      <w:r w:rsidR="00F57050" w:rsidRPr="00650B69">
        <w:t>asynbsyn</w:t>
      </w:r>
      <w:proofErr w:type="spellEnd"/>
      <w:r w:rsidR="00F57050" w:rsidRPr="00650B69">
        <w:t xml:space="preserve"> sample.</w:t>
      </w:r>
      <w:r w:rsidR="00F57050" w:rsidRPr="00650B69">
        <w:rPr>
          <w:b/>
        </w:rPr>
        <w:t xml:space="preserve"> </w:t>
      </w:r>
    </w:p>
    <w:p w14:paraId="397CC797" w14:textId="77777777" w:rsidR="00F57050" w:rsidRPr="00650B69" w:rsidRDefault="00F57050" w:rsidP="002D218C">
      <w:pPr>
        <w:pStyle w:val="TAMainText"/>
      </w:pPr>
      <w:r w:rsidRPr="00650B69">
        <w:t>CONCLUSION</w:t>
      </w:r>
    </w:p>
    <w:p w14:paraId="0301AB53" w14:textId="77777777" w:rsidR="00F57050" w:rsidRPr="00650B69" w:rsidRDefault="00F57050" w:rsidP="002D218C">
      <w:pPr>
        <w:pStyle w:val="TAMainText"/>
      </w:pPr>
      <w:r w:rsidRPr="00650B69">
        <w:t xml:space="preserve">These results all indicate that neither the effect of </w:t>
      </w:r>
      <w:proofErr w:type="spellStart"/>
      <w:r w:rsidRPr="00650B69">
        <w:t>bsyn</w:t>
      </w:r>
      <w:proofErr w:type="spellEnd"/>
      <w:r w:rsidRPr="00650B69">
        <w:t xml:space="preserve"> nor the effect of F70 on the fibrillation process of </w:t>
      </w:r>
      <w:proofErr w:type="spellStart"/>
      <w:r w:rsidRPr="00650B69">
        <w:t>asyn</w:t>
      </w:r>
      <w:proofErr w:type="spellEnd"/>
      <w:r w:rsidRPr="00650B69">
        <w:t xml:space="preserve"> dominate the final fibrillation process. The </w:t>
      </w:r>
      <w:proofErr w:type="spellStart"/>
      <w:r w:rsidRPr="00650B69">
        <w:t>ThT</w:t>
      </w:r>
      <w:proofErr w:type="spellEnd"/>
      <w:r w:rsidRPr="00650B69">
        <w:t xml:space="preserve">-results suggest that the presence of </w:t>
      </w:r>
      <w:proofErr w:type="spellStart"/>
      <w:r w:rsidRPr="00650B69">
        <w:t>bsyn</w:t>
      </w:r>
      <w:proofErr w:type="spellEnd"/>
      <w:r w:rsidRPr="00650B69">
        <w:t xml:space="preserve"> delays the fibrillation process, while the crowding effect promotes it. When both are present, the effects compete with each other, resulting in a fibrillation process that is an intermediate of both separate effects. The higher order structure of the fibrils however seems to result from a combination of both effects, giving rise to short, mutually aligned fibrils. This highlights the importance of taking a combination of </w:t>
      </w:r>
      <w:r w:rsidRPr="00650B69">
        <w:t xml:space="preserve">several effects into account when studying the fibrillation process of </w:t>
      </w:r>
      <w:proofErr w:type="spellStart"/>
      <w:r w:rsidRPr="00650B69">
        <w:t>asyn</w:t>
      </w:r>
      <w:proofErr w:type="spellEnd"/>
      <w:r w:rsidRPr="00650B69">
        <w:t xml:space="preserve">. </w:t>
      </w:r>
    </w:p>
    <w:p w14:paraId="72163CDB" w14:textId="11022F8D" w:rsidR="008D75F4" w:rsidRPr="00650B69" w:rsidRDefault="00531F0F" w:rsidP="002D218C">
      <w:pPr>
        <w:pStyle w:val="TAMainText"/>
      </w:pPr>
      <w:r w:rsidRPr="00650B69">
        <w:t>Most importantly, t</w:t>
      </w:r>
      <w:r w:rsidR="00F57050" w:rsidRPr="00650B69">
        <w:t xml:space="preserve">hese results have also shown that VCD, a non-destructive technique, is a versatile tool and can be used to determine the higher order structural properties of the fibrils, as it is sensitive to and the mutual alignment </w:t>
      </w:r>
      <w:r w:rsidR="00C7389A" w:rsidRPr="00650B69">
        <w:t xml:space="preserve">of the fibrils and their length. </w:t>
      </w:r>
      <w:r w:rsidR="00EE2556" w:rsidRPr="00650B69">
        <w:t>The presence of an enhanced VCD signal will also enable the measurement of more complicated, physiological</w:t>
      </w:r>
      <w:r w:rsidR="007D79AE" w:rsidRPr="00650B69">
        <w:t>ly</w:t>
      </w:r>
      <w:r w:rsidR="00EE2556" w:rsidRPr="00650B69">
        <w:t xml:space="preserve"> relevant sam</w:t>
      </w:r>
      <w:r w:rsidR="00B00D9F" w:rsidRPr="00650B69">
        <w:t>ples. As t</w:t>
      </w:r>
      <w:r w:rsidR="00EE2556" w:rsidRPr="00650B69">
        <w:t xml:space="preserve">he resulting signal is significantly larger than that of interfering proteins, </w:t>
      </w:r>
      <w:r w:rsidR="00B00D9F" w:rsidRPr="00650B69">
        <w:t>for example as is</w:t>
      </w:r>
      <w:r w:rsidR="00EE2556" w:rsidRPr="00650B69">
        <w:t xml:space="preserve"> demonstrated with the </w:t>
      </w:r>
      <w:proofErr w:type="spellStart"/>
      <w:r w:rsidR="00EE2556" w:rsidRPr="00650B69">
        <w:t>asyn</w:t>
      </w:r>
      <w:proofErr w:type="gramStart"/>
      <w:r w:rsidR="00EE2556" w:rsidRPr="00650B69">
        <w:t>:bsyn</w:t>
      </w:r>
      <w:proofErr w:type="spellEnd"/>
      <w:proofErr w:type="gramEnd"/>
      <w:r w:rsidR="00EE2556" w:rsidRPr="00650B69">
        <w:t xml:space="preserve"> samples</w:t>
      </w:r>
      <w:r w:rsidR="004E17C4" w:rsidRPr="00650B69">
        <w:t xml:space="preserve">, the interference of the disordered signal of </w:t>
      </w:r>
      <w:proofErr w:type="spellStart"/>
      <w:r w:rsidR="004E17C4" w:rsidRPr="00650B69">
        <w:t>bsyn</w:t>
      </w:r>
      <w:proofErr w:type="spellEnd"/>
      <w:r w:rsidR="004E17C4" w:rsidRPr="00650B69">
        <w:t xml:space="preserve"> is rendered trivial in the enhanced spectra. The authors therefore believe that a full understanding of this phenomenon will open the door to the measurement of real pathological samples.</w:t>
      </w:r>
      <w:r w:rsidR="008D75F4" w:rsidRPr="00650B69">
        <w:t xml:space="preserve"> </w:t>
      </w:r>
    </w:p>
    <w:p w14:paraId="5A29961F" w14:textId="77777777" w:rsidR="008D75F4" w:rsidRPr="00650B69" w:rsidRDefault="008D75F4" w:rsidP="002D218C">
      <w:pPr>
        <w:pStyle w:val="TAMainText"/>
      </w:pPr>
      <w:r w:rsidRPr="00650B69">
        <w:lastRenderedPageBreak/>
        <w:t xml:space="preserve">Finally, these results indicate that </w:t>
      </w:r>
      <w:proofErr w:type="spellStart"/>
      <w:r w:rsidRPr="00650B69">
        <w:t>bsyn</w:t>
      </w:r>
      <w:proofErr w:type="spellEnd"/>
      <w:r w:rsidRPr="00650B69">
        <w:t xml:space="preserve"> is, also in cellular environments, a moderator of the fibrillation process of </w:t>
      </w:r>
      <w:proofErr w:type="spellStart"/>
      <w:r w:rsidRPr="00650B69">
        <w:t>asyn</w:t>
      </w:r>
      <w:proofErr w:type="spellEnd"/>
      <w:r w:rsidRPr="00650B69">
        <w:t xml:space="preserve">, and thus an interesting target for research concerning neurodegenerative diseases. </w:t>
      </w:r>
    </w:p>
    <w:p w14:paraId="0870F7B6" w14:textId="77777777" w:rsidR="008D75F4" w:rsidRPr="00650B69" w:rsidRDefault="008D75F4" w:rsidP="008D75F4">
      <w:pPr>
        <w:pStyle w:val="TESupportingInfoTitle"/>
      </w:pPr>
      <w:r w:rsidRPr="00650B69">
        <w:t xml:space="preserve">ASSOCIATED CONTENT </w:t>
      </w:r>
    </w:p>
    <w:p w14:paraId="70DBA96D" w14:textId="77777777" w:rsidR="008D75F4" w:rsidRPr="00650B69" w:rsidRDefault="008D75F4" w:rsidP="008D75F4">
      <w:pPr>
        <w:pStyle w:val="TESupportingInformation"/>
      </w:pPr>
      <w:r w:rsidRPr="00650B69">
        <w:rPr>
          <w:b/>
        </w:rPr>
        <w:t>Supporting Information</w:t>
      </w:r>
      <w:r w:rsidRPr="00650B69">
        <w:t xml:space="preserve">. Full details on the expression and purification of </w:t>
      </w:r>
      <w:proofErr w:type="spellStart"/>
      <w:r w:rsidRPr="00650B69">
        <w:t>bsyn</w:t>
      </w:r>
      <w:proofErr w:type="spellEnd"/>
      <w:r w:rsidRPr="00650B69">
        <w:t xml:space="preserve">, the kinetic analysis of the </w:t>
      </w:r>
      <w:proofErr w:type="spellStart"/>
      <w:r w:rsidRPr="00650B69">
        <w:t>ThT</w:t>
      </w:r>
      <w:proofErr w:type="spellEnd"/>
      <w:r w:rsidRPr="00650B69">
        <w:t xml:space="preserve"> plots, the ECD spectra as well as the second derivative of the IR spectra and a brief description on the use of IR and </w:t>
      </w:r>
      <w:proofErr w:type="gramStart"/>
      <w:r w:rsidRPr="00650B69">
        <w:t>VCD  in</w:t>
      </w:r>
      <w:proofErr w:type="gramEnd"/>
      <w:r w:rsidRPr="00650B69">
        <w:t xml:space="preserve"> protein characterization studies can be found in the supporting information. This material is available free of charge via the Internet at http://pubs.acs.org. </w:t>
      </w:r>
    </w:p>
    <w:p w14:paraId="35FFB029" w14:textId="77777777" w:rsidR="008D75F4" w:rsidRPr="00650B69" w:rsidRDefault="008D75F4" w:rsidP="002D218C">
      <w:pPr>
        <w:pStyle w:val="TAMainText"/>
        <w:rPr>
          <w:noProof/>
          <w:lang w:eastAsia="nl-BE"/>
        </w:rPr>
      </w:pPr>
    </w:p>
    <w:p w14:paraId="2D15EE96" w14:textId="77777777" w:rsidR="008D75F4" w:rsidRPr="00650B69" w:rsidRDefault="008D75F4" w:rsidP="008D75F4">
      <w:pPr>
        <w:pStyle w:val="AuthorInformationTitle"/>
      </w:pPr>
      <w:r w:rsidRPr="00650B69">
        <w:t>AUTHOR INFORMATION</w:t>
      </w:r>
    </w:p>
    <w:p w14:paraId="3D6EB43A" w14:textId="77777777" w:rsidR="008D75F4" w:rsidRPr="00650B69" w:rsidRDefault="008D75F4" w:rsidP="008D75F4">
      <w:pPr>
        <w:pStyle w:val="FAAuthorInfoSubtitle"/>
      </w:pPr>
      <w:r w:rsidRPr="00650B69">
        <w:t>Corresponding Author</w:t>
      </w:r>
    </w:p>
    <w:p w14:paraId="5B04F6B3" w14:textId="77777777" w:rsidR="008D75F4" w:rsidRPr="00650B69" w:rsidRDefault="008D75F4" w:rsidP="008D75F4">
      <w:pPr>
        <w:pStyle w:val="StyleFACorrespondingAuthorFootnote7pt"/>
      </w:pPr>
      <w:r w:rsidRPr="00650B69">
        <w:t xml:space="preserve">* </w:t>
      </w:r>
      <w:proofErr w:type="gramStart"/>
      <w:r w:rsidRPr="00650B69">
        <w:t>e-mail</w:t>
      </w:r>
      <w:proofErr w:type="gramEnd"/>
      <w:r w:rsidRPr="00650B69">
        <w:t>: wouter.herrebout@uantwerpen.be; christian.johannessen@uantwerpen.be.</w:t>
      </w:r>
    </w:p>
    <w:p w14:paraId="687924DD" w14:textId="77777777" w:rsidR="008D75F4" w:rsidRPr="00650B69" w:rsidRDefault="008D75F4" w:rsidP="008D75F4">
      <w:pPr>
        <w:pStyle w:val="FAAuthorInfoSubtitle"/>
      </w:pPr>
      <w:r w:rsidRPr="00650B69">
        <w:t>Author Contributions</w:t>
      </w:r>
    </w:p>
    <w:p w14:paraId="0A882B73" w14:textId="77777777" w:rsidR="008D75F4" w:rsidRPr="00650B69" w:rsidRDefault="008D75F4" w:rsidP="008D75F4">
      <w:pPr>
        <w:pStyle w:val="StyleFACorrespondingAuthorFootnote7pt"/>
      </w:pPr>
      <w:r w:rsidRPr="00650B69">
        <w:t xml:space="preserve">The manuscript was written through contributions of all authors. / </w:t>
      </w:r>
      <w:proofErr w:type="spellStart"/>
      <w:r w:rsidRPr="00650B69">
        <w:t>E.V.d.V</w:t>
      </w:r>
      <w:proofErr w:type="spellEnd"/>
      <w:r w:rsidRPr="00650B69">
        <w:t xml:space="preserve">. and R.V.E. performed the expression of the samples and the fibrillation assay, and </w:t>
      </w:r>
      <w:proofErr w:type="spellStart"/>
      <w:r w:rsidRPr="00650B69">
        <w:t>E.V.d.V</w:t>
      </w:r>
      <w:proofErr w:type="spellEnd"/>
      <w:r w:rsidRPr="00650B69">
        <w:t>. also performed the spectroscopic experiments. P.B. performed the TEM analysis, while A.M.L., C.J., W.H. and T.K. conceived the experiments and contributed to the discussion of the results. All authors have given approval to the final version of the manuscript.</w:t>
      </w:r>
    </w:p>
    <w:p w14:paraId="24F7833E" w14:textId="77777777" w:rsidR="008D75F4" w:rsidRPr="00650B69" w:rsidRDefault="008D75F4" w:rsidP="008D75F4">
      <w:pPr>
        <w:pStyle w:val="StyleFACorrespondingAuthorFootnote7pt"/>
      </w:pPr>
    </w:p>
    <w:p w14:paraId="4672984C" w14:textId="77777777" w:rsidR="008D75F4" w:rsidRPr="00650B69" w:rsidRDefault="008D75F4" w:rsidP="008D75F4">
      <w:pPr>
        <w:pStyle w:val="TDAckTitle"/>
      </w:pPr>
      <w:r w:rsidRPr="00650B69">
        <w:t xml:space="preserve">ACKNOWLEDGMENT </w:t>
      </w:r>
    </w:p>
    <w:p w14:paraId="35496CFC" w14:textId="77777777" w:rsidR="008D75F4" w:rsidRPr="00650B69" w:rsidRDefault="008D75F4" w:rsidP="008D75F4">
      <w:pPr>
        <w:pStyle w:val="TDAcknowledgments"/>
      </w:pPr>
      <w:r w:rsidRPr="00650B69">
        <w:t xml:space="preserve">The authors acknowledge the Agency for Innovation by Science and Technology in Flanders (IWT) and the Fund for Scientific Research (FWO) for a </w:t>
      </w:r>
      <w:proofErr w:type="spellStart"/>
      <w:r w:rsidRPr="00650B69">
        <w:t>predoctoral</w:t>
      </w:r>
      <w:proofErr w:type="spellEnd"/>
      <w:r w:rsidRPr="00650B69">
        <w:t xml:space="preserve"> scholarship and a travel grant to </w:t>
      </w:r>
      <w:proofErr w:type="spellStart"/>
      <w:r w:rsidRPr="00650B69">
        <w:t>E.V.d.V</w:t>
      </w:r>
      <w:proofErr w:type="spellEnd"/>
      <w:r w:rsidRPr="00650B69">
        <w:t xml:space="preserve">.  Financial support by the Flemish Community, through the BOF concerned research actions (GOA) is acknowledged. The authors also thank Dr. </w:t>
      </w:r>
      <w:proofErr w:type="spellStart"/>
      <w:r w:rsidRPr="00650B69">
        <w:t>Yani</w:t>
      </w:r>
      <w:proofErr w:type="spellEnd"/>
      <w:r w:rsidRPr="00650B69">
        <w:t xml:space="preserve"> Sim (Medical Biochemistry group, Department of Pharmacy, University of Antwerp, Belgium) for technical support. </w:t>
      </w:r>
    </w:p>
    <w:p w14:paraId="5CE6BD10" w14:textId="77777777" w:rsidR="008D75F4" w:rsidRPr="00650B69" w:rsidRDefault="008D75F4" w:rsidP="008D75F4">
      <w:pPr>
        <w:pStyle w:val="TDAckTitle"/>
      </w:pPr>
      <w:r w:rsidRPr="00650B69">
        <w:t>ABBREVIATIONS</w:t>
      </w:r>
    </w:p>
    <w:p w14:paraId="1AEFED86" w14:textId="77777777" w:rsidR="008D75F4" w:rsidRPr="00650B69" w:rsidRDefault="008D75F4" w:rsidP="008D75F4">
      <w:pPr>
        <w:pStyle w:val="TDAcknowledgments"/>
      </w:pPr>
      <w:proofErr w:type="spellStart"/>
      <w:r w:rsidRPr="00650B69">
        <w:t>Asyn</w:t>
      </w:r>
      <w:proofErr w:type="spellEnd"/>
      <w:r w:rsidRPr="00650B69">
        <w:t>, alpha-</w:t>
      </w:r>
      <w:proofErr w:type="spellStart"/>
      <w:r w:rsidRPr="00650B69">
        <w:t>synuclein</w:t>
      </w:r>
      <w:proofErr w:type="spellEnd"/>
      <w:r w:rsidRPr="00650B69">
        <w:t xml:space="preserve">; </w:t>
      </w:r>
      <w:proofErr w:type="spellStart"/>
      <w:r w:rsidRPr="00650B69">
        <w:t>bsyn</w:t>
      </w:r>
      <w:proofErr w:type="spellEnd"/>
      <w:r w:rsidRPr="00650B69">
        <w:t>, beta-</w:t>
      </w:r>
      <w:proofErr w:type="spellStart"/>
      <w:r w:rsidRPr="00650B69">
        <w:t>synuclein</w:t>
      </w:r>
      <w:proofErr w:type="spellEnd"/>
      <w:r w:rsidRPr="00650B69">
        <w:t xml:space="preserve">; </w:t>
      </w:r>
      <w:proofErr w:type="spellStart"/>
      <w:r w:rsidRPr="00650B69">
        <w:t>ThT</w:t>
      </w:r>
      <w:proofErr w:type="spellEnd"/>
      <w:r w:rsidRPr="00650B69">
        <w:t xml:space="preserve">, </w:t>
      </w:r>
      <w:proofErr w:type="spellStart"/>
      <w:r w:rsidRPr="00650B69">
        <w:t>Thioflavin</w:t>
      </w:r>
      <w:proofErr w:type="spellEnd"/>
      <w:r w:rsidRPr="00650B69">
        <w:t xml:space="preserve"> T; F70, </w:t>
      </w:r>
      <w:proofErr w:type="spellStart"/>
      <w:r w:rsidRPr="00650B69">
        <w:t>Ficoll</w:t>
      </w:r>
      <w:proofErr w:type="spellEnd"/>
      <w:r w:rsidRPr="00650B69">
        <w:t xml:space="preserve"> 70; FTIR, Fourier transform infrared; ECD, electronic circular dichroism; VCD, vibrational circular dichroism; TEM, transmission electron microscopy</w:t>
      </w:r>
    </w:p>
    <w:p w14:paraId="0177F7F0" w14:textId="77777777" w:rsidR="008D75F4" w:rsidRPr="00650B69" w:rsidRDefault="008D75F4" w:rsidP="008D75F4">
      <w:pPr>
        <w:pStyle w:val="TDAckTitle"/>
      </w:pPr>
      <w:r w:rsidRPr="00650B69">
        <w:t>REFERENCES</w:t>
      </w:r>
    </w:p>
    <w:p w14:paraId="726F65E3"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fldChar w:fldCharType="begin" w:fldLock="1"/>
      </w:r>
      <w:r w:rsidRPr="00650B69">
        <w:instrText xml:space="preserve">ADDIN Mendeley Bibliography CSL_BIBLIOGRAPHY </w:instrText>
      </w:r>
      <w:r w:rsidRPr="00650B69">
        <w:fldChar w:fldCharType="separate"/>
      </w:r>
      <w:r w:rsidRPr="00650B69">
        <w:rPr>
          <w:rFonts w:ascii="Arno Pro" w:hAnsi="Arno Pro"/>
          <w:noProof/>
          <w:sz w:val="16"/>
          <w:szCs w:val="24"/>
        </w:rPr>
        <w:t xml:space="preserve">(1) Lundvig, D., Lindersson, E., and Jensen, P. H. (2005) Pathogenic effects of alpha-synuclein aggregation. </w:t>
      </w:r>
      <w:r w:rsidRPr="00650B69">
        <w:rPr>
          <w:rFonts w:ascii="Arno Pro" w:hAnsi="Arno Pro"/>
          <w:i/>
          <w:iCs/>
          <w:noProof/>
          <w:sz w:val="16"/>
          <w:szCs w:val="24"/>
        </w:rPr>
        <w:t>Mol. Brain Res.</w:t>
      </w:r>
      <w:r w:rsidRPr="00650B69">
        <w:rPr>
          <w:rFonts w:ascii="Arno Pro" w:hAnsi="Arno Pro"/>
          <w:noProof/>
          <w:sz w:val="16"/>
          <w:szCs w:val="24"/>
        </w:rPr>
        <w:t xml:space="preserve"> </w:t>
      </w:r>
      <w:r w:rsidRPr="00650B69">
        <w:rPr>
          <w:rFonts w:ascii="Arno Pro" w:hAnsi="Arno Pro"/>
          <w:i/>
          <w:iCs/>
          <w:noProof/>
          <w:sz w:val="16"/>
          <w:szCs w:val="24"/>
        </w:rPr>
        <w:t>134</w:t>
      </w:r>
      <w:r w:rsidRPr="00650B69">
        <w:rPr>
          <w:rFonts w:ascii="Arno Pro" w:hAnsi="Arno Pro"/>
          <w:noProof/>
          <w:sz w:val="16"/>
          <w:szCs w:val="24"/>
        </w:rPr>
        <w:t>, 3–17.</w:t>
      </w:r>
    </w:p>
    <w:p w14:paraId="36A49C0B"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 Conway, K. A., Harper, J. D., and Lansbury, P. T. (1998) Accelerated in vitro fibril formation by a mutant alpha-synuclein linked to early-onset Parkinson disease. </w:t>
      </w:r>
      <w:r w:rsidRPr="00650B69">
        <w:rPr>
          <w:rFonts w:ascii="Arno Pro" w:hAnsi="Arno Pro"/>
          <w:i/>
          <w:iCs/>
          <w:noProof/>
          <w:sz w:val="16"/>
          <w:szCs w:val="24"/>
        </w:rPr>
        <w:t>Nat. Med.</w:t>
      </w:r>
      <w:r w:rsidRPr="00650B69">
        <w:rPr>
          <w:rFonts w:ascii="Arno Pro" w:hAnsi="Arno Pro"/>
          <w:noProof/>
          <w:sz w:val="16"/>
          <w:szCs w:val="24"/>
        </w:rPr>
        <w:t xml:space="preserve"> </w:t>
      </w:r>
      <w:r w:rsidRPr="00650B69">
        <w:rPr>
          <w:rFonts w:ascii="Arno Pro" w:hAnsi="Arno Pro"/>
          <w:i/>
          <w:iCs/>
          <w:noProof/>
          <w:sz w:val="16"/>
          <w:szCs w:val="24"/>
        </w:rPr>
        <w:t>4</w:t>
      </w:r>
      <w:r w:rsidRPr="00650B69">
        <w:rPr>
          <w:rFonts w:ascii="Arno Pro" w:hAnsi="Arno Pro"/>
          <w:noProof/>
          <w:sz w:val="16"/>
          <w:szCs w:val="24"/>
        </w:rPr>
        <w:t>, 1318–1320.</w:t>
      </w:r>
    </w:p>
    <w:p w14:paraId="64032AA2"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(3) Alderson, T. R., and Markley, J. L. (2013) Biophysical characterization of alpha-synuclein and its controversial structure. </w:t>
      </w:r>
      <w:r w:rsidRPr="00650B69">
        <w:rPr>
          <w:rFonts w:ascii="Arno Pro" w:hAnsi="Arno Pro"/>
          <w:i/>
          <w:iCs/>
          <w:noProof/>
          <w:sz w:val="16"/>
          <w:szCs w:val="24"/>
        </w:rPr>
        <w:t>Intrinsically Disord. Proteins</w:t>
      </w:r>
      <w:r w:rsidRPr="00650B69">
        <w:rPr>
          <w:rFonts w:ascii="Arno Pro" w:hAnsi="Arno Pro"/>
          <w:noProof/>
          <w:sz w:val="16"/>
          <w:szCs w:val="24"/>
        </w:rPr>
        <w:t xml:space="preserve"> </w:t>
      </w:r>
      <w:r w:rsidRPr="00650B69">
        <w:rPr>
          <w:rFonts w:ascii="Arno Pro" w:hAnsi="Arno Pro"/>
          <w:i/>
          <w:iCs/>
          <w:noProof/>
          <w:sz w:val="16"/>
          <w:szCs w:val="24"/>
        </w:rPr>
        <w:t>1</w:t>
      </w:r>
      <w:r w:rsidRPr="00650B69">
        <w:rPr>
          <w:rFonts w:ascii="Arno Pro" w:hAnsi="Arno Pro"/>
          <w:noProof/>
          <w:sz w:val="16"/>
          <w:szCs w:val="24"/>
        </w:rPr>
        <w:t>, 18–39.</w:t>
      </w:r>
    </w:p>
    <w:p w14:paraId="6887847B"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(4) Breydo, L., Wu, J. W., and Uversky, V. N. (2012) Alpha-synuclein misfolding and Parkinson’s disease. </w:t>
      </w:r>
      <w:r w:rsidRPr="00650B69">
        <w:rPr>
          <w:rFonts w:ascii="Arno Pro" w:hAnsi="Arno Pro"/>
          <w:i/>
          <w:iCs/>
          <w:noProof/>
          <w:sz w:val="16"/>
          <w:szCs w:val="24"/>
        </w:rPr>
        <w:t>Biochim. Biophys. Acta</w:t>
      </w:r>
      <w:r w:rsidRPr="00650B69">
        <w:rPr>
          <w:rFonts w:ascii="Arno Pro" w:hAnsi="Arno Pro"/>
          <w:noProof/>
          <w:sz w:val="16"/>
          <w:szCs w:val="24"/>
        </w:rPr>
        <w:t xml:space="preserve"> </w:t>
      </w:r>
      <w:r w:rsidRPr="00650B69">
        <w:rPr>
          <w:rFonts w:ascii="Arno Pro" w:hAnsi="Arno Pro"/>
          <w:i/>
          <w:iCs/>
          <w:noProof/>
          <w:sz w:val="16"/>
          <w:szCs w:val="24"/>
        </w:rPr>
        <w:t>1822</w:t>
      </w:r>
      <w:r w:rsidRPr="00650B69">
        <w:rPr>
          <w:rFonts w:ascii="Arno Pro" w:hAnsi="Arno Pro"/>
          <w:noProof/>
          <w:sz w:val="16"/>
          <w:szCs w:val="24"/>
        </w:rPr>
        <w:t>, 261–285.</w:t>
      </w:r>
    </w:p>
    <w:p w14:paraId="31F257A6"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(5) Uversky, V. N. (2007) Neuropathology, biochemistry, and biophysics of alpha-synuclein aggregation. </w:t>
      </w:r>
      <w:r w:rsidRPr="00650B69">
        <w:rPr>
          <w:rFonts w:ascii="Arno Pro" w:hAnsi="Arno Pro"/>
          <w:i/>
          <w:iCs/>
          <w:noProof/>
          <w:sz w:val="16"/>
          <w:szCs w:val="24"/>
        </w:rPr>
        <w:t>J. Neurochem.</w:t>
      </w:r>
      <w:r w:rsidRPr="00650B69">
        <w:rPr>
          <w:rFonts w:ascii="Arno Pro" w:hAnsi="Arno Pro"/>
          <w:noProof/>
          <w:sz w:val="16"/>
          <w:szCs w:val="24"/>
        </w:rPr>
        <w:t xml:space="preserve"> </w:t>
      </w:r>
      <w:r w:rsidRPr="00650B69">
        <w:rPr>
          <w:rFonts w:ascii="Arno Pro" w:hAnsi="Arno Pro"/>
          <w:i/>
          <w:iCs/>
          <w:noProof/>
          <w:sz w:val="16"/>
          <w:szCs w:val="24"/>
        </w:rPr>
        <w:t>103</w:t>
      </w:r>
      <w:r w:rsidRPr="00650B69">
        <w:rPr>
          <w:rFonts w:ascii="Arno Pro" w:hAnsi="Arno Pro"/>
          <w:noProof/>
          <w:sz w:val="16"/>
          <w:szCs w:val="24"/>
        </w:rPr>
        <w:t>, 17–37.</w:t>
      </w:r>
    </w:p>
    <w:p w14:paraId="39194389"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(6) Munishkina, L. A., Cooper, E. M., Uversky, V. N., and Fink, A. L. </w:t>
      </w:r>
      <w:r w:rsidRPr="00650B69">
        <w:rPr>
          <w:rFonts w:ascii="Arno Pro" w:hAnsi="Arno Pro"/>
          <w:noProof/>
          <w:sz w:val="16"/>
          <w:szCs w:val="24"/>
        </w:rPr>
        <w:t xml:space="preserve">(2004) The effect of macromolecular crowding on protein aggregation and amyloid fibril formation. </w:t>
      </w:r>
      <w:r w:rsidRPr="00650B69">
        <w:rPr>
          <w:rFonts w:ascii="Arno Pro" w:hAnsi="Arno Pro"/>
          <w:i/>
          <w:iCs/>
          <w:noProof/>
          <w:sz w:val="16"/>
          <w:szCs w:val="24"/>
        </w:rPr>
        <w:t>J. Mol. Recognit.</w:t>
      </w:r>
      <w:r w:rsidRPr="00650B69">
        <w:rPr>
          <w:rFonts w:ascii="Arno Pro" w:hAnsi="Arno Pro"/>
          <w:noProof/>
          <w:sz w:val="16"/>
          <w:szCs w:val="24"/>
        </w:rPr>
        <w:t xml:space="preserve"> </w:t>
      </w:r>
      <w:r w:rsidRPr="00650B69">
        <w:rPr>
          <w:rFonts w:ascii="Arno Pro" w:hAnsi="Arno Pro"/>
          <w:i/>
          <w:iCs/>
          <w:noProof/>
          <w:sz w:val="16"/>
          <w:szCs w:val="24"/>
        </w:rPr>
        <w:t>17</w:t>
      </w:r>
      <w:r w:rsidRPr="00650B69">
        <w:rPr>
          <w:rFonts w:ascii="Arno Pro" w:hAnsi="Arno Pro"/>
          <w:noProof/>
          <w:sz w:val="16"/>
          <w:szCs w:val="24"/>
        </w:rPr>
        <w:t>, 456–464.</w:t>
      </w:r>
    </w:p>
    <w:p w14:paraId="1940BC82"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(7) Ellis, R. J. (2001) Macromolecular crowding: Obvious but underappreciated. </w:t>
      </w:r>
      <w:r w:rsidRPr="00650B69">
        <w:rPr>
          <w:rFonts w:ascii="Arno Pro" w:hAnsi="Arno Pro"/>
          <w:i/>
          <w:iCs/>
          <w:noProof/>
          <w:sz w:val="16"/>
          <w:szCs w:val="24"/>
        </w:rPr>
        <w:t>Trends Biochem. Sci.</w:t>
      </w:r>
      <w:r w:rsidRPr="00650B69">
        <w:rPr>
          <w:rFonts w:ascii="Arno Pro" w:hAnsi="Arno Pro"/>
          <w:noProof/>
          <w:sz w:val="16"/>
          <w:szCs w:val="24"/>
        </w:rPr>
        <w:t xml:space="preserve"> </w:t>
      </w:r>
      <w:r w:rsidRPr="00650B69">
        <w:rPr>
          <w:rFonts w:ascii="Arno Pro" w:hAnsi="Arno Pro"/>
          <w:i/>
          <w:iCs/>
          <w:noProof/>
          <w:sz w:val="16"/>
          <w:szCs w:val="24"/>
        </w:rPr>
        <w:t>26</w:t>
      </w:r>
      <w:r w:rsidRPr="00650B69">
        <w:rPr>
          <w:rFonts w:ascii="Arno Pro" w:hAnsi="Arno Pro"/>
          <w:noProof/>
          <w:sz w:val="16"/>
          <w:szCs w:val="24"/>
        </w:rPr>
        <w:t>, 597–604.</w:t>
      </w:r>
    </w:p>
    <w:p w14:paraId="638C839E"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(8) Bai, J., Liu, M., Pielak, G. J., and Li, C. (2017) Macromolecular and small molecular crowding have similar effects on alpha-synuclein structure. </w:t>
      </w:r>
      <w:r w:rsidRPr="00650B69">
        <w:rPr>
          <w:rFonts w:ascii="Arno Pro" w:hAnsi="Arno Pro"/>
          <w:i/>
          <w:iCs/>
          <w:noProof/>
          <w:sz w:val="16"/>
          <w:szCs w:val="24"/>
        </w:rPr>
        <w:t>ChemPhysChem</w:t>
      </w:r>
      <w:r w:rsidRPr="00650B69">
        <w:rPr>
          <w:rFonts w:ascii="Arno Pro" w:hAnsi="Arno Pro"/>
          <w:noProof/>
          <w:sz w:val="16"/>
          <w:szCs w:val="24"/>
        </w:rPr>
        <w:t xml:space="preserve"> </w:t>
      </w:r>
      <w:r w:rsidRPr="00650B69">
        <w:rPr>
          <w:rFonts w:ascii="Arno Pro" w:hAnsi="Arno Pro"/>
          <w:i/>
          <w:iCs/>
          <w:noProof/>
          <w:sz w:val="16"/>
          <w:szCs w:val="24"/>
        </w:rPr>
        <w:t>18</w:t>
      </w:r>
      <w:r w:rsidRPr="00650B69">
        <w:rPr>
          <w:rFonts w:ascii="Arno Pro" w:hAnsi="Arno Pro"/>
          <w:noProof/>
          <w:sz w:val="16"/>
          <w:szCs w:val="24"/>
        </w:rPr>
        <w:t>, 55–58.</w:t>
      </w:r>
    </w:p>
    <w:p w14:paraId="20A22DAD"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(9) Uversky, V. N., M. Cooper, E., Bower, K. S., Li, J., and Fink, A. L. (2001) Accelerated alpha-synuclein fibrillation in crowded milieu. </w:t>
      </w:r>
      <w:r w:rsidRPr="00650B69">
        <w:rPr>
          <w:rFonts w:ascii="Arno Pro" w:hAnsi="Arno Pro"/>
          <w:i/>
          <w:iCs/>
          <w:noProof/>
          <w:sz w:val="16"/>
          <w:szCs w:val="24"/>
        </w:rPr>
        <w:t>FEBS Lett.</w:t>
      </w:r>
      <w:r w:rsidRPr="00650B69">
        <w:rPr>
          <w:rFonts w:ascii="Arno Pro" w:hAnsi="Arno Pro"/>
          <w:noProof/>
          <w:sz w:val="16"/>
          <w:szCs w:val="24"/>
        </w:rPr>
        <w:t xml:space="preserve"> </w:t>
      </w:r>
      <w:r w:rsidRPr="00650B69">
        <w:rPr>
          <w:rFonts w:ascii="Arno Pro" w:hAnsi="Arno Pro"/>
          <w:i/>
          <w:iCs/>
          <w:noProof/>
          <w:sz w:val="16"/>
          <w:szCs w:val="24"/>
        </w:rPr>
        <w:t>515</w:t>
      </w:r>
      <w:r w:rsidRPr="00650B69">
        <w:rPr>
          <w:rFonts w:ascii="Arno Pro" w:hAnsi="Arno Pro"/>
          <w:noProof/>
          <w:sz w:val="16"/>
          <w:szCs w:val="24"/>
        </w:rPr>
        <w:t>, 99–103.</w:t>
      </w:r>
    </w:p>
    <w:p w14:paraId="08BF0132"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(10) Fink, A. L. (2006) The aggregation and fibrillation of alpha-synuclein. </w:t>
      </w:r>
      <w:r w:rsidRPr="00650B69">
        <w:rPr>
          <w:rFonts w:ascii="Arno Pro" w:hAnsi="Arno Pro"/>
          <w:i/>
          <w:iCs/>
          <w:noProof/>
          <w:sz w:val="16"/>
          <w:szCs w:val="24"/>
        </w:rPr>
        <w:t>Acc. Chem. Res.</w:t>
      </w:r>
      <w:r w:rsidRPr="00650B69">
        <w:rPr>
          <w:rFonts w:ascii="Arno Pro" w:hAnsi="Arno Pro"/>
          <w:noProof/>
          <w:sz w:val="16"/>
          <w:szCs w:val="24"/>
        </w:rPr>
        <w:t xml:space="preserve"> </w:t>
      </w:r>
      <w:r w:rsidRPr="00650B69">
        <w:rPr>
          <w:rFonts w:ascii="Arno Pro" w:hAnsi="Arno Pro"/>
          <w:i/>
          <w:iCs/>
          <w:noProof/>
          <w:sz w:val="16"/>
          <w:szCs w:val="24"/>
        </w:rPr>
        <w:t>39</w:t>
      </w:r>
      <w:r w:rsidRPr="00650B69">
        <w:rPr>
          <w:rFonts w:ascii="Arno Pro" w:hAnsi="Arno Pro"/>
          <w:noProof/>
          <w:sz w:val="16"/>
          <w:szCs w:val="24"/>
        </w:rPr>
        <w:t>, 628–634.</w:t>
      </w:r>
    </w:p>
    <w:p w14:paraId="229D893F"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(11) Uversky, V. N., Li, J., Souillac, P., Millett, I. S., Doniach, S., Jakes, R., Goedert, M., and Fink, A. L. (2002) Biophysical properties of the synucleins and their propensities to fibrillate: Inhibition of alpha-synuclein assembly by beta- and gamma-synucleins. </w:t>
      </w:r>
      <w:r w:rsidRPr="00650B69">
        <w:rPr>
          <w:rFonts w:ascii="Arno Pro" w:hAnsi="Arno Pro"/>
          <w:i/>
          <w:iCs/>
          <w:noProof/>
          <w:sz w:val="16"/>
          <w:szCs w:val="24"/>
        </w:rPr>
        <w:t>J. Biol. Chem.</w:t>
      </w:r>
      <w:r w:rsidRPr="00650B69">
        <w:rPr>
          <w:rFonts w:ascii="Arno Pro" w:hAnsi="Arno Pro"/>
          <w:noProof/>
          <w:sz w:val="16"/>
          <w:szCs w:val="24"/>
        </w:rPr>
        <w:t xml:space="preserve"> </w:t>
      </w:r>
      <w:r w:rsidRPr="00650B69">
        <w:rPr>
          <w:rFonts w:ascii="Arno Pro" w:hAnsi="Arno Pro"/>
          <w:i/>
          <w:iCs/>
          <w:noProof/>
          <w:sz w:val="16"/>
          <w:szCs w:val="24"/>
        </w:rPr>
        <w:t>277</w:t>
      </w:r>
      <w:r w:rsidRPr="00650B69">
        <w:rPr>
          <w:rFonts w:ascii="Arno Pro" w:hAnsi="Arno Pro"/>
          <w:noProof/>
          <w:sz w:val="16"/>
          <w:szCs w:val="24"/>
        </w:rPr>
        <w:t>, 11970–11978.</w:t>
      </w:r>
    </w:p>
    <w:p w14:paraId="10A70491"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(12) Biere, A. L., Wood, S. J., Wypych, J., Steavenson, S., Jiang, Y., Anafi, D., Jacobsen, F. W., Jarosinski, M. A., Wu, G. M., Louis, J. C., Martin, F., Narhi, L. O., and Citron, M. (2000) Parkinson’s disease-associated alpha-synuclein is more fibrillogenic than beta- and gamma-synuclein and cannot cross-seed its homologs. </w:t>
      </w:r>
      <w:r w:rsidRPr="00650B69">
        <w:rPr>
          <w:rFonts w:ascii="Arno Pro" w:hAnsi="Arno Pro"/>
          <w:i/>
          <w:iCs/>
          <w:noProof/>
          <w:sz w:val="16"/>
          <w:szCs w:val="24"/>
        </w:rPr>
        <w:t>J. Biol. Chem.</w:t>
      </w:r>
      <w:r w:rsidRPr="00650B69">
        <w:rPr>
          <w:rFonts w:ascii="Arno Pro" w:hAnsi="Arno Pro"/>
          <w:noProof/>
          <w:sz w:val="16"/>
          <w:szCs w:val="24"/>
        </w:rPr>
        <w:t xml:space="preserve"> </w:t>
      </w:r>
      <w:r w:rsidRPr="00650B69">
        <w:rPr>
          <w:rFonts w:ascii="Arno Pro" w:hAnsi="Arno Pro"/>
          <w:i/>
          <w:iCs/>
          <w:noProof/>
          <w:sz w:val="16"/>
          <w:szCs w:val="24"/>
        </w:rPr>
        <w:t>275</w:t>
      </w:r>
      <w:r w:rsidRPr="00650B69">
        <w:rPr>
          <w:rFonts w:ascii="Arno Pro" w:hAnsi="Arno Pro"/>
          <w:noProof/>
          <w:sz w:val="16"/>
          <w:szCs w:val="24"/>
        </w:rPr>
        <w:t>, 34574–34579.</w:t>
      </w:r>
    </w:p>
    <w:p w14:paraId="7266D782"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(13) Khurana, R., Coleman, C., Ionescu-Zanetti, C., Carter, S. A., Krishna, V., Grover, R. K., Roy, R., and Singh, S. (2005) Mechanism of thioflavin T binding to amyloid fibrils. </w:t>
      </w:r>
      <w:r w:rsidRPr="00650B69">
        <w:rPr>
          <w:rFonts w:ascii="Arno Pro" w:hAnsi="Arno Pro"/>
          <w:i/>
          <w:iCs/>
          <w:noProof/>
          <w:sz w:val="16"/>
          <w:szCs w:val="24"/>
        </w:rPr>
        <w:t>J. Struct. Biol.</w:t>
      </w:r>
      <w:r w:rsidRPr="00650B69">
        <w:rPr>
          <w:rFonts w:ascii="Arno Pro" w:hAnsi="Arno Pro"/>
          <w:noProof/>
          <w:sz w:val="16"/>
          <w:szCs w:val="24"/>
        </w:rPr>
        <w:t xml:space="preserve"> </w:t>
      </w:r>
      <w:r w:rsidRPr="00650B69">
        <w:rPr>
          <w:rFonts w:ascii="Arno Pro" w:hAnsi="Arno Pro"/>
          <w:i/>
          <w:iCs/>
          <w:noProof/>
          <w:sz w:val="16"/>
          <w:szCs w:val="24"/>
        </w:rPr>
        <w:t>151</w:t>
      </w:r>
      <w:r w:rsidRPr="00650B69">
        <w:rPr>
          <w:rFonts w:ascii="Arno Pro" w:hAnsi="Arno Pro"/>
          <w:noProof/>
          <w:sz w:val="16"/>
          <w:szCs w:val="24"/>
        </w:rPr>
        <w:t>, 229–238.</w:t>
      </w:r>
    </w:p>
    <w:p w14:paraId="6E669634"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(14) Nath, S., Meuvis, J., Hendrix, J., Carl, S. A., and Engelborghs, Y. (2010) Early aggregation steps in alpha-synuclein as measured by FCS and FRET: Evidence for a contagious conformational change. </w:t>
      </w:r>
      <w:r w:rsidRPr="00650B69">
        <w:rPr>
          <w:rFonts w:ascii="Arno Pro" w:hAnsi="Arno Pro"/>
          <w:i/>
          <w:iCs/>
          <w:noProof/>
          <w:sz w:val="16"/>
          <w:szCs w:val="24"/>
        </w:rPr>
        <w:t>Biophys. J.</w:t>
      </w:r>
      <w:r w:rsidRPr="00650B69">
        <w:rPr>
          <w:rFonts w:ascii="Arno Pro" w:hAnsi="Arno Pro"/>
          <w:noProof/>
          <w:sz w:val="16"/>
          <w:szCs w:val="24"/>
        </w:rPr>
        <w:t xml:space="preserve"> </w:t>
      </w:r>
      <w:r w:rsidRPr="00650B69">
        <w:rPr>
          <w:rFonts w:ascii="Arno Pro" w:hAnsi="Arno Pro"/>
          <w:i/>
          <w:iCs/>
          <w:noProof/>
          <w:sz w:val="16"/>
          <w:szCs w:val="24"/>
        </w:rPr>
        <w:t>98</w:t>
      </w:r>
      <w:r w:rsidRPr="00650B69">
        <w:rPr>
          <w:rFonts w:ascii="Arno Pro" w:hAnsi="Arno Pro"/>
          <w:noProof/>
          <w:sz w:val="16"/>
          <w:szCs w:val="24"/>
        </w:rPr>
        <w:t>, 1302–1311.</w:t>
      </w:r>
    </w:p>
    <w:p w14:paraId="709D2C05"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(15) Morris, A. M., Watzky, M. A., Agar, J. N., and Finke, R. G. (2008) Fitting neurological protein aggregation kinetic data via a 2-step, minimal/"Ockham’s razor" model: The Finke-Watzky mechanism of nucleation followed by autocatalytic surface growth. </w:t>
      </w:r>
      <w:r w:rsidRPr="00650B69">
        <w:rPr>
          <w:rFonts w:ascii="Arno Pro" w:hAnsi="Arno Pro"/>
          <w:i/>
          <w:iCs/>
          <w:noProof/>
          <w:sz w:val="16"/>
          <w:szCs w:val="24"/>
        </w:rPr>
        <w:t>Biochemistry</w:t>
      </w:r>
      <w:r w:rsidRPr="00650B69">
        <w:rPr>
          <w:rFonts w:ascii="Arno Pro" w:hAnsi="Arno Pro"/>
          <w:noProof/>
          <w:sz w:val="16"/>
          <w:szCs w:val="24"/>
        </w:rPr>
        <w:t xml:space="preserve"> </w:t>
      </w:r>
      <w:r w:rsidRPr="00650B69">
        <w:rPr>
          <w:rFonts w:ascii="Arno Pro" w:hAnsi="Arno Pro"/>
          <w:i/>
          <w:iCs/>
          <w:noProof/>
          <w:sz w:val="16"/>
          <w:szCs w:val="24"/>
        </w:rPr>
        <w:t>47</w:t>
      </w:r>
      <w:r w:rsidRPr="00650B69">
        <w:rPr>
          <w:rFonts w:ascii="Arno Pro" w:hAnsi="Arno Pro"/>
          <w:noProof/>
          <w:sz w:val="16"/>
          <w:szCs w:val="24"/>
        </w:rPr>
        <w:t>, 2413–2427.</w:t>
      </w:r>
    </w:p>
    <w:p w14:paraId="58AEA1A5"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(16) Ma, S., Cao, X., Mak, M., Sadik, A., Walkner, C., Freedman, T. B., Lednev, I. K., Dukor, R. K., and Nafie, L. a. (2007) Vibrational circular dichroism shows unusual sensitivity to protein fibril formation and development in solution. </w:t>
      </w:r>
      <w:r w:rsidRPr="00650B69">
        <w:rPr>
          <w:rFonts w:ascii="Arno Pro" w:hAnsi="Arno Pro"/>
          <w:i/>
          <w:iCs/>
          <w:noProof/>
          <w:sz w:val="16"/>
          <w:szCs w:val="24"/>
        </w:rPr>
        <w:t>J. Am. Chem. Soc.</w:t>
      </w:r>
      <w:r w:rsidRPr="00650B69">
        <w:rPr>
          <w:rFonts w:ascii="Arno Pro" w:hAnsi="Arno Pro"/>
          <w:noProof/>
          <w:sz w:val="16"/>
          <w:szCs w:val="24"/>
        </w:rPr>
        <w:t xml:space="preserve"> </w:t>
      </w:r>
      <w:r w:rsidRPr="00650B69">
        <w:rPr>
          <w:rFonts w:ascii="Arno Pro" w:hAnsi="Arno Pro"/>
          <w:i/>
          <w:iCs/>
          <w:noProof/>
          <w:sz w:val="16"/>
          <w:szCs w:val="24"/>
        </w:rPr>
        <w:t>129</w:t>
      </w:r>
      <w:r w:rsidRPr="00650B69">
        <w:rPr>
          <w:rFonts w:ascii="Arno Pro" w:hAnsi="Arno Pro"/>
          <w:noProof/>
          <w:sz w:val="16"/>
          <w:szCs w:val="24"/>
        </w:rPr>
        <w:t>, 12364–12365.</w:t>
      </w:r>
    </w:p>
    <w:p w14:paraId="3E7C0B16"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(17) Shanmugasundaram, M., Kurouski, D., Wan, W., Stubbs, G., Dukor, R. K., Nafie, L. A., and Lednev, I. K. (2015) Rapid filament supramolecular chirality reversal of HET-s (218-289) prion fibrils driven by pH elevation. </w:t>
      </w:r>
      <w:r w:rsidRPr="00650B69">
        <w:rPr>
          <w:rFonts w:ascii="Arno Pro" w:hAnsi="Arno Pro"/>
          <w:i/>
          <w:iCs/>
          <w:noProof/>
          <w:sz w:val="16"/>
          <w:szCs w:val="24"/>
        </w:rPr>
        <w:t>J. Phys. Chem. B</w:t>
      </w:r>
      <w:r w:rsidRPr="00650B69">
        <w:rPr>
          <w:rFonts w:ascii="Arno Pro" w:hAnsi="Arno Pro"/>
          <w:noProof/>
          <w:sz w:val="16"/>
          <w:szCs w:val="24"/>
        </w:rPr>
        <w:t xml:space="preserve"> </w:t>
      </w:r>
      <w:r w:rsidRPr="00650B69">
        <w:rPr>
          <w:rFonts w:ascii="Arno Pro" w:hAnsi="Arno Pro"/>
          <w:i/>
          <w:iCs/>
          <w:noProof/>
          <w:sz w:val="16"/>
          <w:szCs w:val="24"/>
        </w:rPr>
        <w:t>119</w:t>
      </w:r>
      <w:r w:rsidRPr="00650B69">
        <w:rPr>
          <w:rFonts w:ascii="Arno Pro" w:hAnsi="Arno Pro"/>
          <w:noProof/>
          <w:sz w:val="16"/>
          <w:szCs w:val="24"/>
        </w:rPr>
        <w:t>, 8521–8525.</w:t>
      </w:r>
    </w:p>
    <w:p w14:paraId="37C22428"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(18) Kurouski, D., Lombardi, R. A., Dukor, R. K., Lednev, I. K., and Nafie, L. A. (2010) Direct observation and pH control of reversed supramolecular chirality in insulin fibrils by vibrational circular dichroism. </w:t>
      </w:r>
      <w:r w:rsidRPr="00650B69">
        <w:rPr>
          <w:rFonts w:ascii="Arno Pro" w:hAnsi="Arno Pro"/>
          <w:i/>
          <w:iCs/>
          <w:noProof/>
          <w:sz w:val="16"/>
          <w:szCs w:val="24"/>
        </w:rPr>
        <w:t>Chem. Commun.</w:t>
      </w:r>
      <w:r w:rsidRPr="00650B69">
        <w:rPr>
          <w:rFonts w:ascii="Arno Pro" w:hAnsi="Arno Pro"/>
          <w:noProof/>
          <w:sz w:val="16"/>
          <w:szCs w:val="24"/>
        </w:rPr>
        <w:t xml:space="preserve"> </w:t>
      </w:r>
      <w:r w:rsidRPr="00650B69">
        <w:rPr>
          <w:rFonts w:ascii="Arno Pro" w:hAnsi="Arno Pro"/>
          <w:i/>
          <w:iCs/>
          <w:noProof/>
          <w:sz w:val="16"/>
          <w:szCs w:val="24"/>
        </w:rPr>
        <w:t>46</w:t>
      </w:r>
      <w:r w:rsidRPr="00650B69">
        <w:rPr>
          <w:rFonts w:ascii="Arno Pro" w:hAnsi="Arno Pro"/>
          <w:noProof/>
          <w:sz w:val="16"/>
          <w:szCs w:val="24"/>
        </w:rPr>
        <w:t>, 7154.</w:t>
      </w:r>
    </w:p>
    <w:p w14:paraId="2DF1F237"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(19) Measey, T. J., and Schweitzer-Stenner, R. (2011) Vibrational circular dichroism as a probe of fibrillogenesis: The origin of the anomalous intensity enhancement of amyloid-like fibrils. </w:t>
      </w:r>
      <w:r w:rsidRPr="00650B69">
        <w:rPr>
          <w:rFonts w:ascii="Arno Pro" w:hAnsi="Arno Pro"/>
          <w:i/>
          <w:iCs/>
          <w:noProof/>
          <w:sz w:val="16"/>
          <w:szCs w:val="24"/>
        </w:rPr>
        <w:t>J. Am. Chem. Soc.</w:t>
      </w:r>
      <w:r w:rsidRPr="00650B69">
        <w:rPr>
          <w:rFonts w:ascii="Arno Pro" w:hAnsi="Arno Pro"/>
          <w:noProof/>
          <w:sz w:val="16"/>
          <w:szCs w:val="24"/>
        </w:rPr>
        <w:t xml:space="preserve"> </w:t>
      </w:r>
      <w:r w:rsidRPr="00650B69">
        <w:rPr>
          <w:rFonts w:ascii="Arno Pro" w:hAnsi="Arno Pro"/>
          <w:i/>
          <w:iCs/>
          <w:noProof/>
          <w:sz w:val="16"/>
          <w:szCs w:val="24"/>
        </w:rPr>
        <w:t>133</w:t>
      </w:r>
      <w:r w:rsidRPr="00650B69">
        <w:rPr>
          <w:rFonts w:ascii="Arno Pro" w:hAnsi="Arno Pro"/>
          <w:noProof/>
          <w:sz w:val="16"/>
          <w:szCs w:val="24"/>
        </w:rPr>
        <w:t>, 1066–1076.</w:t>
      </w:r>
    </w:p>
    <w:p w14:paraId="35E60019"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(20) van Raaij, M. E., Segers-Nolten, I. M. J., and Subramaniam, V. (2006) Quantitative morphological analysis reveals ultrastructural diversity of amyloid fibrils from alpha-synuclein mutants. </w:t>
      </w:r>
      <w:r w:rsidRPr="00650B69">
        <w:rPr>
          <w:rFonts w:ascii="Arno Pro" w:hAnsi="Arno Pro"/>
          <w:i/>
          <w:iCs/>
          <w:noProof/>
          <w:sz w:val="16"/>
          <w:szCs w:val="24"/>
        </w:rPr>
        <w:t>Biophys. J.</w:t>
      </w:r>
      <w:r w:rsidRPr="00650B69">
        <w:rPr>
          <w:rFonts w:ascii="Arno Pro" w:hAnsi="Arno Pro"/>
          <w:noProof/>
          <w:sz w:val="16"/>
          <w:szCs w:val="24"/>
        </w:rPr>
        <w:t xml:space="preserve"> </w:t>
      </w:r>
      <w:r w:rsidRPr="00650B69">
        <w:rPr>
          <w:rFonts w:ascii="Arno Pro" w:hAnsi="Arno Pro"/>
          <w:i/>
          <w:iCs/>
          <w:noProof/>
          <w:sz w:val="16"/>
          <w:szCs w:val="24"/>
        </w:rPr>
        <w:t>91</w:t>
      </w:r>
      <w:r w:rsidRPr="00650B69">
        <w:rPr>
          <w:rFonts w:ascii="Arno Pro" w:hAnsi="Arno Pro"/>
          <w:noProof/>
          <w:sz w:val="16"/>
          <w:szCs w:val="24"/>
        </w:rPr>
        <w:t>, L96–L98.</w:t>
      </w:r>
    </w:p>
    <w:p w14:paraId="539E89EF"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(21) Urbanová, M., Setnička, V., and Volka, K. (2000) Measurements of concentration dependence and enantiomeric purity of terpene solutions as a test of a new commercial VCD spectrometer. </w:t>
      </w:r>
      <w:r w:rsidRPr="00650B69">
        <w:rPr>
          <w:rFonts w:ascii="Arno Pro" w:hAnsi="Arno Pro"/>
          <w:i/>
          <w:iCs/>
          <w:noProof/>
          <w:sz w:val="16"/>
          <w:szCs w:val="24"/>
        </w:rPr>
        <w:t>Chirality</w:t>
      </w:r>
      <w:r w:rsidRPr="00650B69">
        <w:rPr>
          <w:rFonts w:ascii="Arno Pro" w:hAnsi="Arno Pro"/>
          <w:noProof/>
          <w:sz w:val="16"/>
          <w:szCs w:val="24"/>
        </w:rPr>
        <w:t xml:space="preserve"> </w:t>
      </w:r>
      <w:r w:rsidRPr="00650B69">
        <w:rPr>
          <w:rFonts w:ascii="Arno Pro" w:hAnsi="Arno Pro"/>
          <w:i/>
          <w:iCs/>
          <w:noProof/>
          <w:sz w:val="16"/>
          <w:szCs w:val="24"/>
        </w:rPr>
        <w:t>12</w:t>
      </w:r>
      <w:r w:rsidRPr="00650B69">
        <w:rPr>
          <w:rFonts w:ascii="Arno Pro" w:hAnsi="Arno Pro"/>
          <w:noProof/>
          <w:sz w:val="16"/>
          <w:szCs w:val="24"/>
        </w:rPr>
        <w:t>, 199–203.</w:t>
      </w:r>
    </w:p>
    <w:p w14:paraId="041E8146"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(22) Bartels, T., Choi, J. G., and Selkoe, D. J. (2011) α-Synuclein occurs physiologically as a helically folded tetramer that resists aggregation. </w:t>
      </w:r>
      <w:r w:rsidRPr="00650B69">
        <w:rPr>
          <w:rFonts w:ascii="Arno Pro" w:hAnsi="Arno Pro"/>
          <w:i/>
          <w:iCs/>
          <w:noProof/>
          <w:sz w:val="16"/>
          <w:szCs w:val="24"/>
        </w:rPr>
        <w:t>Nature</w:t>
      </w:r>
      <w:r w:rsidRPr="00650B69">
        <w:rPr>
          <w:rFonts w:ascii="Arno Pro" w:hAnsi="Arno Pro"/>
          <w:noProof/>
          <w:sz w:val="16"/>
          <w:szCs w:val="24"/>
        </w:rPr>
        <w:t xml:space="preserve"> </w:t>
      </w:r>
      <w:r w:rsidRPr="00650B69">
        <w:rPr>
          <w:rFonts w:ascii="Arno Pro" w:hAnsi="Arno Pro"/>
          <w:i/>
          <w:iCs/>
          <w:noProof/>
          <w:sz w:val="16"/>
          <w:szCs w:val="24"/>
        </w:rPr>
        <w:t>477</w:t>
      </w:r>
      <w:r w:rsidRPr="00650B69">
        <w:rPr>
          <w:rFonts w:ascii="Arno Pro" w:hAnsi="Arno Pro"/>
          <w:noProof/>
          <w:sz w:val="16"/>
          <w:szCs w:val="24"/>
        </w:rPr>
        <w:t>, 107–111.</w:t>
      </w:r>
    </w:p>
    <w:p w14:paraId="2152200A"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(23) Anderson, J. P., Walker, D. E., Goldstein, J. M., De Laat, R., Banducci, K., Caccavello, R. J., Barbour, R., Huang, J., Kling, K., Lee, M., Diep, L., Keim, P. S., Shen, X., Chataway, T., Schlossmacher, M. G., Seubert, P., Schenk, D., Sinha, S., Gai, W. P., and Chilcote, T. J. (2006) Phosphorylation of Ser-129 is the dominant pathological modification of α-synuclein in familial and sporadic lewy body disease. </w:t>
      </w:r>
      <w:r w:rsidRPr="00650B69">
        <w:rPr>
          <w:rFonts w:ascii="Arno Pro" w:hAnsi="Arno Pro"/>
          <w:i/>
          <w:iCs/>
          <w:noProof/>
          <w:sz w:val="16"/>
          <w:szCs w:val="24"/>
        </w:rPr>
        <w:t>J. Biol. Chem.</w:t>
      </w:r>
      <w:r w:rsidRPr="00650B69">
        <w:rPr>
          <w:rFonts w:ascii="Arno Pro" w:hAnsi="Arno Pro"/>
          <w:noProof/>
          <w:sz w:val="16"/>
          <w:szCs w:val="24"/>
        </w:rPr>
        <w:t xml:space="preserve"> </w:t>
      </w:r>
      <w:r w:rsidRPr="00650B69">
        <w:rPr>
          <w:rFonts w:ascii="Arno Pro" w:hAnsi="Arno Pro"/>
          <w:i/>
          <w:iCs/>
          <w:noProof/>
          <w:sz w:val="16"/>
          <w:szCs w:val="24"/>
        </w:rPr>
        <w:t>281</w:t>
      </w:r>
      <w:r w:rsidRPr="00650B69">
        <w:rPr>
          <w:rFonts w:ascii="Arno Pro" w:hAnsi="Arno Pro"/>
          <w:noProof/>
          <w:sz w:val="16"/>
          <w:szCs w:val="24"/>
        </w:rPr>
        <w:t>, 29739–29752.</w:t>
      </w:r>
    </w:p>
    <w:p w14:paraId="66A3EFA7"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lastRenderedPageBreak/>
        <w:t xml:space="preserve">(24) Fauvet, B., Fares, M. B., Samuel, F., Dikiy, I., Tandon, A., Eliezer, D., and Lashuel, H. A. (2012) Characterization of semisynthetic and naturally N α- acetylated α-synuclein in vitro and in intact cells: Implications for aggregation and cellular properties of α-synuclein. </w:t>
      </w:r>
      <w:r w:rsidRPr="00650B69">
        <w:rPr>
          <w:rFonts w:ascii="Arno Pro" w:hAnsi="Arno Pro"/>
          <w:i/>
          <w:iCs/>
          <w:noProof/>
          <w:sz w:val="16"/>
          <w:szCs w:val="24"/>
        </w:rPr>
        <w:t>J. Biol. Chem.</w:t>
      </w:r>
      <w:r w:rsidRPr="00650B69">
        <w:rPr>
          <w:rFonts w:ascii="Arno Pro" w:hAnsi="Arno Pro"/>
          <w:noProof/>
          <w:sz w:val="16"/>
          <w:szCs w:val="24"/>
        </w:rPr>
        <w:t xml:space="preserve"> </w:t>
      </w:r>
      <w:r w:rsidRPr="00650B69">
        <w:rPr>
          <w:rFonts w:ascii="Arno Pro" w:hAnsi="Arno Pro"/>
          <w:i/>
          <w:iCs/>
          <w:noProof/>
          <w:sz w:val="16"/>
          <w:szCs w:val="24"/>
        </w:rPr>
        <w:t>287</w:t>
      </w:r>
      <w:r w:rsidRPr="00650B69">
        <w:rPr>
          <w:rFonts w:ascii="Arno Pro" w:hAnsi="Arno Pro"/>
          <w:noProof/>
          <w:sz w:val="16"/>
          <w:szCs w:val="24"/>
        </w:rPr>
        <w:t>, 28243–28262.</w:t>
      </w:r>
    </w:p>
    <w:p w14:paraId="3A2DD992"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(25) Kang, L., Moriarty, G. M., Woods, L. A., Ashcroft, A. E., Radford, S. E., and Baum, J. (2012) N-terminal acetylation of alpha-synuclein induces increased transient helical propensity and decreased aggregation rates in the intrinsically disordered monomer. </w:t>
      </w:r>
      <w:r w:rsidRPr="00650B69">
        <w:rPr>
          <w:rFonts w:ascii="Arno Pro" w:hAnsi="Arno Pro"/>
          <w:i/>
          <w:iCs/>
          <w:noProof/>
          <w:sz w:val="16"/>
          <w:szCs w:val="24"/>
        </w:rPr>
        <w:t>Protein Sci.</w:t>
      </w:r>
      <w:r w:rsidRPr="00650B69">
        <w:rPr>
          <w:rFonts w:ascii="Arno Pro" w:hAnsi="Arno Pro"/>
          <w:noProof/>
          <w:sz w:val="16"/>
          <w:szCs w:val="24"/>
        </w:rPr>
        <w:t xml:space="preserve"> </w:t>
      </w:r>
      <w:r w:rsidRPr="00650B69">
        <w:rPr>
          <w:rFonts w:ascii="Arno Pro" w:hAnsi="Arno Pro"/>
          <w:i/>
          <w:iCs/>
          <w:noProof/>
          <w:sz w:val="16"/>
          <w:szCs w:val="24"/>
        </w:rPr>
        <w:t>21</w:t>
      </w:r>
      <w:r w:rsidRPr="00650B69">
        <w:rPr>
          <w:rFonts w:ascii="Arno Pro" w:hAnsi="Arno Pro"/>
          <w:noProof/>
          <w:sz w:val="16"/>
          <w:szCs w:val="24"/>
        </w:rPr>
        <w:t>, 911–917.</w:t>
      </w:r>
    </w:p>
    <w:p w14:paraId="0C009234"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(26) Keiderling, T. A. (2002) Protein and peptide secondary structure and conformational determination with vibrational circular dichroism. </w:t>
      </w:r>
      <w:r w:rsidRPr="00650B69">
        <w:rPr>
          <w:rFonts w:ascii="Arno Pro" w:hAnsi="Arno Pro"/>
          <w:i/>
          <w:iCs/>
          <w:noProof/>
          <w:sz w:val="16"/>
          <w:szCs w:val="24"/>
        </w:rPr>
        <w:t>Curr. Opin. Chem. Biol.</w:t>
      </w:r>
      <w:r w:rsidRPr="00650B69">
        <w:rPr>
          <w:rFonts w:ascii="Arno Pro" w:hAnsi="Arno Pro"/>
          <w:noProof/>
          <w:sz w:val="16"/>
          <w:szCs w:val="24"/>
        </w:rPr>
        <w:t xml:space="preserve"> </w:t>
      </w:r>
      <w:r w:rsidRPr="00650B69">
        <w:rPr>
          <w:rFonts w:ascii="Arno Pro" w:hAnsi="Arno Pro"/>
          <w:i/>
          <w:iCs/>
          <w:noProof/>
          <w:sz w:val="16"/>
          <w:szCs w:val="24"/>
        </w:rPr>
        <w:t>6</w:t>
      </w:r>
      <w:r w:rsidRPr="00650B69">
        <w:rPr>
          <w:rFonts w:ascii="Arno Pro" w:hAnsi="Arno Pro"/>
          <w:noProof/>
          <w:sz w:val="16"/>
          <w:szCs w:val="24"/>
        </w:rPr>
        <w:t>, 682–688.</w:t>
      </w:r>
    </w:p>
    <w:p w14:paraId="0CF59868"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(27) Pazderková, M., Pazderka, T., Shanmugasundaram, M., Dukor, R. K., Lednev, I. K., and Nafie, L. A. (2017) Origin of enhanced VCD in amyloid fibril spectra: effect of deuteriation and pH. </w:t>
      </w:r>
      <w:r w:rsidRPr="00650B69">
        <w:rPr>
          <w:rFonts w:ascii="Arno Pro" w:hAnsi="Arno Pro"/>
          <w:i/>
          <w:iCs/>
          <w:noProof/>
          <w:sz w:val="16"/>
          <w:szCs w:val="24"/>
        </w:rPr>
        <w:t>Chirality</w:t>
      </w:r>
      <w:r w:rsidRPr="00650B69">
        <w:rPr>
          <w:rFonts w:ascii="Arno Pro" w:hAnsi="Arno Pro"/>
          <w:noProof/>
          <w:sz w:val="16"/>
          <w:szCs w:val="24"/>
        </w:rPr>
        <w:t xml:space="preserve"> </w:t>
      </w:r>
      <w:r w:rsidRPr="00650B69">
        <w:rPr>
          <w:rFonts w:ascii="Arno Pro" w:hAnsi="Arno Pro"/>
          <w:i/>
          <w:iCs/>
          <w:noProof/>
          <w:sz w:val="16"/>
          <w:szCs w:val="24"/>
        </w:rPr>
        <w:t>29</w:t>
      </w:r>
      <w:r w:rsidRPr="00650B69">
        <w:rPr>
          <w:rFonts w:ascii="Arno Pro" w:hAnsi="Arno Pro"/>
          <w:noProof/>
          <w:sz w:val="16"/>
          <w:szCs w:val="24"/>
        </w:rPr>
        <w:t>, 469–475.</w:t>
      </w:r>
    </w:p>
    <w:p w14:paraId="44E47425" w14:textId="77777777" w:rsidR="008D75F4" w:rsidRPr="00650B69" w:rsidRDefault="008D75F4" w:rsidP="008D75F4">
      <w:pPr>
        <w:widowControl w:val="0"/>
        <w:autoSpaceDE w:val="0"/>
        <w:autoSpaceDN w:val="0"/>
        <w:adjustRightInd w:val="0"/>
        <w:spacing w:after="0"/>
        <w:rPr>
          <w:rFonts w:ascii="Arno Pro" w:hAnsi="Arno Pro"/>
          <w:noProof/>
          <w:sz w:val="16"/>
          <w:szCs w:val="24"/>
        </w:rPr>
      </w:pPr>
      <w:r w:rsidRPr="00650B69">
        <w:rPr>
          <w:rFonts w:ascii="Arno Pro" w:hAnsi="Arno Pro"/>
          <w:noProof/>
          <w:sz w:val="16"/>
          <w:szCs w:val="24"/>
        </w:rPr>
        <w:t xml:space="preserve">(28) Iyer, A., Roeters, S. J., Kogan, V., Woutersen, S., Claessens, M. M. A. E., and Subramaniam, V. (2017) C-terminal truncated alpha-synuclein fibrils contain strongly twisted beta-sheets. </w:t>
      </w:r>
      <w:r w:rsidRPr="00650B69">
        <w:rPr>
          <w:rFonts w:ascii="Arno Pro" w:hAnsi="Arno Pro"/>
          <w:i/>
          <w:iCs/>
          <w:noProof/>
          <w:sz w:val="16"/>
          <w:szCs w:val="24"/>
        </w:rPr>
        <w:t>J. Am. Chem. Soc.</w:t>
      </w:r>
      <w:r w:rsidRPr="00650B69">
        <w:rPr>
          <w:rFonts w:ascii="Arno Pro" w:hAnsi="Arno Pro"/>
          <w:noProof/>
          <w:sz w:val="16"/>
          <w:szCs w:val="24"/>
        </w:rPr>
        <w:t xml:space="preserve"> </w:t>
      </w:r>
      <w:r w:rsidRPr="00650B69">
        <w:rPr>
          <w:rFonts w:ascii="Arno Pro" w:hAnsi="Arno Pro"/>
          <w:i/>
          <w:iCs/>
          <w:noProof/>
          <w:sz w:val="16"/>
          <w:szCs w:val="24"/>
        </w:rPr>
        <w:t>139</w:t>
      </w:r>
      <w:r w:rsidRPr="00650B69">
        <w:rPr>
          <w:rFonts w:ascii="Arno Pro" w:hAnsi="Arno Pro"/>
          <w:noProof/>
          <w:sz w:val="16"/>
          <w:szCs w:val="24"/>
        </w:rPr>
        <w:t>, 15392–15400.</w:t>
      </w:r>
    </w:p>
    <w:p w14:paraId="0B488949" w14:textId="77777777" w:rsidR="008D75F4" w:rsidRPr="00650B69" w:rsidRDefault="008D75F4" w:rsidP="008D75F4">
      <w:pPr>
        <w:widowControl w:val="0"/>
        <w:autoSpaceDE w:val="0"/>
        <w:autoSpaceDN w:val="0"/>
        <w:adjustRightInd w:val="0"/>
        <w:spacing w:after="0"/>
        <w:rPr>
          <w:rFonts w:ascii="Arno Pro" w:hAnsi="Arno Pro"/>
          <w:noProof/>
          <w:sz w:val="16"/>
        </w:rPr>
      </w:pPr>
      <w:r w:rsidRPr="00650B69">
        <w:rPr>
          <w:rFonts w:ascii="Arno Pro" w:hAnsi="Arno Pro"/>
          <w:noProof/>
          <w:sz w:val="16"/>
          <w:szCs w:val="24"/>
        </w:rPr>
        <w:t xml:space="preserve">(29) Kurouski, D., Lu, X., Popova, L., Wan, W., Shanmugasundaram, M., Stubbs, G., Dukor, R. K., Lednev, I. K., and Nafie, L. A. (2014) Is supramolecular filament chirality the underlying cause of major morphology differences in amyloid fibrils? </w:t>
      </w:r>
      <w:r w:rsidRPr="00650B69">
        <w:rPr>
          <w:rFonts w:ascii="Arno Pro" w:hAnsi="Arno Pro"/>
          <w:i/>
          <w:iCs/>
          <w:noProof/>
          <w:sz w:val="16"/>
          <w:szCs w:val="24"/>
        </w:rPr>
        <w:t>J. Am. Chem. Soc.</w:t>
      </w:r>
      <w:r w:rsidRPr="00650B69">
        <w:rPr>
          <w:rFonts w:ascii="Arno Pro" w:hAnsi="Arno Pro"/>
          <w:noProof/>
          <w:sz w:val="16"/>
          <w:szCs w:val="24"/>
        </w:rPr>
        <w:t xml:space="preserve"> </w:t>
      </w:r>
      <w:r w:rsidRPr="00650B69">
        <w:rPr>
          <w:rFonts w:ascii="Arno Pro" w:hAnsi="Arno Pro"/>
          <w:i/>
          <w:iCs/>
          <w:noProof/>
          <w:sz w:val="16"/>
          <w:szCs w:val="24"/>
        </w:rPr>
        <w:t>136</w:t>
      </w:r>
      <w:r w:rsidRPr="00650B69">
        <w:rPr>
          <w:rFonts w:ascii="Arno Pro" w:hAnsi="Arno Pro"/>
          <w:noProof/>
          <w:sz w:val="16"/>
          <w:szCs w:val="24"/>
        </w:rPr>
        <w:t>, 2302–2312.</w:t>
      </w:r>
    </w:p>
    <w:p w14:paraId="78C760D3" w14:textId="77777777" w:rsidR="004E17C4" w:rsidRPr="00650B69" w:rsidRDefault="008D75F4" w:rsidP="002D218C">
      <w:pPr>
        <w:pStyle w:val="TAMainText"/>
        <w:sectPr w:rsidR="004E17C4" w:rsidRPr="00650B69" w:rsidSect="006E3B18">
          <w:type w:val="continuous"/>
          <w:pgSz w:w="12240" w:h="15840"/>
          <w:pgMar w:top="720" w:right="1094" w:bottom="720" w:left="1094" w:header="720" w:footer="720" w:gutter="0"/>
          <w:cols w:num="2" w:space="461"/>
        </w:sectPr>
      </w:pPr>
      <w:r w:rsidRPr="00650B69">
        <w:fldChar w:fldCharType="end"/>
      </w:r>
    </w:p>
    <w:p w14:paraId="13DA7E68" w14:textId="77777777" w:rsidR="002062B7" w:rsidRPr="00650B69" w:rsidRDefault="002062B7" w:rsidP="002D218C">
      <w:pPr>
        <w:pStyle w:val="TAMainText"/>
        <w:sectPr w:rsidR="002062B7" w:rsidRPr="00650B69" w:rsidSect="002062B7">
          <w:type w:val="continuous"/>
          <w:pgSz w:w="12240" w:h="15840"/>
          <w:pgMar w:top="720" w:right="1094" w:bottom="720" w:left="1094" w:header="720" w:footer="720" w:gutter="0"/>
          <w:cols w:num="2" w:space="461"/>
        </w:sectPr>
      </w:pPr>
    </w:p>
    <w:p w14:paraId="40302A15" w14:textId="77777777" w:rsidR="002062B7" w:rsidRPr="00650B69" w:rsidRDefault="002062B7" w:rsidP="002062B7">
      <w:pPr>
        <w:widowControl w:val="0"/>
        <w:autoSpaceDE w:val="0"/>
        <w:autoSpaceDN w:val="0"/>
        <w:adjustRightInd w:val="0"/>
        <w:spacing w:after="0"/>
        <w:sectPr w:rsidR="002062B7" w:rsidRPr="00650B69" w:rsidSect="002062B7">
          <w:type w:val="continuous"/>
          <w:pgSz w:w="12240" w:h="15840"/>
          <w:pgMar w:top="720" w:right="1094" w:bottom="720" w:left="1094" w:header="720" w:footer="720" w:gutter="0"/>
          <w:cols w:num="2" w:space="461"/>
        </w:sectPr>
      </w:pPr>
    </w:p>
    <w:p w14:paraId="12CB3A5A" w14:textId="77777777" w:rsidR="002062B7" w:rsidRPr="00650B69" w:rsidRDefault="002062B7" w:rsidP="002062B7">
      <w:pPr>
        <w:widowControl w:val="0"/>
        <w:autoSpaceDE w:val="0"/>
        <w:autoSpaceDN w:val="0"/>
        <w:adjustRightInd w:val="0"/>
        <w:spacing w:after="0"/>
      </w:pPr>
    </w:p>
    <w:p w14:paraId="198A568E" w14:textId="77777777" w:rsidR="002062B7" w:rsidRPr="00650B69" w:rsidRDefault="002062B7" w:rsidP="002D218C">
      <w:pPr>
        <w:pStyle w:val="TAMainText"/>
        <w:rPr>
          <w:noProof/>
          <w:lang w:eastAsia="nl-BE"/>
        </w:rPr>
        <w:sectPr w:rsidR="002062B7" w:rsidRPr="00650B69" w:rsidSect="002062B7">
          <w:type w:val="continuous"/>
          <w:pgSz w:w="12240" w:h="15840"/>
          <w:pgMar w:top="720" w:right="1094" w:bottom="720" w:left="1094" w:header="720" w:footer="720" w:gutter="0"/>
          <w:cols w:num="2" w:space="461"/>
        </w:sectPr>
      </w:pPr>
    </w:p>
    <w:p w14:paraId="6B27407A" w14:textId="77777777" w:rsidR="00CD5D1C" w:rsidRPr="00650B69" w:rsidRDefault="00CD5D1C" w:rsidP="002D218C">
      <w:pPr>
        <w:pStyle w:val="TAMainText"/>
        <w:sectPr w:rsidR="00CD5D1C" w:rsidRPr="00650B69" w:rsidSect="00984F9E">
          <w:type w:val="continuous"/>
          <w:pgSz w:w="12240" w:h="15840"/>
          <w:pgMar w:top="720" w:right="1094" w:bottom="720" w:left="1094" w:header="720" w:footer="720" w:gutter="0"/>
          <w:cols w:num="2" w:space="461"/>
        </w:sectPr>
      </w:pPr>
    </w:p>
    <w:p w14:paraId="5BE17FAE" w14:textId="77777777" w:rsidR="006E3B18" w:rsidRPr="00650B69" w:rsidRDefault="006E3B18" w:rsidP="002D218C">
      <w:pPr>
        <w:pStyle w:val="TAMainText"/>
        <w:sectPr w:rsidR="006E3B18" w:rsidRPr="00650B69" w:rsidSect="006E3B18">
          <w:type w:val="continuous"/>
          <w:pgSz w:w="12240" w:h="15840"/>
          <w:pgMar w:top="720" w:right="1094" w:bottom="720" w:left="1094" w:header="720" w:footer="720" w:gutter="0"/>
          <w:cols w:num="2" w:space="461"/>
        </w:sectPr>
      </w:pPr>
    </w:p>
    <w:p w14:paraId="74EC1DAF" w14:textId="77777777" w:rsidR="008836CD" w:rsidRPr="00650B69" w:rsidRDefault="008836CD" w:rsidP="002D218C">
      <w:pPr>
        <w:pStyle w:val="TAMainText"/>
      </w:pPr>
    </w:p>
    <w:p w14:paraId="213BBCDC" w14:textId="77777777" w:rsidR="00CD5D1C" w:rsidRPr="00650B69" w:rsidRDefault="00CD5D1C" w:rsidP="006E3B18">
      <w:pPr>
        <w:widowControl w:val="0"/>
        <w:autoSpaceDE w:val="0"/>
        <w:autoSpaceDN w:val="0"/>
        <w:adjustRightInd w:val="0"/>
        <w:spacing w:after="0"/>
        <w:ind w:left="640" w:hanging="640"/>
        <w:sectPr w:rsidR="00CD5D1C" w:rsidRPr="00650B69" w:rsidSect="00CD5D1C">
          <w:type w:val="continuous"/>
          <w:pgSz w:w="12240" w:h="15840"/>
          <w:pgMar w:top="720" w:right="1094" w:bottom="720" w:left="1094" w:header="720" w:footer="720" w:gutter="0"/>
          <w:cols w:num="2" w:space="461"/>
        </w:sectPr>
      </w:pPr>
    </w:p>
    <w:p w14:paraId="0BC9082F" w14:textId="77777777" w:rsidR="00CD5D1C" w:rsidRPr="00650B69" w:rsidRDefault="00CD5D1C" w:rsidP="004A6D9B">
      <w:pPr>
        <w:widowControl w:val="0"/>
        <w:autoSpaceDE w:val="0"/>
        <w:autoSpaceDN w:val="0"/>
        <w:adjustRightInd w:val="0"/>
        <w:spacing w:after="0"/>
        <w:sectPr w:rsidR="00CD5D1C" w:rsidRPr="00650B69" w:rsidSect="00CD5D1C">
          <w:type w:val="continuous"/>
          <w:pgSz w:w="12240" w:h="15840"/>
          <w:pgMar w:top="720" w:right="1094" w:bottom="720" w:left="1094" w:header="720" w:footer="720" w:gutter="0"/>
          <w:cols w:space="461"/>
        </w:sectPr>
      </w:pPr>
    </w:p>
    <w:p w14:paraId="3A4BB8C2" w14:textId="77777777" w:rsidR="00DD29EF" w:rsidRPr="00650B69" w:rsidRDefault="00DD29EF" w:rsidP="00C06CFC">
      <w:pPr>
        <w:pStyle w:val="SNSynopsisTOC"/>
        <w:sectPr w:rsidR="00DD29EF" w:rsidRPr="00650B69" w:rsidSect="00984F9E">
          <w:type w:val="continuous"/>
          <w:pgSz w:w="12240" w:h="15840"/>
          <w:pgMar w:top="720" w:right="1094" w:bottom="720" w:left="1094" w:header="720" w:footer="720" w:gutter="0"/>
          <w:cols w:num="2" w:space="461"/>
        </w:sectPr>
      </w:pPr>
    </w:p>
    <w:p w14:paraId="05FBC179" w14:textId="199A8230" w:rsidR="00A66EDD" w:rsidRPr="00C45E7B" w:rsidRDefault="00026D59" w:rsidP="0076328E">
      <w:pPr>
        <w:pBdr>
          <w:top w:val="single" w:sz="4" w:space="1" w:color="auto"/>
        </w:pBdr>
        <w:spacing w:before="120"/>
        <w:rPr>
          <w:rFonts w:ascii="Arno Pro" w:hAnsi="Arno Pro"/>
        </w:rPr>
      </w:pPr>
      <w:r w:rsidRPr="00650B69">
        <w:rPr>
          <w:rFonts w:ascii="Arno Pro" w:hAnsi="Arno Pro"/>
          <w:noProof/>
        </w:rPr>
        <w:drawing>
          <wp:inline distT="0" distB="0" distL="0" distR="0" wp14:anchorId="57811DCA" wp14:editId="66E43962">
            <wp:extent cx="2626409" cy="171000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v4.tif"/>
                    <pic:cNvPicPr/>
                  </pic:nvPicPr>
                  <pic:blipFill rotWithShape="1">
                    <a:blip r:embed="rId13" cstate="print">
                      <a:extLst>
                        <a:ext uri="{28A0092B-C50C-407E-A947-70E740481C1C}">
                          <a14:useLocalDpi xmlns:a14="http://schemas.microsoft.com/office/drawing/2010/main" val="0"/>
                        </a:ext>
                      </a:extLst>
                    </a:blip>
                    <a:srcRect l="8036" t="13753" r="1411" b="7637"/>
                    <a:stretch/>
                  </pic:blipFill>
                  <pic:spPr bwMode="auto">
                    <a:xfrm>
                      <a:off x="0" y="0"/>
                      <a:ext cx="2626409" cy="17100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66EDD" w:rsidRPr="00C45E7B" w:rsidSect="00984F9E">
      <w:headerReference w:type="even" r:id="rId14"/>
      <w:footerReference w:type="even" r:id="rId15"/>
      <w:footerReference w:type="default" r:id="rId1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10A7D" w14:textId="77777777" w:rsidR="00B072EF" w:rsidRDefault="00B072EF">
      <w:r>
        <w:separator/>
      </w:r>
    </w:p>
    <w:p w14:paraId="351C5346" w14:textId="77777777" w:rsidR="00B072EF" w:rsidRDefault="00B072EF"/>
  </w:endnote>
  <w:endnote w:type="continuationSeparator" w:id="0">
    <w:p w14:paraId="7164E13B" w14:textId="77777777" w:rsidR="00B072EF" w:rsidRDefault="00B072EF">
      <w:r>
        <w:continuationSeparator/>
      </w:r>
    </w:p>
    <w:p w14:paraId="46217BAF" w14:textId="77777777" w:rsidR="00B072EF" w:rsidRDefault="00B07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6B894CCB-F411-462F-8EA3-BD2F426A6242}"/>
    <w:embedBold r:id="rId2" w:fontKey="{9755406F-4501-45AE-969D-189B738D85B6}"/>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embedRegular r:id="rId3" w:subsetted="1" w:fontKey="{9B072207-BAA8-4CB8-B53D-BEDF27345862}"/>
  </w:font>
  <w:font w:name="Constantia">
    <w:panose1 w:val="02030602050306030303"/>
    <w:charset w:val="00"/>
    <w:family w:val="roman"/>
    <w:pitch w:val="variable"/>
    <w:sig w:usb0="A00002EF" w:usb1="4000204B" w:usb2="00000000" w:usb3="00000000" w:csb0="0000019F" w:csb1="00000000"/>
    <w:embedRegular r:id="rId4" w:subsetted="1" w:fontKey="{A321E3C2-40EC-40C7-8CE0-7147317D6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8DA5" w14:textId="77777777" w:rsidR="00967839" w:rsidRDefault="00967839">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14:paraId="4BD3BBC5" w14:textId="77777777" w:rsidR="00967839" w:rsidRDefault="00967839">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818BA" w14:textId="77777777" w:rsidR="00967839" w:rsidRDefault="00967839">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624B7" w14:textId="77777777" w:rsidR="00967839" w:rsidRDefault="009678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9B5C44" w14:textId="77777777" w:rsidR="00967839" w:rsidRDefault="00967839">
    <w:pPr>
      <w:pStyle w:val="Footer"/>
      <w:ind w:right="360"/>
    </w:pPr>
  </w:p>
  <w:p w14:paraId="222F8A1A" w14:textId="77777777" w:rsidR="00967839" w:rsidRDefault="0096783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C3479" w14:textId="77777777" w:rsidR="00967839" w:rsidRDefault="009678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1D53">
      <w:rPr>
        <w:rStyle w:val="PageNumber"/>
        <w:noProof/>
      </w:rPr>
      <w:t>9</w:t>
    </w:r>
    <w:r>
      <w:rPr>
        <w:rStyle w:val="PageNumber"/>
      </w:rPr>
      <w:fldChar w:fldCharType="end"/>
    </w:r>
  </w:p>
  <w:p w14:paraId="2B15E93D" w14:textId="77777777" w:rsidR="00967839" w:rsidRDefault="00967839">
    <w:pPr>
      <w:pStyle w:val="Footer"/>
      <w:ind w:right="360"/>
    </w:pPr>
  </w:p>
  <w:p w14:paraId="02A1967D" w14:textId="77777777" w:rsidR="00967839" w:rsidRDefault="009678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8246F" w14:textId="77777777" w:rsidR="00B072EF" w:rsidRDefault="00B072EF">
      <w:r>
        <w:separator/>
      </w:r>
    </w:p>
    <w:p w14:paraId="723A72A4" w14:textId="77777777" w:rsidR="00B072EF" w:rsidRDefault="00B072EF"/>
  </w:footnote>
  <w:footnote w:type="continuationSeparator" w:id="0">
    <w:p w14:paraId="6B35C6ED" w14:textId="77777777" w:rsidR="00B072EF" w:rsidRDefault="00B072EF">
      <w:r>
        <w:continuationSeparator/>
      </w:r>
    </w:p>
    <w:p w14:paraId="091D6C89" w14:textId="77777777" w:rsidR="00B072EF" w:rsidRDefault="00B072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3FD38" w14:textId="77777777" w:rsidR="00967839" w:rsidRDefault="009678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TrueTypeFonts/>
  <w:saveSubsetFonts/>
  <w:bordersDoNotSurroundHeader/>
  <w:bordersDoNotSurroundFooter/>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25D"/>
    <w:rsid w:val="000201D0"/>
    <w:rsid w:val="00026D59"/>
    <w:rsid w:val="0003046A"/>
    <w:rsid w:val="00045A91"/>
    <w:rsid w:val="00045E88"/>
    <w:rsid w:val="00047FEE"/>
    <w:rsid w:val="000612D7"/>
    <w:rsid w:val="000650CD"/>
    <w:rsid w:val="0009266E"/>
    <w:rsid w:val="000A3F61"/>
    <w:rsid w:val="000A65BB"/>
    <w:rsid w:val="000C478A"/>
    <w:rsid w:val="000D2D84"/>
    <w:rsid w:val="000E75E3"/>
    <w:rsid w:val="000F7A81"/>
    <w:rsid w:val="00101D1F"/>
    <w:rsid w:val="001379B7"/>
    <w:rsid w:val="001379DD"/>
    <w:rsid w:val="00141659"/>
    <w:rsid w:val="0015109A"/>
    <w:rsid w:val="00152164"/>
    <w:rsid w:val="00157E12"/>
    <w:rsid w:val="00173B44"/>
    <w:rsid w:val="001B1FC9"/>
    <w:rsid w:val="001B7710"/>
    <w:rsid w:val="001C52B8"/>
    <w:rsid w:val="001D2733"/>
    <w:rsid w:val="001D377E"/>
    <w:rsid w:val="001D38E7"/>
    <w:rsid w:val="001E1802"/>
    <w:rsid w:val="001E451C"/>
    <w:rsid w:val="00200FA2"/>
    <w:rsid w:val="002031A2"/>
    <w:rsid w:val="002062B7"/>
    <w:rsid w:val="0024409A"/>
    <w:rsid w:val="002729FB"/>
    <w:rsid w:val="002A7098"/>
    <w:rsid w:val="002A7D96"/>
    <w:rsid w:val="002B33FF"/>
    <w:rsid w:val="002B6A10"/>
    <w:rsid w:val="002C3431"/>
    <w:rsid w:val="002D0B8E"/>
    <w:rsid w:val="002D218C"/>
    <w:rsid w:val="002D6B75"/>
    <w:rsid w:val="002E53BE"/>
    <w:rsid w:val="00310911"/>
    <w:rsid w:val="0031415E"/>
    <w:rsid w:val="00344BBA"/>
    <w:rsid w:val="003455BD"/>
    <w:rsid w:val="0035002E"/>
    <w:rsid w:val="00353421"/>
    <w:rsid w:val="003547B0"/>
    <w:rsid w:val="00357396"/>
    <w:rsid w:val="00360733"/>
    <w:rsid w:val="003679A1"/>
    <w:rsid w:val="003A0F5F"/>
    <w:rsid w:val="003B4AF3"/>
    <w:rsid w:val="003C2BE3"/>
    <w:rsid w:val="003E5207"/>
    <w:rsid w:val="0041079D"/>
    <w:rsid w:val="00422950"/>
    <w:rsid w:val="00427112"/>
    <w:rsid w:val="00445BB7"/>
    <w:rsid w:val="004522E9"/>
    <w:rsid w:val="004564CF"/>
    <w:rsid w:val="00464165"/>
    <w:rsid w:val="0048669C"/>
    <w:rsid w:val="00491424"/>
    <w:rsid w:val="0049449E"/>
    <w:rsid w:val="00496B72"/>
    <w:rsid w:val="004A6D9B"/>
    <w:rsid w:val="004A742B"/>
    <w:rsid w:val="004E17C4"/>
    <w:rsid w:val="004E35E0"/>
    <w:rsid w:val="004F307E"/>
    <w:rsid w:val="00531F0F"/>
    <w:rsid w:val="005327A4"/>
    <w:rsid w:val="005329C7"/>
    <w:rsid w:val="005410E3"/>
    <w:rsid w:val="00551789"/>
    <w:rsid w:val="00552A07"/>
    <w:rsid w:val="00553A6A"/>
    <w:rsid w:val="005754B8"/>
    <w:rsid w:val="00575965"/>
    <w:rsid w:val="00591A57"/>
    <w:rsid w:val="0059535F"/>
    <w:rsid w:val="005B57D6"/>
    <w:rsid w:val="005D0C10"/>
    <w:rsid w:val="005D2065"/>
    <w:rsid w:val="005D707E"/>
    <w:rsid w:val="005F5C5C"/>
    <w:rsid w:val="0060317E"/>
    <w:rsid w:val="00604E00"/>
    <w:rsid w:val="00604F23"/>
    <w:rsid w:val="00613C64"/>
    <w:rsid w:val="00613CDF"/>
    <w:rsid w:val="00614F2E"/>
    <w:rsid w:val="00616D68"/>
    <w:rsid w:val="0063109F"/>
    <w:rsid w:val="00631B3F"/>
    <w:rsid w:val="00631E32"/>
    <w:rsid w:val="00636745"/>
    <w:rsid w:val="0064353C"/>
    <w:rsid w:val="00650B69"/>
    <w:rsid w:val="006532A9"/>
    <w:rsid w:val="00676AF4"/>
    <w:rsid w:val="00680799"/>
    <w:rsid w:val="006956E9"/>
    <w:rsid w:val="006B2581"/>
    <w:rsid w:val="006C5E19"/>
    <w:rsid w:val="006E3B18"/>
    <w:rsid w:val="006E6BC5"/>
    <w:rsid w:val="006F268D"/>
    <w:rsid w:val="007009DA"/>
    <w:rsid w:val="0071182A"/>
    <w:rsid w:val="007130C0"/>
    <w:rsid w:val="007179F0"/>
    <w:rsid w:val="00725E67"/>
    <w:rsid w:val="007331FF"/>
    <w:rsid w:val="0073725D"/>
    <w:rsid w:val="00755C70"/>
    <w:rsid w:val="00760E42"/>
    <w:rsid w:val="007629D3"/>
    <w:rsid w:val="0076328E"/>
    <w:rsid w:val="00791D53"/>
    <w:rsid w:val="007B14D9"/>
    <w:rsid w:val="007C1383"/>
    <w:rsid w:val="007C3ADD"/>
    <w:rsid w:val="007D79AE"/>
    <w:rsid w:val="007E19EA"/>
    <w:rsid w:val="007F3FDD"/>
    <w:rsid w:val="007F6792"/>
    <w:rsid w:val="00803489"/>
    <w:rsid w:val="008272CE"/>
    <w:rsid w:val="0083315C"/>
    <w:rsid w:val="008348A2"/>
    <w:rsid w:val="00835CBD"/>
    <w:rsid w:val="00841F31"/>
    <w:rsid w:val="00861390"/>
    <w:rsid w:val="00864654"/>
    <w:rsid w:val="00865479"/>
    <w:rsid w:val="008655C0"/>
    <w:rsid w:val="00881D24"/>
    <w:rsid w:val="008836CD"/>
    <w:rsid w:val="008A2C5C"/>
    <w:rsid w:val="008B3498"/>
    <w:rsid w:val="008B6A24"/>
    <w:rsid w:val="008D2DFE"/>
    <w:rsid w:val="008D3D15"/>
    <w:rsid w:val="008D567C"/>
    <w:rsid w:val="008D75F4"/>
    <w:rsid w:val="0092037A"/>
    <w:rsid w:val="009246AD"/>
    <w:rsid w:val="00927CDC"/>
    <w:rsid w:val="00957C0B"/>
    <w:rsid w:val="00967839"/>
    <w:rsid w:val="00967927"/>
    <w:rsid w:val="009740BC"/>
    <w:rsid w:val="00984F9E"/>
    <w:rsid w:val="00A02D62"/>
    <w:rsid w:val="00A14273"/>
    <w:rsid w:val="00A269C9"/>
    <w:rsid w:val="00A30D02"/>
    <w:rsid w:val="00A4103F"/>
    <w:rsid w:val="00A444E1"/>
    <w:rsid w:val="00A460B5"/>
    <w:rsid w:val="00A46C91"/>
    <w:rsid w:val="00A55FEF"/>
    <w:rsid w:val="00A64F2C"/>
    <w:rsid w:val="00A66999"/>
    <w:rsid w:val="00A66EDD"/>
    <w:rsid w:val="00A700DD"/>
    <w:rsid w:val="00A71C00"/>
    <w:rsid w:val="00A8502E"/>
    <w:rsid w:val="00AA142F"/>
    <w:rsid w:val="00AB5CA8"/>
    <w:rsid w:val="00AC1839"/>
    <w:rsid w:val="00AC5F97"/>
    <w:rsid w:val="00AC6438"/>
    <w:rsid w:val="00AC7B1C"/>
    <w:rsid w:val="00AE4B97"/>
    <w:rsid w:val="00AF1765"/>
    <w:rsid w:val="00AF2AD1"/>
    <w:rsid w:val="00B00D9F"/>
    <w:rsid w:val="00B072EF"/>
    <w:rsid w:val="00B36E50"/>
    <w:rsid w:val="00B42C29"/>
    <w:rsid w:val="00B563D9"/>
    <w:rsid w:val="00B65654"/>
    <w:rsid w:val="00B71491"/>
    <w:rsid w:val="00B7618D"/>
    <w:rsid w:val="00B84E45"/>
    <w:rsid w:val="00B865C4"/>
    <w:rsid w:val="00B86725"/>
    <w:rsid w:val="00B875D7"/>
    <w:rsid w:val="00B97259"/>
    <w:rsid w:val="00BB1134"/>
    <w:rsid w:val="00BC3E2A"/>
    <w:rsid w:val="00BD0668"/>
    <w:rsid w:val="00BD5122"/>
    <w:rsid w:val="00BE29A3"/>
    <w:rsid w:val="00BE533F"/>
    <w:rsid w:val="00C0507A"/>
    <w:rsid w:val="00C06CFC"/>
    <w:rsid w:val="00C168F2"/>
    <w:rsid w:val="00C30403"/>
    <w:rsid w:val="00C32308"/>
    <w:rsid w:val="00C36261"/>
    <w:rsid w:val="00C42997"/>
    <w:rsid w:val="00C45E7B"/>
    <w:rsid w:val="00C467E2"/>
    <w:rsid w:val="00C5050C"/>
    <w:rsid w:val="00C57D31"/>
    <w:rsid w:val="00C72D78"/>
    <w:rsid w:val="00C7389A"/>
    <w:rsid w:val="00C73C0C"/>
    <w:rsid w:val="00C77856"/>
    <w:rsid w:val="00C82A87"/>
    <w:rsid w:val="00C9140C"/>
    <w:rsid w:val="00CA15CA"/>
    <w:rsid w:val="00CB5FA5"/>
    <w:rsid w:val="00CD5D1C"/>
    <w:rsid w:val="00CD785D"/>
    <w:rsid w:val="00CE1C3F"/>
    <w:rsid w:val="00CF036D"/>
    <w:rsid w:val="00D019B9"/>
    <w:rsid w:val="00D0596F"/>
    <w:rsid w:val="00D13B1B"/>
    <w:rsid w:val="00D31B6E"/>
    <w:rsid w:val="00D61DBF"/>
    <w:rsid w:val="00D66756"/>
    <w:rsid w:val="00D701EB"/>
    <w:rsid w:val="00D7064F"/>
    <w:rsid w:val="00D81C80"/>
    <w:rsid w:val="00D86677"/>
    <w:rsid w:val="00D928D2"/>
    <w:rsid w:val="00DD1EEC"/>
    <w:rsid w:val="00DD29EF"/>
    <w:rsid w:val="00DE78D2"/>
    <w:rsid w:val="00DF59F4"/>
    <w:rsid w:val="00DF683D"/>
    <w:rsid w:val="00E074F2"/>
    <w:rsid w:val="00E2340D"/>
    <w:rsid w:val="00E32A18"/>
    <w:rsid w:val="00E43338"/>
    <w:rsid w:val="00E46BD3"/>
    <w:rsid w:val="00E47EA1"/>
    <w:rsid w:val="00E65825"/>
    <w:rsid w:val="00E75388"/>
    <w:rsid w:val="00E84CB9"/>
    <w:rsid w:val="00E96302"/>
    <w:rsid w:val="00EA282F"/>
    <w:rsid w:val="00EE2556"/>
    <w:rsid w:val="00F075E7"/>
    <w:rsid w:val="00F103D7"/>
    <w:rsid w:val="00F10E56"/>
    <w:rsid w:val="00F44D9A"/>
    <w:rsid w:val="00F5421E"/>
    <w:rsid w:val="00F57050"/>
    <w:rsid w:val="00F57B9B"/>
    <w:rsid w:val="00F8537A"/>
    <w:rsid w:val="00F97782"/>
    <w:rsid w:val="00FB1488"/>
    <w:rsid w:val="00FE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98256"/>
  <w15:docId w15:val="{826D4F02-540C-4F81-8ADC-0A44C0BB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2D218C"/>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Title">
    <w:name w:val="Title"/>
    <w:basedOn w:val="Normal"/>
    <w:next w:val="Normal"/>
    <w:link w:val="TitleChar"/>
    <w:uiPriority w:val="10"/>
    <w:qFormat/>
    <w:rsid w:val="0073725D"/>
    <w:pPr>
      <w:spacing w:before="240" w:after="60"/>
      <w:jc w:val="center"/>
      <w:outlineLvl w:val="0"/>
    </w:pPr>
    <w:rPr>
      <w:rFonts w:asciiTheme="majorHAnsi" w:eastAsiaTheme="majorEastAsia" w:hAnsiTheme="majorHAnsi"/>
      <w:b/>
      <w:bCs/>
      <w:kern w:val="28"/>
      <w:sz w:val="32"/>
      <w:szCs w:val="32"/>
      <w:lang w:val="nl-BE"/>
    </w:rPr>
  </w:style>
  <w:style w:type="character" w:customStyle="1" w:styleId="TitleChar">
    <w:name w:val="Title Char"/>
    <w:basedOn w:val="DefaultParagraphFont"/>
    <w:link w:val="Title"/>
    <w:uiPriority w:val="10"/>
    <w:rsid w:val="0073725D"/>
    <w:rPr>
      <w:rFonts w:asciiTheme="majorHAnsi" w:eastAsiaTheme="majorEastAsia" w:hAnsiTheme="majorHAnsi"/>
      <w:b/>
      <w:bCs/>
      <w:kern w:val="28"/>
      <w:sz w:val="32"/>
      <w:szCs w:val="32"/>
      <w:lang w:val="nl-BE"/>
    </w:rPr>
  </w:style>
  <w:style w:type="table" w:styleId="TableGrid">
    <w:name w:val="Table Grid"/>
    <w:basedOn w:val="TableNormal"/>
    <w:uiPriority w:val="59"/>
    <w:rsid w:val="00A14273"/>
    <w:rPr>
      <w:rFonts w:asciiTheme="minorHAnsi" w:eastAsiaTheme="minorEastAsia" w:hAnsiTheme="minorHAns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075E7"/>
    <w:pPr>
      <w:spacing w:after="0"/>
      <w:jc w:val="left"/>
    </w:pPr>
    <w:rPr>
      <w:rFonts w:asciiTheme="minorHAnsi" w:eastAsiaTheme="minorEastAsia" w:hAnsiTheme="minorHAnsi"/>
      <w:sz w:val="20"/>
      <w:lang w:val="nl-BE"/>
    </w:rPr>
  </w:style>
  <w:style w:type="character" w:customStyle="1" w:styleId="CommentTextChar">
    <w:name w:val="Comment Text Char"/>
    <w:basedOn w:val="DefaultParagraphFont"/>
    <w:link w:val="CommentText"/>
    <w:uiPriority w:val="99"/>
    <w:rsid w:val="00F075E7"/>
    <w:rPr>
      <w:rFonts w:asciiTheme="minorHAnsi" w:eastAsiaTheme="minorEastAsia" w:hAnsiTheme="minorHAnsi"/>
      <w:lang w:val="nl-BE"/>
    </w:rPr>
  </w:style>
  <w:style w:type="paragraph" w:styleId="Caption">
    <w:name w:val="caption"/>
    <w:basedOn w:val="Normal"/>
    <w:next w:val="Normal"/>
    <w:uiPriority w:val="35"/>
    <w:unhideWhenUsed/>
    <w:qFormat/>
    <w:rsid w:val="00F44D9A"/>
    <w:rPr>
      <w:b/>
      <w:bCs/>
      <w:color w:val="4F81BD" w:themeColor="accent1"/>
      <w:sz w:val="18"/>
      <w:szCs w:val="18"/>
    </w:rPr>
  </w:style>
  <w:style w:type="character" w:styleId="CommentReference">
    <w:name w:val="annotation reference"/>
    <w:basedOn w:val="DefaultParagraphFont"/>
    <w:semiHidden/>
    <w:unhideWhenUsed/>
    <w:rsid w:val="002D218C"/>
    <w:rPr>
      <w:sz w:val="16"/>
      <w:szCs w:val="16"/>
    </w:rPr>
  </w:style>
  <w:style w:type="paragraph" w:styleId="CommentSubject">
    <w:name w:val="annotation subject"/>
    <w:basedOn w:val="CommentText"/>
    <w:next w:val="CommentText"/>
    <w:link w:val="CommentSubjectChar"/>
    <w:semiHidden/>
    <w:unhideWhenUsed/>
    <w:rsid w:val="002D218C"/>
    <w:pPr>
      <w:spacing w:after="200"/>
      <w:jc w:val="both"/>
    </w:pPr>
    <w:rPr>
      <w:rFonts w:ascii="Times" w:eastAsia="Times New Roman" w:hAnsi="Times"/>
      <w:b/>
      <w:bCs/>
      <w:lang w:val="en-US"/>
    </w:rPr>
  </w:style>
  <w:style w:type="character" w:customStyle="1" w:styleId="CommentSubjectChar">
    <w:name w:val="Comment Subject Char"/>
    <w:basedOn w:val="CommentTextChar"/>
    <w:link w:val="CommentSubject"/>
    <w:semiHidden/>
    <w:rsid w:val="002D218C"/>
    <w:rPr>
      <w:rFonts w:ascii="Times" w:eastAsiaTheme="minorEastAsia" w:hAnsi="Times"/>
      <w:b/>
      <w:bCs/>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ien\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1EDF2-06EA-4E2A-926C-083BDE7A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Template>
  <TotalTime>0</TotalTime>
  <Pages>8</Pages>
  <Words>18956</Words>
  <Characters>108054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126757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Evelien</dc:creator>
  <cp:lastModifiedBy>Keiderling, Timothy A</cp:lastModifiedBy>
  <cp:revision>2</cp:revision>
  <cp:lastPrinted>2018-08-27T17:44:00Z</cp:lastPrinted>
  <dcterms:created xsi:type="dcterms:W3CDTF">2018-11-16T22:16:00Z</dcterms:created>
  <dcterms:modified xsi:type="dcterms:W3CDTF">2018-11-16T22:16:00Z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734f7a8f-3dc8-3b6c-9fbc-f3fb22fd9c41</vt:lpwstr>
  </property>
  <property fmtid="{D5CDD505-2E9C-101B-9397-08002B2CF9AE}" pid="4" name="Mendeley Recent Style Id 0_1">
    <vt:lpwstr>http://www.zotero.org/styles/american-chemical-society-with-titles</vt:lpwstr>
  </property>
  <property fmtid="{D5CDD505-2E9C-101B-9397-08002B2CF9AE}" pid="5" name="Mendeley Recent Style Name 0_1">
    <vt:lpwstr>American Chemical Society (with titles)</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http://www.zotero.org/styles/angewandte-chemie</vt:lpwstr>
  </property>
  <property fmtid="{D5CDD505-2E9C-101B-9397-08002B2CF9AE}" pid="11" name="Mendeley Recent Style Name 3_1">
    <vt:lpwstr>Angewandte Chemie International Edition</vt:lpwstr>
  </property>
  <property fmtid="{D5CDD505-2E9C-101B-9397-08002B2CF9AE}" pid="12" name="Mendeley Recent Style Id 4_1">
    <vt:lpwstr>http://www.zotero.org/styles/biochemistry</vt:lpwstr>
  </property>
  <property fmtid="{D5CDD505-2E9C-101B-9397-08002B2CF9AE}" pid="13" name="Mendeley Recent Style Name 4_1">
    <vt:lpwstr>Biochemistry</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http://www.zotero.org/styles/biochemistry</vt:lpwstr>
  </property>
</Properties>
</file>